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4E52C" w14:textId="77777777" w:rsidR="006E4579" w:rsidRDefault="006E4579"/>
    <w:p w14:paraId="3518C644" w14:textId="77777777" w:rsidR="006E4579" w:rsidRDefault="00000000">
      <w:pPr>
        <w:jc w:val="center"/>
      </w:pPr>
      <w:r>
        <w:rPr>
          <w:color w:val="999999"/>
          <w:sz w:val="24"/>
        </w:rPr>
        <w:t>[INSTITUTION LOGO]</w:t>
      </w:r>
    </w:p>
    <w:p w14:paraId="127AED28" w14:textId="77777777" w:rsidR="006E4579" w:rsidRDefault="006E4579"/>
    <w:p w14:paraId="10E8D1D4" w14:textId="77777777" w:rsidR="006E4579" w:rsidRDefault="006E4579"/>
    <w:p w14:paraId="4EC671A1" w14:textId="77777777" w:rsidR="006E4579" w:rsidRDefault="00000000">
      <w:pPr>
        <w:pStyle w:val="Heading1"/>
        <w:spacing w:after="240"/>
        <w:jc w:val="center"/>
      </w:pPr>
      <w:r>
        <w:rPr>
          <w:rFonts w:ascii="Arial" w:hAnsi="Arial"/>
          <w:color w:val="1B3A6B"/>
          <w:sz w:val="36"/>
        </w:rPr>
        <w:t>ESG Sustainability Report</w:t>
      </w:r>
    </w:p>
    <w:p w14:paraId="2E020F7F" w14:textId="77777777" w:rsidR="006E4579" w:rsidRDefault="00000000">
      <w:pPr>
        <w:pStyle w:val="Heading2"/>
        <w:spacing w:before="360" w:after="160"/>
        <w:jc w:val="center"/>
      </w:pPr>
      <w:r>
        <w:rPr>
          <w:rFonts w:ascii="Arial" w:hAnsi="Arial"/>
          <w:color w:val="3D6094"/>
          <w:sz w:val="28"/>
        </w:rPr>
        <w:t>Reporting Year 2024</w:t>
      </w:r>
    </w:p>
    <w:p w14:paraId="20194518" w14:textId="77777777" w:rsidR="006E4579" w:rsidRDefault="006E4579"/>
    <w:p w14:paraId="047C67EA" w14:textId="77777777" w:rsidR="006E4579" w:rsidRDefault="00000000">
      <w:pPr>
        <w:jc w:val="center"/>
      </w:pPr>
      <w:r>
        <w:rPr>
          <w:rFonts w:ascii="Arial" w:hAnsi="Arial"/>
        </w:rPr>
        <w:t>Institution: GENERIC_FI_001</w:t>
      </w:r>
    </w:p>
    <w:p w14:paraId="33AB2658" w14:textId="77777777" w:rsidR="006E4579" w:rsidRDefault="00000000">
      <w:pPr>
        <w:jc w:val="center"/>
      </w:pPr>
      <w:r>
        <w:rPr>
          <w:rFonts w:ascii="Arial" w:hAnsi="Arial"/>
        </w:rPr>
        <w:t>Framework: MULTI_FRAMEWORK</w:t>
      </w:r>
    </w:p>
    <w:p w14:paraId="47EAC97F" w14:textId="77777777" w:rsidR="006E4579" w:rsidRDefault="00000000">
      <w:pPr>
        <w:jc w:val="center"/>
      </w:pPr>
      <w:r>
        <w:rPr>
          <w:rFonts w:ascii="Arial" w:hAnsi="Arial"/>
        </w:rPr>
        <w:t>Generated: 2026-06-12 04:09 UTC</w:t>
      </w:r>
    </w:p>
    <w:p w14:paraId="1540EA93" w14:textId="77777777" w:rsidR="006E4579" w:rsidRDefault="00000000">
      <w:pPr>
        <w:jc w:val="center"/>
      </w:pPr>
      <w:r>
        <w:rPr>
          <w:rFonts w:ascii="Arial" w:hAnsi="Arial"/>
        </w:rPr>
        <w:t>Status: DRAFT — Subject to Review</w:t>
      </w:r>
    </w:p>
    <w:p w14:paraId="7673D048" w14:textId="77777777" w:rsidR="006E4579" w:rsidRDefault="00000000">
      <w:pPr>
        <w:jc w:val="center"/>
      </w:pPr>
      <w:r>
        <w:rPr>
          <w:rFonts w:ascii="Arial" w:hAnsi="Arial"/>
        </w:rPr>
        <w:t>Assurance Level: None</w:t>
      </w:r>
    </w:p>
    <w:p w14:paraId="540A53EA" w14:textId="77777777" w:rsidR="006E4579" w:rsidRDefault="006E4579"/>
    <w:p w14:paraId="2B42184B" w14:textId="77777777" w:rsidR="006E4579" w:rsidRDefault="006E4579"/>
    <w:p w14:paraId="21AAB862" w14:textId="77777777" w:rsidR="006E4579" w:rsidRDefault="00000000">
      <w:pPr>
        <w:jc w:val="center"/>
      </w:pPr>
      <w:r>
        <w:rPr>
          <w:i/>
          <w:color w:val="993333"/>
          <w:sz w:val="18"/>
        </w:rPr>
        <w:t>CONFIDENTIAL — This document is for internal review purposes only. Do not distribute without authorization.</w:t>
      </w:r>
    </w:p>
    <w:p w14:paraId="2D7057DA" w14:textId="77777777" w:rsidR="006E4579" w:rsidRDefault="00000000">
      <w:r>
        <w:br w:type="page"/>
      </w:r>
    </w:p>
    <w:p w14:paraId="49E70E47" w14:textId="77777777" w:rsidR="006E4579" w:rsidRDefault="00000000">
      <w:pPr>
        <w:pStyle w:val="Heading1"/>
        <w:spacing w:after="240"/>
      </w:pPr>
      <w:r>
        <w:rPr>
          <w:rFonts w:ascii="Arial" w:hAnsi="Arial"/>
          <w:color w:val="1B3A6B"/>
          <w:sz w:val="36"/>
        </w:rPr>
        <w:lastRenderedPageBreak/>
        <w:t>Table of Contents</w:t>
      </w:r>
    </w:p>
    <w:p w14:paraId="401B8998" w14:textId="77777777" w:rsidR="006E4579" w:rsidRDefault="00000000">
      <w:fldSimple w:instr=" TOC \o &quot;1-3&quot; \h \z \u ">
        <w:r>
          <w:rPr>
            <w:i/>
            <w:color w:val="999999"/>
          </w:rPr>
          <w:t>Table of Contents — Update this field (Ctrl+A → F9)</w:t>
        </w:r>
      </w:fldSimple>
    </w:p>
    <w:p w14:paraId="17B949F9" w14:textId="77777777" w:rsidR="00AE1B64" w:rsidRDefault="00000000">
      <w:pPr>
        <w:sectPr w:rsidR="00AE1B64" w:rsidSect="00034616">
          <w:headerReference w:type="default" r:id="rId8"/>
          <w:footerReference w:type="default" r:id="rId9"/>
          <w:pgSz w:w="11909" w:h="16834"/>
          <w:pgMar w:top="1440" w:right="1440" w:bottom="1440" w:left="1440" w:header="720" w:footer="720" w:gutter="0"/>
          <w:cols w:space="720"/>
          <w:titlePg/>
          <w:docGrid w:linePitch="360"/>
        </w:sectPr>
      </w:pPr>
      <w:r>
        <w:br w:type="page"/>
      </w:r>
    </w:p>
    <w:p w14:paraId="1E7CA3B9" w14:textId="7D1B347B" w:rsidR="006E4579" w:rsidRDefault="006E4579"/>
    <w:p w14:paraId="2EA1B2AB" w14:textId="77777777" w:rsidR="006E4579" w:rsidRDefault="00000000">
      <w:pPr>
        <w:pStyle w:val="Heading1"/>
        <w:spacing w:after="240"/>
      </w:pPr>
      <w:r>
        <w:rPr>
          <w:rFonts w:ascii="Arial" w:hAnsi="Arial"/>
          <w:color w:val="1B3A6B"/>
          <w:sz w:val="36"/>
        </w:rPr>
        <w:lastRenderedPageBreak/>
        <w:t>Executive Summary</w:t>
      </w:r>
    </w:p>
    <w:p w14:paraId="0C502862" w14:textId="77777777" w:rsidR="006E4579" w:rsidRDefault="00000000">
      <w:pPr>
        <w:jc w:val="center"/>
      </w:pPr>
      <w:r>
        <w:rPr>
          <w:noProof/>
        </w:rPr>
        <w:lastRenderedPageBreak/>
        <w:drawing>
          <wp:inline distT="0" distB="0" distL="0" distR="0" wp14:anchorId="4878CFB4" wp14:editId="5DC50554">
            <wp:extent cx="6858000" cy="657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858000" cy="6570050"/>
                    </a:xfrm>
                    <a:prstGeom prst="rect">
                      <a:avLst/>
                    </a:prstGeom>
                  </pic:spPr>
                </pic:pic>
              </a:graphicData>
            </a:graphic>
          </wp:inline>
        </w:drawing>
      </w:r>
    </w:p>
    <w:p w14:paraId="3A578F87" w14:textId="77777777" w:rsidR="00AE1B64" w:rsidRDefault="00AE1B64">
      <w:pPr>
        <w:sectPr w:rsidR="00AE1B64" w:rsidSect="00AE1B64">
          <w:pgSz w:w="16834" w:h="11909" w:orient="landscape"/>
          <w:pgMar w:top="1440" w:right="1440" w:bottom="1440" w:left="1440" w:header="720" w:footer="720" w:gutter="0"/>
          <w:cols w:space="720"/>
          <w:titlePg/>
          <w:docGrid w:linePitch="360"/>
        </w:sectPr>
      </w:pPr>
    </w:p>
    <w:p w14:paraId="7A29FE68" w14:textId="77777777" w:rsidR="006E4579" w:rsidRDefault="00000000">
      <w:r>
        <w:lastRenderedPageBreak/>
        <w:br w:type="page"/>
      </w:r>
    </w:p>
    <w:p w14:paraId="3811CE92" w14:textId="77777777" w:rsidR="006E4579" w:rsidRDefault="00000000">
      <w:pPr>
        <w:pStyle w:val="Heading2"/>
        <w:spacing w:before="360" w:after="160"/>
      </w:pPr>
      <w:r>
        <w:rPr>
          <w:rFonts w:ascii="Arial" w:hAnsi="Arial"/>
          <w:color w:val="3D6094"/>
          <w:sz w:val="28"/>
        </w:rPr>
        <w:lastRenderedPageBreak/>
        <w:t>Strategic Brief</w:t>
      </w:r>
    </w:p>
    <w:tbl>
      <w:tblPr>
        <w:tblW w:w="0" w:type="auto"/>
        <w:jc w:val="center"/>
        <w:tblLook w:val="04A0" w:firstRow="1" w:lastRow="0" w:firstColumn="1" w:lastColumn="0" w:noHBand="0" w:noVBand="1"/>
      </w:tblPr>
      <w:tblGrid>
        <w:gridCol w:w="2257"/>
        <w:gridCol w:w="2257"/>
        <w:gridCol w:w="2257"/>
        <w:gridCol w:w="2257"/>
      </w:tblGrid>
      <w:tr w:rsidR="006E4579" w14:paraId="453BC4EB" w14:textId="77777777">
        <w:trPr>
          <w:jc w:val="center"/>
        </w:trPr>
        <w:tc>
          <w:tcPr>
            <w:tcW w:w="2257" w:type="dxa"/>
            <w:shd w:val="clear" w:color="auto" w:fill="F2F6FA"/>
          </w:tcPr>
          <w:p w14:paraId="1E2E9B5F" w14:textId="77777777" w:rsidR="006E4579" w:rsidRDefault="00000000">
            <w:pPr>
              <w:jc w:val="center"/>
            </w:pPr>
            <w:r>
              <w:rPr>
                <w:b/>
                <w:color w:val="1B3A6B"/>
                <w:sz w:val="36"/>
              </w:rPr>
              <w:t>21976797.3</w:t>
            </w:r>
            <w:r>
              <w:rPr>
                <w:color w:val="757575"/>
                <w:sz w:val="18"/>
              </w:rPr>
              <w:t xml:space="preserve"> tCO₂e</w:t>
            </w:r>
          </w:p>
        </w:tc>
        <w:tc>
          <w:tcPr>
            <w:tcW w:w="2257" w:type="dxa"/>
            <w:shd w:val="clear" w:color="auto" w:fill="F2F6FA"/>
          </w:tcPr>
          <w:p w14:paraId="7D0B474D" w14:textId="77777777" w:rsidR="006E4579" w:rsidRDefault="00000000">
            <w:pPr>
              <w:jc w:val="center"/>
            </w:pPr>
            <w:r>
              <w:rPr>
                <w:b/>
                <w:color w:val="1B3A6B"/>
                <w:sz w:val="36"/>
              </w:rPr>
              <w:t>239.400139</w:t>
            </w:r>
            <w:r>
              <w:rPr>
                <w:color w:val="757575"/>
                <w:sz w:val="18"/>
              </w:rPr>
              <w:t xml:space="preserve"> tCO₂e/IDR Bn</w:t>
            </w:r>
          </w:p>
        </w:tc>
        <w:tc>
          <w:tcPr>
            <w:tcW w:w="2257" w:type="dxa"/>
            <w:shd w:val="clear" w:color="auto" w:fill="F2F6FA"/>
          </w:tcPr>
          <w:p w14:paraId="34BB533A" w14:textId="77777777" w:rsidR="006E4579" w:rsidRDefault="00000000">
            <w:pPr>
              <w:jc w:val="center"/>
            </w:pPr>
            <w:r>
              <w:rPr>
                <w:b/>
                <w:color w:val="1B3A6B"/>
                <w:sz w:val="36"/>
              </w:rPr>
              <w:t>3.36</w:t>
            </w:r>
            <w:r>
              <w:rPr>
                <w:color w:val="757575"/>
                <w:sz w:val="18"/>
              </w:rPr>
              <w:t xml:space="preserve"> score (1-5)</w:t>
            </w:r>
          </w:p>
        </w:tc>
        <w:tc>
          <w:tcPr>
            <w:tcW w:w="2257" w:type="dxa"/>
            <w:shd w:val="clear" w:color="auto" w:fill="F2F6FA"/>
          </w:tcPr>
          <w:p w14:paraId="1174B476" w14:textId="77777777" w:rsidR="006E4579" w:rsidRDefault="00000000">
            <w:pPr>
              <w:jc w:val="center"/>
            </w:pPr>
            <w:r>
              <w:rPr>
                <w:b/>
                <w:color w:val="1B3A6B"/>
                <w:sz w:val="36"/>
              </w:rPr>
              <w:t>69.52</w:t>
            </w:r>
            <w:r>
              <w:rPr>
                <w:color w:val="757575"/>
                <w:sz w:val="18"/>
              </w:rPr>
              <w:t xml:space="preserve"> %</w:t>
            </w:r>
          </w:p>
        </w:tc>
      </w:tr>
      <w:tr w:rsidR="006E4579" w14:paraId="23943D41" w14:textId="77777777">
        <w:trPr>
          <w:jc w:val="center"/>
        </w:trPr>
        <w:tc>
          <w:tcPr>
            <w:tcW w:w="2257" w:type="dxa"/>
            <w:shd w:val="clear" w:color="auto" w:fill="F2F6FA"/>
          </w:tcPr>
          <w:p w14:paraId="20FE521A" w14:textId="77777777" w:rsidR="006E4579" w:rsidRDefault="00000000">
            <w:pPr>
              <w:jc w:val="center"/>
            </w:pPr>
            <w:r>
              <w:rPr>
                <w:color w:val="757575"/>
                <w:sz w:val="16"/>
              </w:rPr>
              <w:t>Total GHG Emissions (Scope 1+2+3)</w:t>
            </w:r>
          </w:p>
        </w:tc>
        <w:tc>
          <w:tcPr>
            <w:tcW w:w="2257" w:type="dxa"/>
            <w:shd w:val="clear" w:color="auto" w:fill="F2F6FA"/>
          </w:tcPr>
          <w:p w14:paraId="57A0640B" w14:textId="77777777" w:rsidR="006E4579" w:rsidRDefault="00000000">
            <w:pPr>
              <w:jc w:val="center"/>
            </w:pPr>
            <w:r>
              <w:rPr>
                <w:color w:val="757575"/>
                <w:sz w:val="16"/>
              </w:rPr>
              <w:t>Revenue Intensity</w:t>
            </w:r>
          </w:p>
        </w:tc>
        <w:tc>
          <w:tcPr>
            <w:tcW w:w="2257" w:type="dxa"/>
            <w:shd w:val="clear" w:color="auto" w:fill="F2F6FA"/>
          </w:tcPr>
          <w:p w14:paraId="3F2AE777" w14:textId="77777777" w:rsidR="006E4579" w:rsidRDefault="00000000">
            <w:pPr>
              <w:jc w:val="center"/>
            </w:pPr>
            <w:r>
              <w:rPr>
                <w:color w:val="757575"/>
                <w:sz w:val="16"/>
              </w:rPr>
              <w:t>PCAF Data Quality Score</w:t>
            </w:r>
          </w:p>
        </w:tc>
        <w:tc>
          <w:tcPr>
            <w:tcW w:w="2257" w:type="dxa"/>
            <w:shd w:val="clear" w:color="auto" w:fill="F2F6FA"/>
          </w:tcPr>
          <w:p w14:paraId="6BFEA887" w14:textId="77777777" w:rsidR="006E4579" w:rsidRDefault="00000000">
            <w:pPr>
              <w:jc w:val="center"/>
            </w:pPr>
            <w:r>
              <w:rPr>
                <w:color w:val="757575"/>
                <w:sz w:val="16"/>
              </w:rPr>
              <w:t>Financed Emissions Coverage</w:t>
            </w:r>
          </w:p>
        </w:tc>
      </w:tr>
    </w:tbl>
    <w:p w14:paraId="08FEA3FC" w14:textId="77777777" w:rsidR="006E4579" w:rsidRDefault="006E4579"/>
    <w:p w14:paraId="2BE5A4F5" w14:textId="77777777" w:rsidR="006E4579" w:rsidRDefault="00000000">
      <w:pPr>
        <w:spacing w:after="160"/>
      </w:pPr>
      <w:r>
        <w:rPr>
          <w:rFonts w:ascii="Arial" w:hAnsi="Arial"/>
        </w:rPr>
        <w:t>The institution's total greenhouse gas footprint for 2024 reached 22,024,814.27 tCO₂e across all operational and financed activities, representing a 4.07% reduction from the prior year baseline of 22,959,814.14 tCO₂e. This decline was driven primarily by improved portfolio composition in high-emission sectors, with financed emissions from Energy - Oil &amp; Gas and Manufacturing - Cement declining despite stable loan volumes. The institution's revenue intensity improved significantly to 239.400139 tCO₂e per IDR billion, a 11.37% improvement year-over-year, demonstrating decoupling of emissions growth from business expansion. The Board must prioritize three strategic imperatives: accelerating PCAF data quality improvements to achieve Score 3.0 or better by 2026, establishing science-based reduction targets aligned with 1.5°C pathways for the top three emitting sectors, and implementing enhanced climate risk governance through dedicated Board-level oversight.</w:t>
      </w:r>
    </w:p>
    <w:p w14:paraId="23F61D81" w14:textId="77777777" w:rsidR="006E4579" w:rsidRDefault="006E4579"/>
    <w:p w14:paraId="33D690D1" w14:textId="77777777" w:rsidR="006E4579" w:rsidRDefault="00000000">
      <w:r>
        <w:rPr>
          <w:b/>
          <w:color w:val="2E7D32"/>
          <w:sz w:val="24"/>
        </w:rPr>
        <w:t>⚡ Priority Actions</w:t>
      </w:r>
    </w:p>
    <w:p w14:paraId="497E692F" w14:textId="77777777" w:rsidR="006E4579" w:rsidRDefault="00000000">
      <w:r>
        <w:rPr>
          <w:b/>
        </w:rPr>
        <w:t>🔴 1. Establish science-based emission reduction targets for Energy - Oil &amp; Gas, Manufacturing - Cement, and Manufacturing - Steel sectors — These three sectors represent 85.93% of total financed emissions and require sector-specific decarbonization roadmaps aligned with IEA Net Zero scenarios (Timeline: Q2 2025)</w:t>
      </w:r>
    </w:p>
    <w:p w14:paraId="1195FFF3" w14:textId="77777777" w:rsidR="006E4579" w:rsidRDefault="00000000">
      <w:r>
        <w:rPr>
          <w:b/>
        </w:rPr>
        <w:t>🔴 2. Upgrade PCAF data quality from current 3.36 average to ≤3.0 by prioritizing primary borrower data collection for top 100 exposures — Current confidence gap of 6,696,623.16 tCO₂e (30.47% of gross financed emissions) undermines credibility of climate commitments (Timeline: Q4 2025)</w:t>
      </w:r>
    </w:p>
    <w:p w14:paraId="4288D8E1" w14:textId="77777777" w:rsidR="006E4579" w:rsidRDefault="00000000">
      <w:r>
        <w:rPr>
          <w:b/>
        </w:rPr>
        <w:t>🟡 3. Implement external limited assurance for Scope 1, 2, and material Scope 3 categories — Current 'none' assurance level creates regulatory and investor confidence risk as peers adopt third-party verification (Timeline: Q3 2025)</w:t>
      </w:r>
    </w:p>
    <w:p w14:paraId="16F51425" w14:textId="77777777" w:rsidR="006E4579" w:rsidRDefault="006E4579"/>
    <w:p w14:paraId="53129234" w14:textId="77777777" w:rsidR="006E4579" w:rsidRDefault="00000000">
      <w:pPr>
        <w:spacing w:after="160"/>
      </w:pPr>
      <w:r>
        <w:rPr>
          <w:rFonts w:ascii="Arial" w:hAnsi="Arial"/>
        </w:rPr>
        <w:t>Forward-looking statement: Subject to market conditions and regulatory developments, the institution expects continued gradual reduction in financed emissions intensity through 2026 as transition finance frameworks mature and borrower engagement programs scale. Achievement of projected trajectories depends critically on: (1) availability of reliable borrower-level emissions data, (2) regulatory clarity on Indonesia's sectoral decarbonization pathways under the Enhanced NDC, and (3) market development of green financing instruments. Peer institutions in Southeast Asia have demonstrated 8-12% annual intensity reductions through active portfolio steering and engagement strategies.</w:t>
      </w:r>
    </w:p>
    <w:p w14:paraId="0A7FA8AA" w14:textId="77777777" w:rsidR="006E4579" w:rsidRDefault="00000000">
      <w:r>
        <w:rPr>
          <w:rFonts w:ascii="Arial" w:hAnsi="Arial"/>
          <w:b/>
          <w:sz w:val="20"/>
        </w:rPr>
        <w:lastRenderedPageBreak/>
        <w:t>Table 2: ESG Scorecard</w:t>
      </w:r>
    </w:p>
    <w:tbl>
      <w:tblPr>
        <w:tblW w:w="0" w:type="auto"/>
        <w:jc w:val="center"/>
        <w:tblLook w:val="04A0" w:firstRow="1" w:lastRow="0" w:firstColumn="1" w:lastColumn="0" w:noHBand="0" w:noVBand="1"/>
      </w:tblPr>
      <w:tblGrid>
        <w:gridCol w:w="3010"/>
        <w:gridCol w:w="3010"/>
        <w:gridCol w:w="3010"/>
      </w:tblGrid>
      <w:tr w:rsidR="006E4579" w14:paraId="35DB0D8E" w14:textId="77777777">
        <w:trPr>
          <w:jc w:val="center"/>
        </w:trPr>
        <w:tc>
          <w:tcPr>
            <w:tcW w:w="3010" w:type="dxa"/>
            <w:shd w:val="clear" w:color="auto" w:fill="1B3A6B"/>
          </w:tcPr>
          <w:p w14:paraId="5E763814" w14:textId="77777777" w:rsidR="006E4579" w:rsidRDefault="00000000">
            <w:r>
              <w:rPr>
                <w:rFonts w:ascii="Arial" w:hAnsi="Arial"/>
                <w:b/>
                <w:color w:val="FFFFFF"/>
                <w:sz w:val="18"/>
              </w:rPr>
              <w:t>Dimension</w:t>
            </w:r>
          </w:p>
        </w:tc>
        <w:tc>
          <w:tcPr>
            <w:tcW w:w="3010" w:type="dxa"/>
            <w:shd w:val="clear" w:color="auto" w:fill="1B3A6B"/>
          </w:tcPr>
          <w:p w14:paraId="78524B8D" w14:textId="77777777" w:rsidR="006E4579" w:rsidRDefault="00000000">
            <w:r>
              <w:rPr>
                <w:rFonts w:ascii="Arial" w:hAnsi="Arial"/>
                <w:b/>
                <w:color w:val="FFFFFF"/>
                <w:sz w:val="18"/>
              </w:rPr>
              <w:t>Rating</w:t>
            </w:r>
          </w:p>
        </w:tc>
        <w:tc>
          <w:tcPr>
            <w:tcW w:w="3010" w:type="dxa"/>
            <w:shd w:val="clear" w:color="auto" w:fill="1B3A6B"/>
          </w:tcPr>
          <w:p w14:paraId="08295CD5" w14:textId="77777777" w:rsidR="006E4579" w:rsidRDefault="00000000">
            <w:r>
              <w:rPr>
                <w:rFonts w:ascii="Arial" w:hAnsi="Arial"/>
                <w:b/>
                <w:color w:val="FFFFFF"/>
                <w:sz w:val="18"/>
              </w:rPr>
              <w:t>Key Driver</w:t>
            </w:r>
          </w:p>
        </w:tc>
      </w:tr>
      <w:tr w:rsidR="006E4579" w14:paraId="790491C5" w14:textId="77777777">
        <w:trPr>
          <w:jc w:val="center"/>
        </w:trPr>
        <w:tc>
          <w:tcPr>
            <w:tcW w:w="3010" w:type="dxa"/>
          </w:tcPr>
          <w:p w14:paraId="2FA3C093" w14:textId="77777777" w:rsidR="006E4579" w:rsidRDefault="00000000">
            <w:r>
              <w:rPr>
                <w:rFonts w:ascii="Arial" w:hAnsi="Arial"/>
                <w:sz w:val="18"/>
              </w:rPr>
              <w:t>Environmental</w:t>
            </w:r>
          </w:p>
        </w:tc>
        <w:tc>
          <w:tcPr>
            <w:tcW w:w="3010" w:type="dxa"/>
          </w:tcPr>
          <w:p w14:paraId="381FA5E3" w14:textId="77777777" w:rsidR="006E4579" w:rsidRDefault="00000000">
            <w:r>
              <w:rPr>
                <w:rFonts w:ascii="Arial" w:hAnsi="Arial"/>
                <w:sz w:val="18"/>
              </w:rPr>
              <w:t>🟢</w:t>
            </w:r>
          </w:p>
        </w:tc>
        <w:tc>
          <w:tcPr>
            <w:tcW w:w="3010" w:type="dxa"/>
          </w:tcPr>
          <w:p w14:paraId="312BD12E" w14:textId="77777777" w:rsidR="006E4579" w:rsidRDefault="00000000">
            <w:r>
              <w:rPr>
                <w:rFonts w:ascii="Arial" w:hAnsi="Arial"/>
                <w:sz w:val="18"/>
              </w:rPr>
              <w:t>Total emissions decreased 4.07% YoY; revenue intensity improved 11.37%</w:t>
            </w:r>
          </w:p>
        </w:tc>
      </w:tr>
      <w:tr w:rsidR="006E4579" w14:paraId="32B584A9" w14:textId="77777777">
        <w:trPr>
          <w:jc w:val="center"/>
        </w:trPr>
        <w:tc>
          <w:tcPr>
            <w:tcW w:w="3010" w:type="dxa"/>
            <w:shd w:val="clear" w:color="auto" w:fill="F2F6FC"/>
          </w:tcPr>
          <w:p w14:paraId="3F593E62" w14:textId="77777777" w:rsidR="006E4579" w:rsidRDefault="00000000">
            <w:r>
              <w:rPr>
                <w:rFonts w:ascii="Arial" w:hAnsi="Arial"/>
                <w:sz w:val="18"/>
              </w:rPr>
              <w:t>Social</w:t>
            </w:r>
          </w:p>
        </w:tc>
        <w:tc>
          <w:tcPr>
            <w:tcW w:w="3010" w:type="dxa"/>
            <w:shd w:val="clear" w:color="auto" w:fill="F2F6FC"/>
          </w:tcPr>
          <w:p w14:paraId="5DBB0D57" w14:textId="77777777" w:rsidR="006E4579" w:rsidRDefault="00000000">
            <w:r>
              <w:rPr>
                <w:rFonts w:ascii="Arial" w:hAnsi="Arial"/>
                <w:sz w:val="18"/>
              </w:rPr>
              <w:t>🟡</w:t>
            </w:r>
          </w:p>
        </w:tc>
        <w:tc>
          <w:tcPr>
            <w:tcW w:w="3010" w:type="dxa"/>
            <w:shd w:val="clear" w:color="auto" w:fill="F2F6FC"/>
          </w:tcPr>
          <w:p w14:paraId="6BFBB757" w14:textId="77777777" w:rsidR="006E4579" w:rsidRDefault="00000000">
            <w:r>
              <w:rPr>
                <w:rFonts w:ascii="Arial" w:hAnsi="Arial"/>
                <w:sz w:val="18"/>
              </w:rPr>
              <w:t>Female representation 42.32% (above 40% threshold) but training hours 49.3 (below 30hr minimum not met due to decline)</w:t>
            </w:r>
          </w:p>
        </w:tc>
      </w:tr>
      <w:tr w:rsidR="006E4579" w14:paraId="6E5FA63B" w14:textId="77777777">
        <w:trPr>
          <w:jc w:val="center"/>
        </w:trPr>
        <w:tc>
          <w:tcPr>
            <w:tcW w:w="3010" w:type="dxa"/>
          </w:tcPr>
          <w:p w14:paraId="78AF0B34" w14:textId="77777777" w:rsidR="006E4579" w:rsidRDefault="00000000">
            <w:r>
              <w:rPr>
                <w:rFonts w:ascii="Arial" w:hAnsi="Arial"/>
                <w:sz w:val="18"/>
              </w:rPr>
              <w:t>Governance</w:t>
            </w:r>
          </w:p>
        </w:tc>
        <w:tc>
          <w:tcPr>
            <w:tcW w:w="3010" w:type="dxa"/>
          </w:tcPr>
          <w:p w14:paraId="6E4DB27D" w14:textId="77777777" w:rsidR="006E4579" w:rsidRDefault="00000000">
            <w:r>
              <w:rPr>
                <w:rFonts w:ascii="Arial" w:hAnsi="Arial"/>
                <w:sz w:val="18"/>
              </w:rPr>
              <w:t>🟡</w:t>
            </w:r>
          </w:p>
        </w:tc>
        <w:tc>
          <w:tcPr>
            <w:tcW w:w="3010" w:type="dxa"/>
          </w:tcPr>
          <w:p w14:paraId="35C55521" w14:textId="77777777" w:rsidR="006E4579" w:rsidRDefault="00000000">
            <w:r>
              <w:rPr>
                <w:rFonts w:ascii="Arial" w:hAnsi="Arial"/>
                <w:sz w:val="18"/>
              </w:rPr>
              <w:t>PCAF methodology adopted and sector-level disclosure implemented; gaps remain in Board climate oversight and science-based targets</w:t>
            </w:r>
          </w:p>
        </w:tc>
      </w:tr>
    </w:tbl>
    <w:p w14:paraId="66791E11" w14:textId="77777777" w:rsidR="006E4579" w:rsidRDefault="00000000">
      <w:r>
        <w:rPr>
          <w:rFonts w:ascii="Arial" w:hAnsi="Arial"/>
          <w:i/>
          <w:sz w:val="16"/>
        </w:rPr>
        <w:t>Source: Ratings derived from quantitative thresholds applied to reported metrics</w:t>
      </w:r>
    </w:p>
    <w:p w14:paraId="4F835D19" w14:textId="77777777" w:rsidR="006E4579" w:rsidRDefault="006E4579"/>
    <w:p w14:paraId="7D9769A3" w14:textId="77777777" w:rsidR="006E4579" w:rsidRDefault="00000000">
      <w:r>
        <w:rPr>
          <w:rFonts w:ascii="Arial" w:hAnsi="Arial"/>
          <w:b/>
          <w:sz w:val="20"/>
        </w:rPr>
        <w:t>Table 4: Risk &amp; Opportunity Matrix</w:t>
      </w:r>
    </w:p>
    <w:tbl>
      <w:tblPr>
        <w:tblW w:w="0" w:type="auto"/>
        <w:jc w:val="center"/>
        <w:tblLook w:val="04A0" w:firstRow="1" w:lastRow="0" w:firstColumn="1" w:lastColumn="0" w:noHBand="0" w:noVBand="1"/>
      </w:tblPr>
      <w:tblGrid>
        <w:gridCol w:w="3010"/>
        <w:gridCol w:w="3010"/>
        <w:gridCol w:w="3010"/>
      </w:tblGrid>
      <w:tr w:rsidR="006E4579" w14:paraId="7DCE4543" w14:textId="77777777">
        <w:trPr>
          <w:jc w:val="center"/>
        </w:trPr>
        <w:tc>
          <w:tcPr>
            <w:tcW w:w="3010" w:type="dxa"/>
            <w:shd w:val="clear" w:color="auto" w:fill="1B3A6B"/>
          </w:tcPr>
          <w:p w14:paraId="34BC7F16" w14:textId="77777777" w:rsidR="006E4579" w:rsidRDefault="006E4579"/>
        </w:tc>
        <w:tc>
          <w:tcPr>
            <w:tcW w:w="3010" w:type="dxa"/>
            <w:shd w:val="clear" w:color="auto" w:fill="1B3A6B"/>
          </w:tcPr>
          <w:p w14:paraId="3E6445FC" w14:textId="77777777" w:rsidR="006E4579" w:rsidRDefault="00000000">
            <w:r>
              <w:rPr>
                <w:rFonts w:ascii="Arial" w:hAnsi="Arial"/>
                <w:b/>
                <w:color w:val="FFFFFF"/>
                <w:sz w:val="18"/>
              </w:rPr>
              <w:t>Short-term (1-2 years)</w:t>
            </w:r>
          </w:p>
        </w:tc>
        <w:tc>
          <w:tcPr>
            <w:tcW w:w="3010" w:type="dxa"/>
            <w:shd w:val="clear" w:color="auto" w:fill="1B3A6B"/>
          </w:tcPr>
          <w:p w14:paraId="27DDA9F8" w14:textId="77777777" w:rsidR="006E4579" w:rsidRDefault="00000000">
            <w:r>
              <w:rPr>
                <w:rFonts w:ascii="Arial" w:hAnsi="Arial"/>
                <w:b/>
                <w:color w:val="FFFFFF"/>
                <w:sz w:val="18"/>
              </w:rPr>
              <w:t>Medium-term (3-5 years)</w:t>
            </w:r>
          </w:p>
        </w:tc>
      </w:tr>
      <w:tr w:rsidR="006E4579" w14:paraId="68EF62D4" w14:textId="77777777">
        <w:trPr>
          <w:jc w:val="center"/>
        </w:trPr>
        <w:tc>
          <w:tcPr>
            <w:tcW w:w="3010" w:type="dxa"/>
          </w:tcPr>
          <w:p w14:paraId="6D44280E" w14:textId="77777777" w:rsidR="006E4579" w:rsidRDefault="00000000">
            <w:r>
              <w:rPr>
                <w:rFonts w:ascii="Arial" w:hAnsi="Arial"/>
                <w:sz w:val="18"/>
              </w:rPr>
              <w:t>Risks</w:t>
            </w:r>
          </w:p>
        </w:tc>
        <w:tc>
          <w:tcPr>
            <w:tcW w:w="3010" w:type="dxa"/>
          </w:tcPr>
          <w:p w14:paraId="6AC17FB8" w14:textId="77777777" w:rsidR="006E4579" w:rsidRDefault="00000000">
            <w:r>
              <w:rPr>
                <w:rFonts w:ascii="Arial" w:hAnsi="Arial"/>
                <w:sz w:val="18"/>
              </w:rPr>
              <w:t>• PCAF data quality score 3.36 limits credibility of climate commitments</w:t>
            </w:r>
            <w:r>
              <w:rPr>
                <w:rFonts w:ascii="Arial" w:hAnsi="Arial"/>
                <w:sz w:val="18"/>
              </w:rPr>
              <w:br/>
              <w:t>• 85.93% of financed emissions concentrated in three high-transition-risk sectors</w:t>
            </w:r>
            <w:r>
              <w:rPr>
                <w:rFonts w:ascii="Arial" w:hAnsi="Arial"/>
                <w:sz w:val="18"/>
              </w:rPr>
              <w:br/>
              <w:t>• Absence of external assurance creates regulatory compliance risk</w:t>
            </w:r>
          </w:p>
        </w:tc>
        <w:tc>
          <w:tcPr>
            <w:tcW w:w="3010" w:type="dxa"/>
          </w:tcPr>
          <w:p w14:paraId="1C4D9F92" w14:textId="77777777" w:rsidR="006E4579" w:rsidRDefault="00000000">
            <w:r>
              <w:rPr>
                <w:rFonts w:ascii="Arial" w:hAnsi="Arial"/>
                <w:sz w:val="18"/>
              </w:rPr>
              <w:t>• Potential stranded asset exposure in Energy - Oil &amp; Gas portfolio (IDR 102.67 trillion outstanding)</w:t>
            </w:r>
            <w:r>
              <w:rPr>
                <w:rFonts w:ascii="Arial" w:hAnsi="Arial"/>
                <w:sz w:val="18"/>
              </w:rPr>
              <w:br/>
              <w:t>• Regulatory tightening under OJK PSPK Phase 2 may require accelerated portfolio decarbonization</w:t>
            </w:r>
            <w:r>
              <w:rPr>
                <w:rFonts w:ascii="Arial" w:hAnsi="Arial"/>
                <w:sz w:val="18"/>
              </w:rPr>
              <w:br/>
              <w:t>• Peer institutions advancing faster on transition finance frameworks</w:t>
            </w:r>
          </w:p>
        </w:tc>
      </w:tr>
      <w:tr w:rsidR="006E4579" w14:paraId="134FE62F" w14:textId="77777777">
        <w:trPr>
          <w:jc w:val="center"/>
        </w:trPr>
        <w:tc>
          <w:tcPr>
            <w:tcW w:w="3010" w:type="dxa"/>
            <w:shd w:val="clear" w:color="auto" w:fill="F2F6FC"/>
          </w:tcPr>
          <w:p w14:paraId="42AF4119" w14:textId="77777777" w:rsidR="006E4579" w:rsidRDefault="00000000">
            <w:r>
              <w:rPr>
                <w:rFonts w:ascii="Arial" w:hAnsi="Arial"/>
                <w:sz w:val="18"/>
              </w:rPr>
              <w:t>Opportunities</w:t>
            </w:r>
          </w:p>
        </w:tc>
        <w:tc>
          <w:tcPr>
            <w:tcW w:w="3010" w:type="dxa"/>
            <w:shd w:val="clear" w:color="auto" w:fill="F2F6FC"/>
          </w:tcPr>
          <w:p w14:paraId="58612D01" w14:textId="77777777" w:rsidR="006E4579" w:rsidRDefault="00000000">
            <w:r>
              <w:rPr>
                <w:rFonts w:ascii="Arial" w:hAnsi="Arial"/>
                <w:sz w:val="18"/>
              </w:rPr>
              <w:t>• Transition finance product development for Manufacturing - Cement sector (26.45% of financed emissions)</w:t>
            </w:r>
            <w:r>
              <w:rPr>
                <w:rFonts w:ascii="Arial" w:hAnsi="Arial"/>
                <w:sz w:val="18"/>
              </w:rPr>
              <w:br/>
              <w:t>• Operational efficiency gains through renewable energy procurement for Scope 2</w:t>
            </w:r>
            <w:r>
              <w:rPr>
                <w:rFonts w:ascii="Arial" w:hAnsi="Arial"/>
                <w:sz w:val="18"/>
              </w:rPr>
              <w:br/>
              <w:t>• Enhanced investor appeal through science-based target adoption</w:t>
            </w:r>
          </w:p>
        </w:tc>
        <w:tc>
          <w:tcPr>
            <w:tcW w:w="3010" w:type="dxa"/>
            <w:shd w:val="clear" w:color="auto" w:fill="F2F6FC"/>
          </w:tcPr>
          <w:p w14:paraId="23085FCC" w14:textId="77777777" w:rsidR="006E4579" w:rsidRDefault="00000000">
            <w:r>
              <w:rPr>
                <w:rFonts w:ascii="Arial" w:hAnsi="Arial"/>
                <w:sz w:val="18"/>
              </w:rPr>
              <w:t>• Market leadership in green bond issuance for infrastructure sectors</w:t>
            </w:r>
            <w:r>
              <w:rPr>
                <w:rFonts w:ascii="Arial" w:hAnsi="Arial"/>
                <w:sz w:val="18"/>
              </w:rPr>
              <w:br/>
              <w:t>• Portfolio rebalancing toward low-carbon sectors (Financial Services, Real Estate) with 13.75% combined financed emissions</w:t>
            </w:r>
            <w:r>
              <w:rPr>
                <w:rFonts w:ascii="Arial" w:hAnsi="Arial"/>
                <w:sz w:val="18"/>
              </w:rPr>
              <w:br/>
              <w:t>• Climate risk premium pricing for high-emission exposures</w:t>
            </w:r>
          </w:p>
        </w:tc>
      </w:tr>
    </w:tbl>
    <w:p w14:paraId="7B3E6114" w14:textId="77777777" w:rsidR="006E4579" w:rsidRDefault="00000000">
      <w:r>
        <w:rPr>
          <w:rFonts w:ascii="Arial" w:hAnsi="Arial"/>
          <w:i/>
          <w:sz w:val="16"/>
        </w:rPr>
        <w:t>Source: Risk and opportunity assessment based on portfolio composition and regulatory trajectory</w:t>
      </w:r>
    </w:p>
    <w:p w14:paraId="231F2B76" w14:textId="77777777" w:rsidR="006E4579" w:rsidRDefault="006E4579"/>
    <w:p w14:paraId="7DD3169E" w14:textId="77777777" w:rsidR="006E4579" w:rsidRDefault="006E4579"/>
    <w:p w14:paraId="2617B9EA" w14:textId="77777777" w:rsidR="006E4579" w:rsidRDefault="00000000">
      <w:r>
        <w:rPr>
          <w:noProof/>
        </w:rPr>
        <w:lastRenderedPageBreak/>
        <w:drawing>
          <wp:inline distT="0" distB="0" distL="0" distR="0" wp14:anchorId="6A6A58A8" wp14:editId="0CD80983">
            <wp:extent cx="5029200" cy="3332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29200" cy="3332057"/>
                    </a:xfrm>
                    <a:prstGeom prst="rect">
                      <a:avLst/>
                    </a:prstGeom>
                  </pic:spPr>
                </pic:pic>
              </a:graphicData>
            </a:graphic>
          </wp:inline>
        </w:drawing>
      </w:r>
    </w:p>
    <w:p w14:paraId="77440C10" w14:textId="77777777" w:rsidR="006E4579" w:rsidRDefault="00000000">
      <w:pPr>
        <w:jc w:val="center"/>
      </w:pPr>
      <w:r>
        <w:rPr>
          <w:i/>
          <w:color w:val="666666"/>
          <w:sz w:val="18"/>
        </w:rPr>
        <w:t>Figure 1: Total GHG Emissions by Scope (YoY)</w:t>
      </w:r>
    </w:p>
    <w:p w14:paraId="088FBBA6" w14:textId="77777777" w:rsidR="006E4579" w:rsidRDefault="006E4579"/>
    <w:p w14:paraId="0D1E9045" w14:textId="77777777" w:rsidR="006E4579" w:rsidRDefault="00000000">
      <w:r>
        <w:rPr>
          <w:noProof/>
        </w:rPr>
        <w:drawing>
          <wp:inline distT="0" distB="0" distL="0" distR="0" wp14:anchorId="56F1B051" wp14:editId="11060971">
            <wp:extent cx="5029200" cy="3332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29200" cy="3332057"/>
                    </a:xfrm>
                    <a:prstGeom prst="rect">
                      <a:avLst/>
                    </a:prstGeom>
                  </pic:spPr>
                </pic:pic>
              </a:graphicData>
            </a:graphic>
          </wp:inline>
        </w:drawing>
      </w:r>
    </w:p>
    <w:p w14:paraId="68916D0C" w14:textId="77777777" w:rsidR="006E4579" w:rsidRDefault="00000000">
      <w:pPr>
        <w:jc w:val="center"/>
      </w:pPr>
      <w:r>
        <w:rPr>
          <w:i/>
          <w:color w:val="666666"/>
          <w:sz w:val="18"/>
        </w:rPr>
        <w:t>Figure 2: Emission Source Distribution (FY2024)</w:t>
      </w:r>
    </w:p>
    <w:p w14:paraId="2E11583A" w14:textId="77777777" w:rsidR="006E4579" w:rsidRDefault="006E4579"/>
    <w:p w14:paraId="6A726E01" w14:textId="77777777" w:rsidR="006E4579" w:rsidRDefault="00000000">
      <w:r>
        <w:rPr>
          <w:noProof/>
        </w:rPr>
        <w:lastRenderedPageBreak/>
        <w:drawing>
          <wp:inline distT="0" distB="0" distL="0" distR="0" wp14:anchorId="2FA4EAC0" wp14:editId="64CE9227">
            <wp:extent cx="5029200" cy="33320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3332057"/>
                    </a:xfrm>
                    <a:prstGeom prst="rect">
                      <a:avLst/>
                    </a:prstGeom>
                  </pic:spPr>
                </pic:pic>
              </a:graphicData>
            </a:graphic>
          </wp:inline>
        </w:drawing>
      </w:r>
    </w:p>
    <w:p w14:paraId="42F2FA66" w14:textId="77777777" w:rsidR="006E4579" w:rsidRDefault="00000000">
      <w:pPr>
        <w:jc w:val="center"/>
      </w:pPr>
      <w:r>
        <w:rPr>
          <w:i/>
          <w:color w:val="666666"/>
          <w:sz w:val="18"/>
        </w:rPr>
        <w:t>Figure 3: Emission Intensity Trend</w:t>
      </w:r>
    </w:p>
    <w:p w14:paraId="7E7CF351" w14:textId="77777777" w:rsidR="006E4579" w:rsidRDefault="00000000">
      <w:r>
        <w:br w:type="page"/>
      </w:r>
    </w:p>
    <w:p w14:paraId="1A8F6995" w14:textId="77777777" w:rsidR="006E4579" w:rsidRDefault="00000000">
      <w:pPr>
        <w:pStyle w:val="Heading2"/>
        <w:spacing w:before="360" w:after="160"/>
      </w:pPr>
      <w:r>
        <w:rPr>
          <w:rFonts w:ascii="Arial" w:hAnsi="Arial"/>
          <w:color w:val="3D6094"/>
          <w:sz w:val="28"/>
        </w:rPr>
        <w:lastRenderedPageBreak/>
        <w:t>Detailed Performance Summary</w:t>
      </w:r>
    </w:p>
    <w:p w14:paraId="0AD2360D" w14:textId="77777777" w:rsidR="006E4579" w:rsidRDefault="00000000">
      <w:pPr>
        <w:spacing w:after="160"/>
      </w:pPr>
      <w:r>
        <w:rPr>
          <w:rFonts w:ascii="Arial" w:hAnsi="Arial"/>
        </w:rPr>
        <w:t>The institution's environmental performance in 2024 demonstrates measurable progress across operational and financed emission categories. Scope 1 direct emissions from owned facilities totaled 3,402.997 tCO₂e, comprising 1,199.7924 tCO₂e from natural gas combustion and 2,203.2044 tCO₂e from diesel generators. Scope 2 indirect emissions from purchased electricity reached 44,613.876 tCO₂e on a location-based methodology and 44,612.518 tCO₂e on a market-based methodology, reflecting minimal difference due to grid-average electricity sourcing without renewable energy certificates. Scope 3 Category 15 financed emissions constitute 99.78% of the total footprint at 21,976,797.3 tCO₂e gross (15,280,174.14 tCO₂e weighted), with concentration in three high-emission sectors: Energy - Oil &amp; Gas (43.56% of financed emissions), Manufacturing - Cement (26.45%), and Manufacturing - Steel (15.92%). The year-over-year reduction of 4.07% was achieved through portfolio rebalancing rather than absolute borrower emission reductions, as evidenced by the absence of borrower-level trend data. Operational emission intensity per full-time equivalent improved to 1.9209 tCO₂e/FTE from 1.956 tCO₂e/FTE, a 1.79% reduction driven by headcount growth of 2.03% outpacing operational emission growth.</w:t>
      </w:r>
    </w:p>
    <w:p w14:paraId="3D7037B0" w14:textId="77777777" w:rsidR="006E4579" w:rsidRDefault="00000000">
      <w:pPr>
        <w:spacing w:after="160"/>
      </w:pPr>
      <w:r>
        <w:rPr>
          <w:rFonts w:ascii="Arial" w:hAnsi="Arial"/>
        </w:rPr>
        <w:t>Social performance metrics for 2024 reveal mixed progress against diversity and talent development objectives. Total workforce reached 24,997 full-time equivalents, comprising 10,579 female employees (42.32%) and 14,418 male employees (57.68%), representing a 3.88 percentage point decline in female representation from the prior year's 46.2%. Female representation in management positions decreased to 26.67% from 28.45%, a 1.78 percentage point decline that signals potential pipeline challenges for senior leadership diversity. Voluntary turnover improved significantly to 8.45% from 14.24%, a 40.66% reduction indicating enhanced employee retention amid competitive labor market conditions. Training intensity decreased to 49.3 hours per FTE from 64.14 hours, a 23.14% decline that may reflect post-pandemic normalization of training delivery models. The institution recorded 2 discrimination cases during the reporting period, down from 3 cases in 2023, with all cases resolved through internal grievance mechanisms. New hire intake totaled 2,595 employees (10.38% hiring rate), down from 3,169 hires (12.93% rate) in the prior year, reflecting more selective talent acquisition aligned with strategic workforce planning.</w:t>
      </w:r>
    </w:p>
    <w:p w14:paraId="15151FCD" w14:textId="77777777" w:rsidR="006E4579" w:rsidRDefault="00000000">
      <w:pPr>
        <w:spacing w:after="160"/>
      </w:pPr>
      <w:r>
        <w:rPr>
          <w:rFonts w:ascii="Arial" w:hAnsi="Arial"/>
        </w:rPr>
        <w:t>Data quality assessment reveals significant opportunities for measurement precision enhancement. The portfolio-weighted PCAF data quality score of 3.36 indicates reliance on sector-average emission factors and proxy data for the majority of financed emissions calculations, with limited primary borrower data integration. The confidence gap between gross financed emissions (21,976,797.3 tCO₂e) and weighted financed emissions (15,280,174.14 tCO₂e) totals 6,696,623.16 tCO₂e, representing 30.47% uncertainty attributable to data quality limitations and attribution methodology. Sector-level data quality varies from 3.21 (Retail Trade) to 3.42 (Financial Services), with no sector achieving the target threshold of ≤3.0 for high-confidence reporting. The institution has not obtained external assurance for any emission scope during the current reporting period, creating potential credibility gaps for stakeholder communications and regulatory submissions. Operational emission data quality is high (Score 1) for the top 10 facilities representing 31.7% of total Scope 1 emissions, with primary metering and monthly reconciliation processes in place.</w:t>
      </w:r>
    </w:p>
    <w:p w14:paraId="6671AC2D" w14:textId="77777777" w:rsidR="006E4579" w:rsidRDefault="00000000">
      <w:r>
        <w:rPr>
          <w:rFonts w:ascii="Arial" w:hAnsi="Arial"/>
          <w:b/>
          <w:sz w:val="20"/>
        </w:rPr>
        <w:t>Table 6: Environmental Performance Summary</w:t>
      </w:r>
    </w:p>
    <w:tbl>
      <w:tblPr>
        <w:tblW w:w="0" w:type="auto"/>
        <w:jc w:val="center"/>
        <w:tblLook w:val="04A0" w:firstRow="1" w:lastRow="0" w:firstColumn="1" w:lastColumn="0" w:noHBand="0" w:noVBand="1"/>
      </w:tblPr>
      <w:tblGrid>
        <w:gridCol w:w="1806"/>
        <w:gridCol w:w="1806"/>
        <w:gridCol w:w="1806"/>
        <w:gridCol w:w="1806"/>
        <w:gridCol w:w="1806"/>
      </w:tblGrid>
      <w:tr w:rsidR="006E4579" w14:paraId="4951C843" w14:textId="77777777">
        <w:trPr>
          <w:jc w:val="center"/>
        </w:trPr>
        <w:tc>
          <w:tcPr>
            <w:tcW w:w="1806" w:type="dxa"/>
            <w:shd w:val="clear" w:color="auto" w:fill="1B3A6B"/>
          </w:tcPr>
          <w:p w14:paraId="31E716BC" w14:textId="77777777" w:rsidR="006E4579" w:rsidRDefault="00000000">
            <w:r>
              <w:rPr>
                <w:rFonts w:ascii="Arial" w:hAnsi="Arial"/>
                <w:b/>
                <w:color w:val="FFFFFF"/>
                <w:sz w:val="18"/>
              </w:rPr>
              <w:lastRenderedPageBreak/>
              <w:t>Metric</w:t>
            </w:r>
          </w:p>
        </w:tc>
        <w:tc>
          <w:tcPr>
            <w:tcW w:w="1806" w:type="dxa"/>
            <w:shd w:val="clear" w:color="auto" w:fill="1B3A6B"/>
          </w:tcPr>
          <w:p w14:paraId="096002B7" w14:textId="77777777" w:rsidR="006E4579" w:rsidRDefault="00000000">
            <w:r>
              <w:rPr>
                <w:rFonts w:ascii="Arial" w:hAnsi="Arial"/>
                <w:b/>
                <w:color w:val="FFFFFF"/>
                <w:sz w:val="18"/>
              </w:rPr>
              <w:t>FY2023</w:t>
            </w:r>
          </w:p>
        </w:tc>
        <w:tc>
          <w:tcPr>
            <w:tcW w:w="1806" w:type="dxa"/>
            <w:shd w:val="clear" w:color="auto" w:fill="1B3A6B"/>
          </w:tcPr>
          <w:p w14:paraId="4354E6D8" w14:textId="77777777" w:rsidR="006E4579" w:rsidRDefault="00000000">
            <w:r>
              <w:rPr>
                <w:rFonts w:ascii="Arial" w:hAnsi="Arial"/>
                <w:b/>
                <w:color w:val="FFFFFF"/>
                <w:sz w:val="18"/>
              </w:rPr>
              <w:t>FY2024</w:t>
            </w:r>
          </w:p>
        </w:tc>
        <w:tc>
          <w:tcPr>
            <w:tcW w:w="1806" w:type="dxa"/>
            <w:shd w:val="clear" w:color="auto" w:fill="1B3A6B"/>
          </w:tcPr>
          <w:p w14:paraId="2B28C76F" w14:textId="77777777" w:rsidR="006E4579" w:rsidRDefault="00000000">
            <w:r>
              <w:rPr>
                <w:rFonts w:ascii="Arial" w:hAnsi="Arial"/>
                <w:b/>
                <w:color w:val="FFFFFF"/>
                <w:sz w:val="18"/>
              </w:rPr>
              <w:t>YoY Change</w:t>
            </w:r>
          </w:p>
        </w:tc>
        <w:tc>
          <w:tcPr>
            <w:tcW w:w="1806" w:type="dxa"/>
            <w:shd w:val="clear" w:color="auto" w:fill="1B3A6B"/>
          </w:tcPr>
          <w:p w14:paraId="5677B46E" w14:textId="77777777" w:rsidR="006E4579" w:rsidRDefault="00000000">
            <w:r>
              <w:rPr>
                <w:rFonts w:ascii="Arial" w:hAnsi="Arial"/>
                <w:b/>
                <w:color w:val="FFFFFF"/>
                <w:sz w:val="18"/>
              </w:rPr>
              <w:t>Unit</w:t>
            </w:r>
          </w:p>
        </w:tc>
      </w:tr>
      <w:tr w:rsidR="006E4579" w14:paraId="6BA26749" w14:textId="77777777">
        <w:trPr>
          <w:jc w:val="center"/>
        </w:trPr>
        <w:tc>
          <w:tcPr>
            <w:tcW w:w="1806" w:type="dxa"/>
          </w:tcPr>
          <w:p w14:paraId="617C862F" w14:textId="77777777" w:rsidR="006E4579" w:rsidRDefault="00000000">
            <w:r>
              <w:rPr>
                <w:rFonts w:ascii="Arial" w:hAnsi="Arial"/>
                <w:sz w:val="18"/>
              </w:rPr>
              <w:t>Scope 1 Direct Emissions</w:t>
            </w:r>
          </w:p>
        </w:tc>
        <w:tc>
          <w:tcPr>
            <w:tcW w:w="1806" w:type="dxa"/>
          </w:tcPr>
          <w:p w14:paraId="01349CBC" w14:textId="77777777" w:rsidR="006E4579" w:rsidRDefault="00000000">
            <w:pPr>
              <w:jc w:val="right"/>
            </w:pPr>
            <w:r>
              <w:rPr>
                <w:rFonts w:ascii="Arial" w:hAnsi="Arial"/>
                <w:sz w:val="18"/>
              </w:rPr>
              <w:t>3,324.521</w:t>
            </w:r>
          </w:p>
        </w:tc>
        <w:tc>
          <w:tcPr>
            <w:tcW w:w="1806" w:type="dxa"/>
          </w:tcPr>
          <w:p w14:paraId="5A6D7BBD" w14:textId="77777777" w:rsidR="006E4579" w:rsidRDefault="00000000">
            <w:pPr>
              <w:jc w:val="right"/>
            </w:pPr>
            <w:r>
              <w:rPr>
                <w:rFonts w:ascii="Arial" w:hAnsi="Arial"/>
                <w:sz w:val="18"/>
              </w:rPr>
              <w:t>3,402.997</w:t>
            </w:r>
          </w:p>
        </w:tc>
        <w:tc>
          <w:tcPr>
            <w:tcW w:w="1806" w:type="dxa"/>
          </w:tcPr>
          <w:p w14:paraId="3530D848" w14:textId="77777777" w:rsidR="006E4579" w:rsidRDefault="00000000">
            <w:pPr>
              <w:jc w:val="right"/>
            </w:pPr>
            <w:r>
              <w:rPr>
                <w:rFonts w:ascii="Arial" w:hAnsi="Arial"/>
                <w:sz w:val="18"/>
              </w:rPr>
              <w:t>+2.36%</w:t>
            </w:r>
          </w:p>
        </w:tc>
        <w:tc>
          <w:tcPr>
            <w:tcW w:w="1806" w:type="dxa"/>
          </w:tcPr>
          <w:p w14:paraId="2DE60033" w14:textId="77777777" w:rsidR="006E4579" w:rsidRDefault="00000000">
            <w:r>
              <w:rPr>
                <w:rFonts w:ascii="Arial" w:hAnsi="Arial"/>
                <w:sz w:val="18"/>
              </w:rPr>
              <w:t>tCO₂e</w:t>
            </w:r>
          </w:p>
        </w:tc>
      </w:tr>
      <w:tr w:rsidR="006E4579" w14:paraId="3C811E76" w14:textId="77777777">
        <w:trPr>
          <w:jc w:val="center"/>
        </w:trPr>
        <w:tc>
          <w:tcPr>
            <w:tcW w:w="1806" w:type="dxa"/>
            <w:shd w:val="clear" w:color="auto" w:fill="F2F6FC"/>
          </w:tcPr>
          <w:p w14:paraId="506155A7" w14:textId="77777777" w:rsidR="006E4579" w:rsidRDefault="00000000">
            <w:r>
              <w:rPr>
                <w:rFonts w:ascii="Arial" w:hAnsi="Arial"/>
                <w:sz w:val="18"/>
              </w:rPr>
              <w:t>Scope 2 Location-Based</w:t>
            </w:r>
          </w:p>
        </w:tc>
        <w:tc>
          <w:tcPr>
            <w:tcW w:w="1806" w:type="dxa"/>
            <w:shd w:val="clear" w:color="auto" w:fill="F2F6FC"/>
          </w:tcPr>
          <w:p w14:paraId="411FC481" w14:textId="77777777" w:rsidR="006E4579" w:rsidRDefault="00000000">
            <w:pPr>
              <w:jc w:val="right"/>
            </w:pPr>
            <w:r>
              <w:rPr>
                <w:rFonts w:ascii="Arial" w:hAnsi="Arial"/>
                <w:sz w:val="18"/>
              </w:rPr>
              <w:t>44,599.440</w:t>
            </w:r>
          </w:p>
        </w:tc>
        <w:tc>
          <w:tcPr>
            <w:tcW w:w="1806" w:type="dxa"/>
            <w:shd w:val="clear" w:color="auto" w:fill="F2F6FC"/>
          </w:tcPr>
          <w:p w14:paraId="7AC264B9" w14:textId="77777777" w:rsidR="006E4579" w:rsidRDefault="00000000">
            <w:pPr>
              <w:jc w:val="right"/>
            </w:pPr>
            <w:r>
              <w:rPr>
                <w:rFonts w:ascii="Arial" w:hAnsi="Arial"/>
                <w:sz w:val="18"/>
              </w:rPr>
              <w:t>44,613.876</w:t>
            </w:r>
          </w:p>
        </w:tc>
        <w:tc>
          <w:tcPr>
            <w:tcW w:w="1806" w:type="dxa"/>
            <w:shd w:val="clear" w:color="auto" w:fill="F2F6FC"/>
          </w:tcPr>
          <w:p w14:paraId="0E9F0193" w14:textId="77777777" w:rsidR="006E4579" w:rsidRDefault="00000000">
            <w:pPr>
              <w:jc w:val="right"/>
            </w:pPr>
            <w:r>
              <w:rPr>
                <w:rFonts w:ascii="Arial" w:hAnsi="Arial"/>
                <w:sz w:val="18"/>
              </w:rPr>
              <w:t>+0.03%</w:t>
            </w:r>
          </w:p>
        </w:tc>
        <w:tc>
          <w:tcPr>
            <w:tcW w:w="1806" w:type="dxa"/>
            <w:shd w:val="clear" w:color="auto" w:fill="F2F6FC"/>
          </w:tcPr>
          <w:p w14:paraId="050C1B54" w14:textId="77777777" w:rsidR="006E4579" w:rsidRDefault="00000000">
            <w:r>
              <w:rPr>
                <w:rFonts w:ascii="Arial" w:hAnsi="Arial"/>
                <w:sz w:val="18"/>
              </w:rPr>
              <w:t>tCO₂e</w:t>
            </w:r>
          </w:p>
        </w:tc>
      </w:tr>
      <w:tr w:rsidR="006E4579" w14:paraId="759DA453" w14:textId="77777777">
        <w:trPr>
          <w:jc w:val="center"/>
        </w:trPr>
        <w:tc>
          <w:tcPr>
            <w:tcW w:w="1806" w:type="dxa"/>
          </w:tcPr>
          <w:p w14:paraId="407A7081" w14:textId="77777777" w:rsidR="006E4579" w:rsidRDefault="00000000">
            <w:r>
              <w:rPr>
                <w:rFonts w:ascii="Arial" w:hAnsi="Arial"/>
                <w:sz w:val="18"/>
              </w:rPr>
              <w:t>Scope 2 Market-Based</w:t>
            </w:r>
          </w:p>
        </w:tc>
        <w:tc>
          <w:tcPr>
            <w:tcW w:w="1806" w:type="dxa"/>
          </w:tcPr>
          <w:p w14:paraId="343AE453" w14:textId="77777777" w:rsidR="006E4579" w:rsidRDefault="00000000">
            <w:pPr>
              <w:jc w:val="right"/>
            </w:pPr>
            <w:r>
              <w:rPr>
                <w:rFonts w:ascii="Arial" w:hAnsi="Arial"/>
                <w:sz w:val="18"/>
              </w:rPr>
              <w:t>44,598.118</w:t>
            </w:r>
          </w:p>
        </w:tc>
        <w:tc>
          <w:tcPr>
            <w:tcW w:w="1806" w:type="dxa"/>
          </w:tcPr>
          <w:p w14:paraId="5256075D" w14:textId="77777777" w:rsidR="006E4579" w:rsidRDefault="00000000">
            <w:pPr>
              <w:jc w:val="right"/>
            </w:pPr>
            <w:r>
              <w:rPr>
                <w:rFonts w:ascii="Arial" w:hAnsi="Arial"/>
                <w:sz w:val="18"/>
              </w:rPr>
              <w:t>44,612.518</w:t>
            </w:r>
          </w:p>
        </w:tc>
        <w:tc>
          <w:tcPr>
            <w:tcW w:w="1806" w:type="dxa"/>
          </w:tcPr>
          <w:p w14:paraId="49655200" w14:textId="77777777" w:rsidR="006E4579" w:rsidRDefault="00000000">
            <w:pPr>
              <w:jc w:val="right"/>
            </w:pPr>
            <w:r>
              <w:rPr>
                <w:rFonts w:ascii="Arial" w:hAnsi="Arial"/>
                <w:sz w:val="18"/>
              </w:rPr>
              <w:t>+0.03%</w:t>
            </w:r>
          </w:p>
        </w:tc>
        <w:tc>
          <w:tcPr>
            <w:tcW w:w="1806" w:type="dxa"/>
          </w:tcPr>
          <w:p w14:paraId="4F07B453" w14:textId="77777777" w:rsidR="006E4579" w:rsidRDefault="00000000">
            <w:r>
              <w:rPr>
                <w:rFonts w:ascii="Arial" w:hAnsi="Arial"/>
                <w:sz w:val="18"/>
              </w:rPr>
              <w:t>tCO₂e</w:t>
            </w:r>
          </w:p>
        </w:tc>
      </w:tr>
      <w:tr w:rsidR="006E4579" w14:paraId="13BC495E" w14:textId="77777777">
        <w:trPr>
          <w:jc w:val="center"/>
        </w:trPr>
        <w:tc>
          <w:tcPr>
            <w:tcW w:w="1806" w:type="dxa"/>
            <w:shd w:val="clear" w:color="auto" w:fill="F2F6FC"/>
          </w:tcPr>
          <w:p w14:paraId="3BB5EBA1" w14:textId="77777777" w:rsidR="006E4579" w:rsidRDefault="00000000">
            <w:r>
              <w:rPr>
                <w:rFonts w:ascii="Arial" w:hAnsi="Arial"/>
                <w:sz w:val="18"/>
              </w:rPr>
              <w:t>Scope 3 Cat 15 Gross</w:t>
            </w:r>
          </w:p>
        </w:tc>
        <w:tc>
          <w:tcPr>
            <w:tcW w:w="1806" w:type="dxa"/>
            <w:shd w:val="clear" w:color="auto" w:fill="F2F6FC"/>
          </w:tcPr>
          <w:p w14:paraId="4D1D537C" w14:textId="77777777" w:rsidR="006E4579" w:rsidRDefault="00000000">
            <w:pPr>
              <w:jc w:val="right"/>
            </w:pPr>
            <w:r>
              <w:rPr>
                <w:rFonts w:ascii="Arial" w:hAnsi="Arial"/>
                <w:sz w:val="18"/>
              </w:rPr>
              <w:t>22,911,991.050</w:t>
            </w:r>
          </w:p>
        </w:tc>
        <w:tc>
          <w:tcPr>
            <w:tcW w:w="1806" w:type="dxa"/>
            <w:shd w:val="clear" w:color="auto" w:fill="F2F6FC"/>
          </w:tcPr>
          <w:p w14:paraId="79188746" w14:textId="77777777" w:rsidR="006E4579" w:rsidRDefault="00000000">
            <w:pPr>
              <w:jc w:val="right"/>
            </w:pPr>
            <w:r>
              <w:rPr>
                <w:rFonts w:ascii="Arial" w:hAnsi="Arial"/>
                <w:sz w:val="18"/>
              </w:rPr>
              <w:t>21,976,797.300</w:t>
            </w:r>
          </w:p>
        </w:tc>
        <w:tc>
          <w:tcPr>
            <w:tcW w:w="1806" w:type="dxa"/>
            <w:shd w:val="clear" w:color="auto" w:fill="F2F6FC"/>
          </w:tcPr>
          <w:p w14:paraId="3D0A705B" w14:textId="77777777" w:rsidR="006E4579" w:rsidRDefault="00000000">
            <w:pPr>
              <w:jc w:val="right"/>
            </w:pPr>
            <w:r>
              <w:rPr>
                <w:rFonts w:ascii="Arial" w:hAnsi="Arial"/>
                <w:sz w:val="18"/>
              </w:rPr>
              <w:t>-4.08%</w:t>
            </w:r>
          </w:p>
        </w:tc>
        <w:tc>
          <w:tcPr>
            <w:tcW w:w="1806" w:type="dxa"/>
            <w:shd w:val="clear" w:color="auto" w:fill="F2F6FC"/>
          </w:tcPr>
          <w:p w14:paraId="54852A80" w14:textId="77777777" w:rsidR="006E4579" w:rsidRDefault="00000000">
            <w:r>
              <w:rPr>
                <w:rFonts w:ascii="Arial" w:hAnsi="Arial"/>
                <w:sz w:val="18"/>
              </w:rPr>
              <w:t>tCO₂e</w:t>
            </w:r>
          </w:p>
        </w:tc>
      </w:tr>
      <w:tr w:rsidR="006E4579" w14:paraId="48C24FBD" w14:textId="77777777">
        <w:trPr>
          <w:jc w:val="center"/>
        </w:trPr>
        <w:tc>
          <w:tcPr>
            <w:tcW w:w="1806" w:type="dxa"/>
          </w:tcPr>
          <w:p w14:paraId="39575EF6" w14:textId="77777777" w:rsidR="006E4579" w:rsidRDefault="00000000">
            <w:r>
              <w:rPr>
                <w:rFonts w:ascii="Arial" w:hAnsi="Arial"/>
                <w:sz w:val="18"/>
              </w:rPr>
              <w:t>Scope 3 Cat 15 Weighted</w:t>
            </w:r>
          </w:p>
        </w:tc>
        <w:tc>
          <w:tcPr>
            <w:tcW w:w="1806" w:type="dxa"/>
          </w:tcPr>
          <w:p w14:paraId="67E2C59A" w14:textId="77777777" w:rsidR="006E4579" w:rsidRDefault="00000000">
            <w:pPr>
              <w:jc w:val="right"/>
            </w:pPr>
            <w:r>
              <w:rPr>
                <w:rFonts w:ascii="Arial" w:hAnsi="Arial"/>
                <w:sz w:val="18"/>
              </w:rPr>
              <w:t>15,576,239.570</w:t>
            </w:r>
          </w:p>
        </w:tc>
        <w:tc>
          <w:tcPr>
            <w:tcW w:w="1806" w:type="dxa"/>
          </w:tcPr>
          <w:p w14:paraId="01C394AB" w14:textId="77777777" w:rsidR="006E4579" w:rsidRDefault="00000000">
            <w:pPr>
              <w:jc w:val="right"/>
            </w:pPr>
            <w:r>
              <w:rPr>
                <w:rFonts w:ascii="Arial" w:hAnsi="Arial"/>
                <w:sz w:val="18"/>
              </w:rPr>
              <w:t>15,280,174.140</w:t>
            </w:r>
          </w:p>
        </w:tc>
        <w:tc>
          <w:tcPr>
            <w:tcW w:w="1806" w:type="dxa"/>
          </w:tcPr>
          <w:p w14:paraId="472B10EE" w14:textId="77777777" w:rsidR="006E4579" w:rsidRDefault="00000000">
            <w:pPr>
              <w:jc w:val="right"/>
            </w:pPr>
            <w:r>
              <w:rPr>
                <w:rFonts w:ascii="Arial" w:hAnsi="Arial"/>
                <w:sz w:val="18"/>
              </w:rPr>
              <w:t>-1.90%</w:t>
            </w:r>
          </w:p>
        </w:tc>
        <w:tc>
          <w:tcPr>
            <w:tcW w:w="1806" w:type="dxa"/>
          </w:tcPr>
          <w:p w14:paraId="5A3545C4" w14:textId="77777777" w:rsidR="006E4579" w:rsidRDefault="00000000">
            <w:r>
              <w:rPr>
                <w:rFonts w:ascii="Arial" w:hAnsi="Arial"/>
                <w:sz w:val="18"/>
              </w:rPr>
              <w:t>tCO₂e</w:t>
            </w:r>
          </w:p>
        </w:tc>
      </w:tr>
      <w:tr w:rsidR="006E4579" w14:paraId="68D53F35" w14:textId="77777777">
        <w:trPr>
          <w:jc w:val="center"/>
        </w:trPr>
        <w:tc>
          <w:tcPr>
            <w:tcW w:w="1806" w:type="dxa"/>
            <w:shd w:val="clear" w:color="auto" w:fill="F2F6FC"/>
          </w:tcPr>
          <w:p w14:paraId="6179CFD6" w14:textId="77777777" w:rsidR="006E4579" w:rsidRDefault="00000000">
            <w:r>
              <w:rPr>
                <w:rFonts w:ascii="Arial" w:hAnsi="Arial"/>
                <w:sz w:val="18"/>
              </w:rPr>
              <w:t>Total (Market-Based)</w:t>
            </w:r>
          </w:p>
        </w:tc>
        <w:tc>
          <w:tcPr>
            <w:tcW w:w="1806" w:type="dxa"/>
            <w:shd w:val="clear" w:color="auto" w:fill="F2F6FC"/>
          </w:tcPr>
          <w:p w14:paraId="19273E34" w14:textId="77777777" w:rsidR="006E4579" w:rsidRDefault="00000000">
            <w:pPr>
              <w:jc w:val="right"/>
            </w:pPr>
            <w:r>
              <w:rPr>
                <w:rFonts w:ascii="Arial" w:hAnsi="Arial"/>
                <w:sz w:val="18"/>
              </w:rPr>
              <w:t>22,959,814.140</w:t>
            </w:r>
          </w:p>
        </w:tc>
        <w:tc>
          <w:tcPr>
            <w:tcW w:w="1806" w:type="dxa"/>
            <w:shd w:val="clear" w:color="auto" w:fill="F2F6FC"/>
          </w:tcPr>
          <w:p w14:paraId="118A153A" w14:textId="77777777" w:rsidR="006E4579" w:rsidRDefault="00000000">
            <w:pPr>
              <w:jc w:val="right"/>
            </w:pPr>
            <w:r>
              <w:rPr>
                <w:rFonts w:ascii="Arial" w:hAnsi="Arial"/>
                <w:sz w:val="18"/>
              </w:rPr>
              <w:t>22,024,814.270</w:t>
            </w:r>
          </w:p>
        </w:tc>
        <w:tc>
          <w:tcPr>
            <w:tcW w:w="1806" w:type="dxa"/>
            <w:shd w:val="clear" w:color="auto" w:fill="F2F6FC"/>
          </w:tcPr>
          <w:p w14:paraId="795D1EB8" w14:textId="77777777" w:rsidR="006E4579" w:rsidRDefault="00000000">
            <w:pPr>
              <w:jc w:val="right"/>
            </w:pPr>
            <w:r>
              <w:rPr>
                <w:rFonts w:ascii="Arial" w:hAnsi="Arial"/>
                <w:sz w:val="18"/>
              </w:rPr>
              <w:t>-4.07%</w:t>
            </w:r>
          </w:p>
        </w:tc>
        <w:tc>
          <w:tcPr>
            <w:tcW w:w="1806" w:type="dxa"/>
            <w:shd w:val="clear" w:color="auto" w:fill="F2F6FC"/>
          </w:tcPr>
          <w:p w14:paraId="04707215" w14:textId="77777777" w:rsidR="006E4579" w:rsidRDefault="00000000">
            <w:r>
              <w:rPr>
                <w:rFonts w:ascii="Arial" w:hAnsi="Arial"/>
                <w:sz w:val="18"/>
              </w:rPr>
              <w:t>tCO₂e</w:t>
            </w:r>
          </w:p>
        </w:tc>
      </w:tr>
      <w:tr w:rsidR="006E4579" w14:paraId="0FFC7DDB" w14:textId="77777777">
        <w:trPr>
          <w:jc w:val="center"/>
        </w:trPr>
        <w:tc>
          <w:tcPr>
            <w:tcW w:w="1806" w:type="dxa"/>
          </w:tcPr>
          <w:p w14:paraId="57E6BB34" w14:textId="77777777" w:rsidR="006E4579" w:rsidRDefault="00000000">
            <w:r>
              <w:rPr>
                <w:rFonts w:ascii="Arial" w:hAnsi="Arial"/>
                <w:sz w:val="18"/>
              </w:rPr>
              <w:t>Intensity (per IDR Bn)</w:t>
            </w:r>
          </w:p>
        </w:tc>
        <w:tc>
          <w:tcPr>
            <w:tcW w:w="1806" w:type="dxa"/>
          </w:tcPr>
          <w:p w14:paraId="49A8A9C2" w14:textId="77777777" w:rsidR="006E4579" w:rsidRDefault="00000000">
            <w:pPr>
              <w:jc w:val="right"/>
            </w:pPr>
            <w:r>
              <w:rPr>
                <w:rFonts w:ascii="Arial" w:hAnsi="Arial"/>
                <w:sz w:val="18"/>
              </w:rPr>
              <w:t>270.116632</w:t>
            </w:r>
          </w:p>
        </w:tc>
        <w:tc>
          <w:tcPr>
            <w:tcW w:w="1806" w:type="dxa"/>
          </w:tcPr>
          <w:p w14:paraId="66855895" w14:textId="77777777" w:rsidR="006E4579" w:rsidRDefault="00000000">
            <w:pPr>
              <w:jc w:val="right"/>
            </w:pPr>
            <w:r>
              <w:rPr>
                <w:rFonts w:ascii="Arial" w:hAnsi="Arial"/>
                <w:sz w:val="18"/>
              </w:rPr>
              <w:t>239.400139</w:t>
            </w:r>
          </w:p>
        </w:tc>
        <w:tc>
          <w:tcPr>
            <w:tcW w:w="1806" w:type="dxa"/>
          </w:tcPr>
          <w:p w14:paraId="24A4358E" w14:textId="77777777" w:rsidR="006E4579" w:rsidRDefault="00000000">
            <w:pPr>
              <w:jc w:val="right"/>
            </w:pPr>
            <w:r>
              <w:rPr>
                <w:rFonts w:ascii="Arial" w:hAnsi="Arial"/>
                <w:sz w:val="18"/>
              </w:rPr>
              <w:t>-11.37%</w:t>
            </w:r>
          </w:p>
        </w:tc>
        <w:tc>
          <w:tcPr>
            <w:tcW w:w="1806" w:type="dxa"/>
          </w:tcPr>
          <w:p w14:paraId="4AA751DE" w14:textId="77777777" w:rsidR="006E4579" w:rsidRDefault="00000000">
            <w:r>
              <w:rPr>
                <w:rFonts w:ascii="Arial" w:hAnsi="Arial"/>
                <w:sz w:val="18"/>
              </w:rPr>
              <w:t>tCO₂e/IDR Bn</w:t>
            </w:r>
          </w:p>
        </w:tc>
      </w:tr>
      <w:tr w:rsidR="006E4579" w14:paraId="5C924F11" w14:textId="77777777">
        <w:trPr>
          <w:jc w:val="center"/>
        </w:trPr>
        <w:tc>
          <w:tcPr>
            <w:tcW w:w="1806" w:type="dxa"/>
            <w:shd w:val="clear" w:color="auto" w:fill="F2F6FC"/>
          </w:tcPr>
          <w:p w14:paraId="6474E39E" w14:textId="77777777" w:rsidR="006E4579" w:rsidRDefault="00000000">
            <w:r>
              <w:rPr>
                <w:rFonts w:ascii="Arial" w:hAnsi="Arial"/>
                <w:sz w:val="18"/>
              </w:rPr>
              <w:t>Intensity (per FTE)</w:t>
            </w:r>
          </w:p>
        </w:tc>
        <w:tc>
          <w:tcPr>
            <w:tcW w:w="1806" w:type="dxa"/>
            <w:shd w:val="clear" w:color="auto" w:fill="F2F6FC"/>
          </w:tcPr>
          <w:p w14:paraId="734D12EA" w14:textId="77777777" w:rsidR="006E4579" w:rsidRDefault="00000000">
            <w:pPr>
              <w:jc w:val="right"/>
            </w:pPr>
            <w:r>
              <w:rPr>
                <w:rFonts w:ascii="Arial" w:hAnsi="Arial"/>
                <w:sz w:val="18"/>
              </w:rPr>
              <w:t>1.956</w:t>
            </w:r>
          </w:p>
        </w:tc>
        <w:tc>
          <w:tcPr>
            <w:tcW w:w="1806" w:type="dxa"/>
            <w:shd w:val="clear" w:color="auto" w:fill="F2F6FC"/>
          </w:tcPr>
          <w:p w14:paraId="6EDB9823" w14:textId="77777777" w:rsidR="006E4579" w:rsidRDefault="00000000">
            <w:pPr>
              <w:jc w:val="right"/>
            </w:pPr>
            <w:r>
              <w:rPr>
                <w:rFonts w:ascii="Arial" w:hAnsi="Arial"/>
                <w:sz w:val="18"/>
              </w:rPr>
              <w:t>1.9209</w:t>
            </w:r>
          </w:p>
        </w:tc>
        <w:tc>
          <w:tcPr>
            <w:tcW w:w="1806" w:type="dxa"/>
            <w:shd w:val="clear" w:color="auto" w:fill="F2F6FC"/>
          </w:tcPr>
          <w:p w14:paraId="79685DBD" w14:textId="77777777" w:rsidR="006E4579" w:rsidRDefault="00000000">
            <w:pPr>
              <w:jc w:val="right"/>
            </w:pPr>
            <w:r>
              <w:rPr>
                <w:rFonts w:ascii="Arial" w:hAnsi="Arial"/>
                <w:sz w:val="18"/>
              </w:rPr>
              <w:t>-1.79%</w:t>
            </w:r>
          </w:p>
        </w:tc>
        <w:tc>
          <w:tcPr>
            <w:tcW w:w="1806" w:type="dxa"/>
            <w:shd w:val="clear" w:color="auto" w:fill="F2F6FC"/>
          </w:tcPr>
          <w:p w14:paraId="33E11293" w14:textId="77777777" w:rsidR="006E4579" w:rsidRDefault="00000000">
            <w:r>
              <w:rPr>
                <w:rFonts w:ascii="Arial" w:hAnsi="Arial"/>
                <w:sz w:val="18"/>
              </w:rPr>
              <w:t>tCO₂e/FTE</w:t>
            </w:r>
          </w:p>
        </w:tc>
      </w:tr>
    </w:tbl>
    <w:p w14:paraId="73F02BD2" w14:textId="77777777" w:rsidR="006E4579" w:rsidRDefault="00000000">
      <w:r>
        <w:rPr>
          <w:rFonts w:ascii="Arial" w:hAnsi="Arial"/>
          <w:i/>
          <w:sz w:val="16"/>
        </w:rPr>
        <w:t>Source: Market-based Scope 2 used for total per GHG Protocol hierarchy; location-based reported separately for transparency</w:t>
      </w:r>
    </w:p>
    <w:p w14:paraId="5FCDFFAA" w14:textId="77777777" w:rsidR="006E4579" w:rsidRDefault="006E4579"/>
    <w:p w14:paraId="7CD5F7A4" w14:textId="77777777" w:rsidR="006E4579" w:rsidRDefault="00000000">
      <w:r>
        <w:rPr>
          <w:rFonts w:ascii="Arial" w:hAnsi="Arial"/>
          <w:b/>
          <w:sz w:val="20"/>
        </w:rPr>
        <w:t>Table 8: Social Performance Summary</w:t>
      </w:r>
    </w:p>
    <w:tbl>
      <w:tblPr>
        <w:tblW w:w="0" w:type="auto"/>
        <w:jc w:val="center"/>
        <w:tblLook w:val="04A0" w:firstRow="1" w:lastRow="0" w:firstColumn="1" w:lastColumn="0" w:noHBand="0" w:noVBand="1"/>
      </w:tblPr>
      <w:tblGrid>
        <w:gridCol w:w="1806"/>
        <w:gridCol w:w="1806"/>
        <w:gridCol w:w="1806"/>
        <w:gridCol w:w="1806"/>
        <w:gridCol w:w="1806"/>
      </w:tblGrid>
      <w:tr w:rsidR="006E4579" w14:paraId="79B3EF59" w14:textId="77777777">
        <w:trPr>
          <w:jc w:val="center"/>
        </w:trPr>
        <w:tc>
          <w:tcPr>
            <w:tcW w:w="1806" w:type="dxa"/>
            <w:shd w:val="clear" w:color="auto" w:fill="1B3A6B"/>
          </w:tcPr>
          <w:p w14:paraId="378A5B72" w14:textId="77777777" w:rsidR="006E4579" w:rsidRDefault="00000000">
            <w:r>
              <w:rPr>
                <w:rFonts w:ascii="Arial" w:hAnsi="Arial"/>
                <w:b/>
                <w:color w:val="FFFFFF"/>
                <w:sz w:val="18"/>
              </w:rPr>
              <w:t>Metric</w:t>
            </w:r>
          </w:p>
        </w:tc>
        <w:tc>
          <w:tcPr>
            <w:tcW w:w="1806" w:type="dxa"/>
            <w:shd w:val="clear" w:color="auto" w:fill="1B3A6B"/>
          </w:tcPr>
          <w:p w14:paraId="51E2EA79" w14:textId="77777777" w:rsidR="006E4579" w:rsidRDefault="00000000">
            <w:r>
              <w:rPr>
                <w:rFonts w:ascii="Arial" w:hAnsi="Arial"/>
                <w:b/>
                <w:color w:val="FFFFFF"/>
                <w:sz w:val="18"/>
              </w:rPr>
              <w:t>FY2023</w:t>
            </w:r>
          </w:p>
        </w:tc>
        <w:tc>
          <w:tcPr>
            <w:tcW w:w="1806" w:type="dxa"/>
            <w:shd w:val="clear" w:color="auto" w:fill="1B3A6B"/>
          </w:tcPr>
          <w:p w14:paraId="0949F76E" w14:textId="77777777" w:rsidR="006E4579" w:rsidRDefault="00000000">
            <w:r>
              <w:rPr>
                <w:rFonts w:ascii="Arial" w:hAnsi="Arial"/>
                <w:b/>
                <w:color w:val="FFFFFF"/>
                <w:sz w:val="18"/>
              </w:rPr>
              <w:t>FY2024</w:t>
            </w:r>
          </w:p>
        </w:tc>
        <w:tc>
          <w:tcPr>
            <w:tcW w:w="1806" w:type="dxa"/>
            <w:shd w:val="clear" w:color="auto" w:fill="1B3A6B"/>
          </w:tcPr>
          <w:p w14:paraId="75A5F7C5" w14:textId="77777777" w:rsidR="006E4579" w:rsidRDefault="00000000">
            <w:r>
              <w:rPr>
                <w:rFonts w:ascii="Arial" w:hAnsi="Arial"/>
                <w:b/>
                <w:color w:val="FFFFFF"/>
                <w:sz w:val="18"/>
              </w:rPr>
              <w:t>YoY Change</w:t>
            </w:r>
          </w:p>
        </w:tc>
        <w:tc>
          <w:tcPr>
            <w:tcW w:w="1806" w:type="dxa"/>
            <w:shd w:val="clear" w:color="auto" w:fill="1B3A6B"/>
          </w:tcPr>
          <w:p w14:paraId="7B1F4556" w14:textId="77777777" w:rsidR="006E4579" w:rsidRDefault="00000000">
            <w:r>
              <w:rPr>
                <w:rFonts w:ascii="Arial" w:hAnsi="Arial"/>
                <w:b/>
                <w:color w:val="FFFFFF"/>
                <w:sz w:val="18"/>
              </w:rPr>
              <w:t>Unit</w:t>
            </w:r>
          </w:p>
        </w:tc>
      </w:tr>
      <w:tr w:rsidR="006E4579" w14:paraId="39C09727" w14:textId="77777777">
        <w:trPr>
          <w:jc w:val="center"/>
        </w:trPr>
        <w:tc>
          <w:tcPr>
            <w:tcW w:w="1806" w:type="dxa"/>
          </w:tcPr>
          <w:p w14:paraId="06F213F5" w14:textId="77777777" w:rsidR="006E4579" w:rsidRDefault="00000000">
            <w:r>
              <w:rPr>
                <w:rFonts w:ascii="Arial" w:hAnsi="Arial"/>
                <w:sz w:val="18"/>
              </w:rPr>
              <w:t>Total FTE</w:t>
            </w:r>
          </w:p>
        </w:tc>
        <w:tc>
          <w:tcPr>
            <w:tcW w:w="1806" w:type="dxa"/>
          </w:tcPr>
          <w:p w14:paraId="0FF463C4" w14:textId="77777777" w:rsidR="006E4579" w:rsidRDefault="00000000">
            <w:pPr>
              <w:jc w:val="right"/>
            </w:pPr>
            <w:r>
              <w:rPr>
                <w:rFonts w:ascii="Arial" w:hAnsi="Arial"/>
                <w:sz w:val="18"/>
              </w:rPr>
              <w:t>24,500</w:t>
            </w:r>
          </w:p>
        </w:tc>
        <w:tc>
          <w:tcPr>
            <w:tcW w:w="1806" w:type="dxa"/>
          </w:tcPr>
          <w:p w14:paraId="2DA40DCD" w14:textId="77777777" w:rsidR="006E4579" w:rsidRDefault="00000000">
            <w:pPr>
              <w:jc w:val="right"/>
            </w:pPr>
            <w:r>
              <w:rPr>
                <w:rFonts w:ascii="Arial" w:hAnsi="Arial"/>
                <w:sz w:val="18"/>
              </w:rPr>
              <w:t>24,997</w:t>
            </w:r>
          </w:p>
        </w:tc>
        <w:tc>
          <w:tcPr>
            <w:tcW w:w="1806" w:type="dxa"/>
          </w:tcPr>
          <w:p w14:paraId="09B242C6" w14:textId="77777777" w:rsidR="006E4579" w:rsidRDefault="00000000">
            <w:pPr>
              <w:jc w:val="right"/>
            </w:pPr>
            <w:r>
              <w:rPr>
                <w:rFonts w:ascii="Arial" w:hAnsi="Arial"/>
                <w:sz w:val="18"/>
              </w:rPr>
              <w:t>+2.03%</w:t>
            </w:r>
          </w:p>
        </w:tc>
        <w:tc>
          <w:tcPr>
            <w:tcW w:w="1806" w:type="dxa"/>
          </w:tcPr>
          <w:p w14:paraId="16B85C7B" w14:textId="77777777" w:rsidR="006E4579" w:rsidRDefault="00000000">
            <w:r>
              <w:rPr>
                <w:rFonts w:ascii="Arial" w:hAnsi="Arial"/>
                <w:sz w:val="18"/>
              </w:rPr>
              <w:t>employees</w:t>
            </w:r>
          </w:p>
        </w:tc>
      </w:tr>
      <w:tr w:rsidR="006E4579" w14:paraId="7C294CC8" w14:textId="77777777">
        <w:trPr>
          <w:jc w:val="center"/>
        </w:trPr>
        <w:tc>
          <w:tcPr>
            <w:tcW w:w="1806" w:type="dxa"/>
            <w:shd w:val="clear" w:color="auto" w:fill="F2F6FC"/>
          </w:tcPr>
          <w:p w14:paraId="2C737D0C" w14:textId="77777777" w:rsidR="006E4579" w:rsidRDefault="00000000">
            <w:r>
              <w:rPr>
                <w:rFonts w:ascii="Arial" w:hAnsi="Arial"/>
                <w:sz w:val="18"/>
              </w:rPr>
              <w:t>Female Representation</w:t>
            </w:r>
          </w:p>
        </w:tc>
        <w:tc>
          <w:tcPr>
            <w:tcW w:w="1806" w:type="dxa"/>
            <w:shd w:val="clear" w:color="auto" w:fill="F2F6FC"/>
          </w:tcPr>
          <w:p w14:paraId="659112F1" w14:textId="77777777" w:rsidR="006E4579" w:rsidRDefault="00000000">
            <w:pPr>
              <w:jc w:val="right"/>
            </w:pPr>
            <w:r>
              <w:rPr>
                <w:rFonts w:ascii="Arial" w:hAnsi="Arial"/>
                <w:sz w:val="18"/>
              </w:rPr>
              <w:t>46.2</w:t>
            </w:r>
          </w:p>
        </w:tc>
        <w:tc>
          <w:tcPr>
            <w:tcW w:w="1806" w:type="dxa"/>
            <w:shd w:val="clear" w:color="auto" w:fill="F2F6FC"/>
          </w:tcPr>
          <w:p w14:paraId="0990A2BD" w14:textId="77777777" w:rsidR="006E4579" w:rsidRDefault="00000000">
            <w:pPr>
              <w:jc w:val="right"/>
            </w:pPr>
            <w:r>
              <w:rPr>
                <w:rFonts w:ascii="Arial" w:hAnsi="Arial"/>
                <w:sz w:val="18"/>
              </w:rPr>
              <w:t>42.32</w:t>
            </w:r>
          </w:p>
        </w:tc>
        <w:tc>
          <w:tcPr>
            <w:tcW w:w="1806" w:type="dxa"/>
            <w:shd w:val="clear" w:color="auto" w:fill="F2F6FC"/>
          </w:tcPr>
          <w:p w14:paraId="0CBFD174" w14:textId="77777777" w:rsidR="006E4579" w:rsidRDefault="00000000">
            <w:r>
              <w:rPr>
                <w:rFonts w:ascii="Arial" w:hAnsi="Arial"/>
                <w:sz w:val="18"/>
              </w:rPr>
              <w:t>-3.88 pp</w:t>
            </w:r>
          </w:p>
        </w:tc>
        <w:tc>
          <w:tcPr>
            <w:tcW w:w="1806" w:type="dxa"/>
            <w:shd w:val="clear" w:color="auto" w:fill="F2F6FC"/>
          </w:tcPr>
          <w:p w14:paraId="35D309BC" w14:textId="77777777" w:rsidR="006E4579" w:rsidRDefault="00000000">
            <w:r>
              <w:rPr>
                <w:rFonts w:ascii="Arial" w:hAnsi="Arial"/>
                <w:sz w:val="18"/>
              </w:rPr>
              <w:t>%</w:t>
            </w:r>
          </w:p>
        </w:tc>
      </w:tr>
      <w:tr w:rsidR="006E4579" w14:paraId="59DF520F" w14:textId="77777777">
        <w:trPr>
          <w:jc w:val="center"/>
        </w:trPr>
        <w:tc>
          <w:tcPr>
            <w:tcW w:w="1806" w:type="dxa"/>
          </w:tcPr>
          <w:p w14:paraId="57738C8A" w14:textId="77777777" w:rsidR="006E4579" w:rsidRDefault="00000000">
            <w:r>
              <w:rPr>
                <w:rFonts w:ascii="Arial" w:hAnsi="Arial"/>
                <w:sz w:val="18"/>
              </w:rPr>
              <w:t>Female in Management</w:t>
            </w:r>
          </w:p>
        </w:tc>
        <w:tc>
          <w:tcPr>
            <w:tcW w:w="1806" w:type="dxa"/>
          </w:tcPr>
          <w:p w14:paraId="06E37BF4" w14:textId="77777777" w:rsidR="006E4579" w:rsidRDefault="00000000">
            <w:pPr>
              <w:jc w:val="right"/>
            </w:pPr>
            <w:r>
              <w:rPr>
                <w:rFonts w:ascii="Arial" w:hAnsi="Arial"/>
                <w:sz w:val="18"/>
              </w:rPr>
              <w:t>28.45</w:t>
            </w:r>
          </w:p>
        </w:tc>
        <w:tc>
          <w:tcPr>
            <w:tcW w:w="1806" w:type="dxa"/>
          </w:tcPr>
          <w:p w14:paraId="6016EFBE" w14:textId="77777777" w:rsidR="006E4579" w:rsidRDefault="00000000">
            <w:pPr>
              <w:jc w:val="right"/>
            </w:pPr>
            <w:r>
              <w:rPr>
                <w:rFonts w:ascii="Arial" w:hAnsi="Arial"/>
                <w:sz w:val="18"/>
              </w:rPr>
              <w:t>26.67</w:t>
            </w:r>
          </w:p>
        </w:tc>
        <w:tc>
          <w:tcPr>
            <w:tcW w:w="1806" w:type="dxa"/>
          </w:tcPr>
          <w:p w14:paraId="6AF83D63" w14:textId="77777777" w:rsidR="006E4579" w:rsidRDefault="00000000">
            <w:r>
              <w:rPr>
                <w:rFonts w:ascii="Arial" w:hAnsi="Arial"/>
                <w:sz w:val="18"/>
              </w:rPr>
              <w:t>-1.78 pp</w:t>
            </w:r>
          </w:p>
        </w:tc>
        <w:tc>
          <w:tcPr>
            <w:tcW w:w="1806" w:type="dxa"/>
          </w:tcPr>
          <w:p w14:paraId="5057F859" w14:textId="77777777" w:rsidR="006E4579" w:rsidRDefault="00000000">
            <w:r>
              <w:rPr>
                <w:rFonts w:ascii="Arial" w:hAnsi="Arial"/>
                <w:sz w:val="18"/>
              </w:rPr>
              <w:t>%</w:t>
            </w:r>
          </w:p>
        </w:tc>
      </w:tr>
      <w:tr w:rsidR="006E4579" w14:paraId="62D3E914" w14:textId="77777777">
        <w:trPr>
          <w:jc w:val="center"/>
        </w:trPr>
        <w:tc>
          <w:tcPr>
            <w:tcW w:w="1806" w:type="dxa"/>
            <w:shd w:val="clear" w:color="auto" w:fill="F2F6FC"/>
          </w:tcPr>
          <w:p w14:paraId="675C0095" w14:textId="77777777" w:rsidR="006E4579" w:rsidRDefault="00000000">
            <w:r>
              <w:rPr>
                <w:rFonts w:ascii="Arial" w:hAnsi="Arial"/>
                <w:sz w:val="18"/>
              </w:rPr>
              <w:t>Training Hours per FTE</w:t>
            </w:r>
          </w:p>
        </w:tc>
        <w:tc>
          <w:tcPr>
            <w:tcW w:w="1806" w:type="dxa"/>
            <w:shd w:val="clear" w:color="auto" w:fill="F2F6FC"/>
          </w:tcPr>
          <w:p w14:paraId="4F8F4CFD" w14:textId="77777777" w:rsidR="006E4579" w:rsidRDefault="00000000">
            <w:pPr>
              <w:jc w:val="right"/>
            </w:pPr>
            <w:r>
              <w:rPr>
                <w:rFonts w:ascii="Arial" w:hAnsi="Arial"/>
                <w:sz w:val="18"/>
              </w:rPr>
              <w:t>64.14</w:t>
            </w:r>
          </w:p>
        </w:tc>
        <w:tc>
          <w:tcPr>
            <w:tcW w:w="1806" w:type="dxa"/>
            <w:shd w:val="clear" w:color="auto" w:fill="F2F6FC"/>
          </w:tcPr>
          <w:p w14:paraId="47895F39" w14:textId="77777777" w:rsidR="006E4579" w:rsidRDefault="00000000">
            <w:pPr>
              <w:jc w:val="right"/>
            </w:pPr>
            <w:r>
              <w:rPr>
                <w:rFonts w:ascii="Arial" w:hAnsi="Arial"/>
                <w:sz w:val="18"/>
              </w:rPr>
              <w:t>49.3</w:t>
            </w:r>
          </w:p>
        </w:tc>
        <w:tc>
          <w:tcPr>
            <w:tcW w:w="1806" w:type="dxa"/>
            <w:shd w:val="clear" w:color="auto" w:fill="F2F6FC"/>
          </w:tcPr>
          <w:p w14:paraId="7C16FB53" w14:textId="77777777" w:rsidR="006E4579" w:rsidRDefault="00000000">
            <w:pPr>
              <w:jc w:val="right"/>
            </w:pPr>
            <w:r>
              <w:rPr>
                <w:rFonts w:ascii="Arial" w:hAnsi="Arial"/>
                <w:sz w:val="18"/>
              </w:rPr>
              <w:t>-23.14%</w:t>
            </w:r>
          </w:p>
        </w:tc>
        <w:tc>
          <w:tcPr>
            <w:tcW w:w="1806" w:type="dxa"/>
            <w:shd w:val="clear" w:color="auto" w:fill="F2F6FC"/>
          </w:tcPr>
          <w:p w14:paraId="18B49564" w14:textId="77777777" w:rsidR="006E4579" w:rsidRDefault="00000000">
            <w:r>
              <w:rPr>
                <w:rFonts w:ascii="Arial" w:hAnsi="Arial"/>
                <w:sz w:val="18"/>
              </w:rPr>
              <w:t>hours</w:t>
            </w:r>
          </w:p>
        </w:tc>
      </w:tr>
      <w:tr w:rsidR="006E4579" w14:paraId="58BF4E9C" w14:textId="77777777">
        <w:trPr>
          <w:jc w:val="center"/>
        </w:trPr>
        <w:tc>
          <w:tcPr>
            <w:tcW w:w="1806" w:type="dxa"/>
          </w:tcPr>
          <w:p w14:paraId="76A1969A" w14:textId="77777777" w:rsidR="006E4579" w:rsidRDefault="00000000">
            <w:r>
              <w:rPr>
                <w:rFonts w:ascii="Arial" w:hAnsi="Arial"/>
                <w:sz w:val="18"/>
              </w:rPr>
              <w:t>Voluntary Turnover</w:t>
            </w:r>
          </w:p>
        </w:tc>
        <w:tc>
          <w:tcPr>
            <w:tcW w:w="1806" w:type="dxa"/>
          </w:tcPr>
          <w:p w14:paraId="301B9931" w14:textId="77777777" w:rsidR="006E4579" w:rsidRDefault="00000000">
            <w:pPr>
              <w:jc w:val="right"/>
            </w:pPr>
            <w:r>
              <w:rPr>
                <w:rFonts w:ascii="Arial" w:hAnsi="Arial"/>
                <w:sz w:val="18"/>
              </w:rPr>
              <w:t>14.24</w:t>
            </w:r>
          </w:p>
        </w:tc>
        <w:tc>
          <w:tcPr>
            <w:tcW w:w="1806" w:type="dxa"/>
          </w:tcPr>
          <w:p w14:paraId="2DD0C165" w14:textId="77777777" w:rsidR="006E4579" w:rsidRDefault="00000000">
            <w:pPr>
              <w:jc w:val="right"/>
            </w:pPr>
            <w:r>
              <w:rPr>
                <w:rFonts w:ascii="Arial" w:hAnsi="Arial"/>
                <w:sz w:val="18"/>
              </w:rPr>
              <w:t>8.45</w:t>
            </w:r>
          </w:p>
        </w:tc>
        <w:tc>
          <w:tcPr>
            <w:tcW w:w="1806" w:type="dxa"/>
          </w:tcPr>
          <w:p w14:paraId="3C981C4E" w14:textId="77777777" w:rsidR="006E4579" w:rsidRDefault="00000000">
            <w:pPr>
              <w:jc w:val="right"/>
            </w:pPr>
            <w:r>
              <w:rPr>
                <w:rFonts w:ascii="Arial" w:hAnsi="Arial"/>
                <w:sz w:val="18"/>
              </w:rPr>
              <w:t>-40.66%</w:t>
            </w:r>
          </w:p>
        </w:tc>
        <w:tc>
          <w:tcPr>
            <w:tcW w:w="1806" w:type="dxa"/>
          </w:tcPr>
          <w:p w14:paraId="3282A34B" w14:textId="77777777" w:rsidR="006E4579" w:rsidRDefault="00000000">
            <w:r>
              <w:rPr>
                <w:rFonts w:ascii="Arial" w:hAnsi="Arial"/>
                <w:sz w:val="18"/>
              </w:rPr>
              <w:t>%</w:t>
            </w:r>
          </w:p>
        </w:tc>
      </w:tr>
      <w:tr w:rsidR="006E4579" w14:paraId="2B394A5F" w14:textId="77777777">
        <w:trPr>
          <w:jc w:val="center"/>
        </w:trPr>
        <w:tc>
          <w:tcPr>
            <w:tcW w:w="1806" w:type="dxa"/>
            <w:shd w:val="clear" w:color="auto" w:fill="F2F6FC"/>
          </w:tcPr>
          <w:p w14:paraId="3E3792C2" w14:textId="77777777" w:rsidR="006E4579" w:rsidRDefault="00000000">
            <w:r>
              <w:rPr>
                <w:rFonts w:ascii="Arial" w:hAnsi="Arial"/>
                <w:sz w:val="18"/>
              </w:rPr>
              <w:t>Discrimination Cases</w:t>
            </w:r>
          </w:p>
        </w:tc>
        <w:tc>
          <w:tcPr>
            <w:tcW w:w="1806" w:type="dxa"/>
            <w:shd w:val="clear" w:color="auto" w:fill="F2F6FC"/>
          </w:tcPr>
          <w:p w14:paraId="7505FF61" w14:textId="77777777" w:rsidR="006E4579" w:rsidRDefault="00000000">
            <w:pPr>
              <w:jc w:val="right"/>
            </w:pPr>
            <w:r>
              <w:rPr>
                <w:rFonts w:ascii="Arial" w:hAnsi="Arial"/>
                <w:sz w:val="18"/>
              </w:rPr>
              <w:t>3</w:t>
            </w:r>
          </w:p>
        </w:tc>
        <w:tc>
          <w:tcPr>
            <w:tcW w:w="1806" w:type="dxa"/>
            <w:shd w:val="clear" w:color="auto" w:fill="F2F6FC"/>
          </w:tcPr>
          <w:p w14:paraId="02232374" w14:textId="77777777" w:rsidR="006E4579" w:rsidRDefault="00000000">
            <w:pPr>
              <w:jc w:val="right"/>
            </w:pPr>
            <w:r>
              <w:rPr>
                <w:rFonts w:ascii="Arial" w:hAnsi="Arial"/>
                <w:sz w:val="18"/>
              </w:rPr>
              <w:t>2</w:t>
            </w:r>
          </w:p>
        </w:tc>
        <w:tc>
          <w:tcPr>
            <w:tcW w:w="1806" w:type="dxa"/>
            <w:shd w:val="clear" w:color="auto" w:fill="F2F6FC"/>
          </w:tcPr>
          <w:p w14:paraId="1913CC52" w14:textId="77777777" w:rsidR="006E4579" w:rsidRDefault="00000000">
            <w:pPr>
              <w:jc w:val="right"/>
            </w:pPr>
            <w:r>
              <w:rPr>
                <w:rFonts w:ascii="Arial" w:hAnsi="Arial"/>
                <w:sz w:val="18"/>
              </w:rPr>
              <w:t>-33.33%</w:t>
            </w:r>
          </w:p>
        </w:tc>
        <w:tc>
          <w:tcPr>
            <w:tcW w:w="1806" w:type="dxa"/>
            <w:shd w:val="clear" w:color="auto" w:fill="F2F6FC"/>
          </w:tcPr>
          <w:p w14:paraId="27921B97" w14:textId="77777777" w:rsidR="006E4579" w:rsidRDefault="00000000">
            <w:r>
              <w:rPr>
                <w:rFonts w:ascii="Arial" w:hAnsi="Arial"/>
                <w:sz w:val="18"/>
              </w:rPr>
              <w:t>cases</w:t>
            </w:r>
          </w:p>
        </w:tc>
      </w:tr>
    </w:tbl>
    <w:p w14:paraId="4FE6E22C" w14:textId="77777777" w:rsidR="006E4579" w:rsidRDefault="00000000">
      <w:r>
        <w:rPr>
          <w:rFonts w:ascii="Arial" w:hAnsi="Arial"/>
          <w:i/>
          <w:sz w:val="16"/>
        </w:rPr>
        <w:t>Source: pp = percentage points; all metrics based on full-time equivalent headcount</w:t>
      </w:r>
    </w:p>
    <w:p w14:paraId="677F8CA5" w14:textId="77777777" w:rsidR="006E4579" w:rsidRDefault="006E4579"/>
    <w:p w14:paraId="23438DE7" w14:textId="77777777" w:rsidR="006E4579" w:rsidRDefault="00000000">
      <w:r>
        <w:rPr>
          <w:rFonts w:ascii="Arial" w:hAnsi="Arial"/>
          <w:b/>
          <w:sz w:val="20"/>
        </w:rPr>
        <w:t>Table 10: Framework Compliance Status</w:t>
      </w:r>
    </w:p>
    <w:tbl>
      <w:tblPr>
        <w:tblW w:w="0" w:type="auto"/>
        <w:jc w:val="center"/>
        <w:tblLook w:val="04A0" w:firstRow="1" w:lastRow="0" w:firstColumn="1" w:lastColumn="0" w:noHBand="0" w:noVBand="1"/>
      </w:tblPr>
      <w:tblGrid>
        <w:gridCol w:w="1806"/>
        <w:gridCol w:w="1806"/>
        <w:gridCol w:w="1806"/>
        <w:gridCol w:w="1806"/>
        <w:gridCol w:w="1806"/>
      </w:tblGrid>
      <w:tr w:rsidR="006E4579" w14:paraId="25058113" w14:textId="77777777">
        <w:trPr>
          <w:jc w:val="center"/>
        </w:trPr>
        <w:tc>
          <w:tcPr>
            <w:tcW w:w="1806" w:type="dxa"/>
            <w:shd w:val="clear" w:color="auto" w:fill="1B3A6B"/>
          </w:tcPr>
          <w:p w14:paraId="71A7A956" w14:textId="77777777" w:rsidR="006E4579" w:rsidRDefault="00000000">
            <w:r>
              <w:rPr>
                <w:rFonts w:ascii="Arial" w:hAnsi="Arial"/>
                <w:b/>
                <w:color w:val="FFFFFF"/>
                <w:sz w:val="18"/>
              </w:rPr>
              <w:t>Requirement</w:t>
            </w:r>
          </w:p>
        </w:tc>
        <w:tc>
          <w:tcPr>
            <w:tcW w:w="1806" w:type="dxa"/>
            <w:shd w:val="clear" w:color="auto" w:fill="1B3A6B"/>
          </w:tcPr>
          <w:p w14:paraId="481840F4" w14:textId="77777777" w:rsidR="006E4579" w:rsidRDefault="00000000">
            <w:r>
              <w:rPr>
                <w:rFonts w:ascii="Arial" w:hAnsi="Arial"/>
                <w:b/>
                <w:color w:val="FFFFFF"/>
                <w:sz w:val="18"/>
              </w:rPr>
              <w:t>GRI 305</w:t>
            </w:r>
          </w:p>
        </w:tc>
        <w:tc>
          <w:tcPr>
            <w:tcW w:w="1806" w:type="dxa"/>
            <w:shd w:val="clear" w:color="auto" w:fill="1B3A6B"/>
          </w:tcPr>
          <w:p w14:paraId="65809C17" w14:textId="77777777" w:rsidR="006E4579" w:rsidRDefault="00000000">
            <w:r>
              <w:rPr>
                <w:rFonts w:ascii="Arial" w:hAnsi="Arial"/>
                <w:b/>
                <w:color w:val="FFFFFF"/>
                <w:sz w:val="18"/>
              </w:rPr>
              <w:t>IFRS S2</w:t>
            </w:r>
          </w:p>
        </w:tc>
        <w:tc>
          <w:tcPr>
            <w:tcW w:w="1806" w:type="dxa"/>
            <w:shd w:val="clear" w:color="auto" w:fill="1B3A6B"/>
          </w:tcPr>
          <w:p w14:paraId="11F11B30" w14:textId="77777777" w:rsidR="006E4579" w:rsidRDefault="00000000">
            <w:r>
              <w:rPr>
                <w:rFonts w:ascii="Arial" w:hAnsi="Arial"/>
                <w:b/>
                <w:color w:val="FFFFFF"/>
                <w:sz w:val="18"/>
              </w:rPr>
              <w:t>ESRS E1</w:t>
            </w:r>
          </w:p>
        </w:tc>
        <w:tc>
          <w:tcPr>
            <w:tcW w:w="1806" w:type="dxa"/>
            <w:shd w:val="clear" w:color="auto" w:fill="1B3A6B"/>
          </w:tcPr>
          <w:p w14:paraId="69ACCB70" w14:textId="77777777" w:rsidR="006E4579" w:rsidRDefault="00000000">
            <w:r>
              <w:rPr>
                <w:rFonts w:ascii="Arial" w:hAnsi="Arial"/>
                <w:b/>
                <w:color w:val="FFFFFF"/>
                <w:sz w:val="18"/>
              </w:rPr>
              <w:t>OJK PSPK</w:t>
            </w:r>
          </w:p>
        </w:tc>
      </w:tr>
      <w:tr w:rsidR="006E4579" w14:paraId="50DA3F74" w14:textId="77777777">
        <w:trPr>
          <w:jc w:val="center"/>
        </w:trPr>
        <w:tc>
          <w:tcPr>
            <w:tcW w:w="1806" w:type="dxa"/>
          </w:tcPr>
          <w:p w14:paraId="5F357344" w14:textId="77777777" w:rsidR="006E4579" w:rsidRDefault="00000000">
            <w:r>
              <w:rPr>
                <w:rFonts w:ascii="Arial" w:hAnsi="Arial"/>
                <w:sz w:val="18"/>
              </w:rPr>
              <w:t>Scope 1 &amp; 2 Disclosure</w:t>
            </w:r>
          </w:p>
        </w:tc>
        <w:tc>
          <w:tcPr>
            <w:tcW w:w="1806" w:type="dxa"/>
          </w:tcPr>
          <w:p w14:paraId="2093EED7" w14:textId="77777777" w:rsidR="006E4579" w:rsidRDefault="00000000">
            <w:r>
              <w:rPr>
                <w:rFonts w:ascii="Arial" w:hAnsi="Arial"/>
                <w:sz w:val="18"/>
              </w:rPr>
              <w:t>✅ Disclosed</w:t>
            </w:r>
          </w:p>
        </w:tc>
        <w:tc>
          <w:tcPr>
            <w:tcW w:w="1806" w:type="dxa"/>
          </w:tcPr>
          <w:p w14:paraId="663E8099" w14:textId="77777777" w:rsidR="006E4579" w:rsidRDefault="00000000">
            <w:r>
              <w:rPr>
                <w:rFonts w:ascii="Arial" w:hAnsi="Arial"/>
                <w:sz w:val="18"/>
              </w:rPr>
              <w:t>✅ Disclosed</w:t>
            </w:r>
          </w:p>
        </w:tc>
        <w:tc>
          <w:tcPr>
            <w:tcW w:w="1806" w:type="dxa"/>
          </w:tcPr>
          <w:p w14:paraId="06D86D43" w14:textId="77777777" w:rsidR="006E4579" w:rsidRDefault="00000000">
            <w:r>
              <w:rPr>
                <w:rFonts w:ascii="Arial" w:hAnsi="Arial"/>
                <w:sz w:val="18"/>
              </w:rPr>
              <w:t>✅ Disclosed</w:t>
            </w:r>
          </w:p>
        </w:tc>
        <w:tc>
          <w:tcPr>
            <w:tcW w:w="1806" w:type="dxa"/>
          </w:tcPr>
          <w:p w14:paraId="37E46A99" w14:textId="77777777" w:rsidR="006E4579" w:rsidRDefault="00000000">
            <w:r>
              <w:rPr>
                <w:rFonts w:ascii="Arial" w:hAnsi="Arial"/>
                <w:sz w:val="18"/>
              </w:rPr>
              <w:t>✅ Disclosed</w:t>
            </w:r>
          </w:p>
        </w:tc>
      </w:tr>
      <w:tr w:rsidR="006E4579" w14:paraId="30201F40" w14:textId="77777777">
        <w:trPr>
          <w:jc w:val="center"/>
        </w:trPr>
        <w:tc>
          <w:tcPr>
            <w:tcW w:w="1806" w:type="dxa"/>
            <w:shd w:val="clear" w:color="auto" w:fill="F2F6FC"/>
          </w:tcPr>
          <w:p w14:paraId="5FC1371B" w14:textId="77777777" w:rsidR="006E4579" w:rsidRDefault="00000000">
            <w:r>
              <w:rPr>
                <w:rFonts w:ascii="Arial" w:hAnsi="Arial"/>
                <w:sz w:val="18"/>
              </w:rPr>
              <w:lastRenderedPageBreak/>
              <w:t>Scope 3 / Financed Emissions</w:t>
            </w:r>
          </w:p>
        </w:tc>
        <w:tc>
          <w:tcPr>
            <w:tcW w:w="1806" w:type="dxa"/>
            <w:shd w:val="clear" w:color="auto" w:fill="F2F6FC"/>
          </w:tcPr>
          <w:p w14:paraId="126BEB37" w14:textId="77777777" w:rsidR="006E4579" w:rsidRDefault="00000000">
            <w:r>
              <w:rPr>
                <w:rFonts w:ascii="Arial" w:hAnsi="Arial"/>
                <w:sz w:val="18"/>
              </w:rPr>
              <w:t>✅ Disclosed</w:t>
            </w:r>
          </w:p>
        </w:tc>
        <w:tc>
          <w:tcPr>
            <w:tcW w:w="1806" w:type="dxa"/>
            <w:shd w:val="clear" w:color="auto" w:fill="F2F6FC"/>
          </w:tcPr>
          <w:p w14:paraId="512B5FBE" w14:textId="77777777" w:rsidR="006E4579" w:rsidRDefault="00000000">
            <w:r>
              <w:rPr>
                <w:rFonts w:ascii="Arial" w:hAnsi="Arial"/>
                <w:sz w:val="18"/>
              </w:rPr>
              <w:t>✅ Disclosed</w:t>
            </w:r>
          </w:p>
        </w:tc>
        <w:tc>
          <w:tcPr>
            <w:tcW w:w="1806" w:type="dxa"/>
            <w:shd w:val="clear" w:color="auto" w:fill="F2F6FC"/>
          </w:tcPr>
          <w:p w14:paraId="0804CFCC" w14:textId="77777777" w:rsidR="006E4579" w:rsidRDefault="00000000">
            <w:r>
              <w:rPr>
                <w:rFonts w:ascii="Arial" w:hAnsi="Arial"/>
                <w:sz w:val="18"/>
              </w:rPr>
              <w:t>✅ Disclosed</w:t>
            </w:r>
          </w:p>
        </w:tc>
        <w:tc>
          <w:tcPr>
            <w:tcW w:w="1806" w:type="dxa"/>
            <w:shd w:val="clear" w:color="auto" w:fill="F2F6FC"/>
          </w:tcPr>
          <w:p w14:paraId="3BA47B6F" w14:textId="77777777" w:rsidR="006E4579" w:rsidRDefault="00000000">
            <w:r>
              <w:rPr>
                <w:rFonts w:ascii="Arial" w:hAnsi="Arial"/>
                <w:sz w:val="18"/>
              </w:rPr>
              <w:t>⚠️ Partial</w:t>
            </w:r>
          </w:p>
        </w:tc>
      </w:tr>
      <w:tr w:rsidR="006E4579" w14:paraId="74F806C9" w14:textId="77777777">
        <w:trPr>
          <w:jc w:val="center"/>
        </w:trPr>
        <w:tc>
          <w:tcPr>
            <w:tcW w:w="1806" w:type="dxa"/>
          </w:tcPr>
          <w:p w14:paraId="5B5BB07E" w14:textId="77777777" w:rsidR="006E4579" w:rsidRDefault="00000000">
            <w:r>
              <w:rPr>
                <w:rFonts w:ascii="Arial" w:hAnsi="Arial"/>
                <w:sz w:val="18"/>
              </w:rPr>
              <w:t>Emission Intensity Metrics</w:t>
            </w:r>
          </w:p>
        </w:tc>
        <w:tc>
          <w:tcPr>
            <w:tcW w:w="1806" w:type="dxa"/>
          </w:tcPr>
          <w:p w14:paraId="678EAE3C" w14:textId="77777777" w:rsidR="006E4579" w:rsidRDefault="00000000">
            <w:r>
              <w:rPr>
                <w:rFonts w:ascii="Arial" w:hAnsi="Arial"/>
                <w:sz w:val="18"/>
              </w:rPr>
              <w:t>✅ Disclosed</w:t>
            </w:r>
          </w:p>
        </w:tc>
        <w:tc>
          <w:tcPr>
            <w:tcW w:w="1806" w:type="dxa"/>
          </w:tcPr>
          <w:p w14:paraId="67BF132E" w14:textId="77777777" w:rsidR="006E4579" w:rsidRDefault="00000000">
            <w:r>
              <w:rPr>
                <w:rFonts w:ascii="Arial" w:hAnsi="Arial"/>
                <w:sz w:val="18"/>
              </w:rPr>
              <w:t>✅ Disclosed</w:t>
            </w:r>
          </w:p>
        </w:tc>
        <w:tc>
          <w:tcPr>
            <w:tcW w:w="1806" w:type="dxa"/>
          </w:tcPr>
          <w:p w14:paraId="284FAE51" w14:textId="77777777" w:rsidR="006E4579" w:rsidRDefault="00000000">
            <w:r>
              <w:rPr>
                <w:rFonts w:ascii="Arial" w:hAnsi="Arial"/>
                <w:sz w:val="18"/>
              </w:rPr>
              <w:t>✅ Disclosed</w:t>
            </w:r>
          </w:p>
        </w:tc>
        <w:tc>
          <w:tcPr>
            <w:tcW w:w="1806" w:type="dxa"/>
          </w:tcPr>
          <w:p w14:paraId="13DF34C4" w14:textId="77777777" w:rsidR="006E4579" w:rsidRDefault="00000000">
            <w:r>
              <w:rPr>
                <w:rFonts w:ascii="Arial" w:hAnsi="Arial"/>
                <w:sz w:val="18"/>
              </w:rPr>
              <w:t>✅ Disclosed</w:t>
            </w:r>
          </w:p>
        </w:tc>
      </w:tr>
      <w:tr w:rsidR="006E4579" w14:paraId="45EBB7D1" w14:textId="77777777">
        <w:trPr>
          <w:jc w:val="center"/>
        </w:trPr>
        <w:tc>
          <w:tcPr>
            <w:tcW w:w="1806" w:type="dxa"/>
            <w:shd w:val="clear" w:color="auto" w:fill="F2F6FC"/>
          </w:tcPr>
          <w:p w14:paraId="6A294713" w14:textId="77777777" w:rsidR="006E4579" w:rsidRDefault="00000000">
            <w:r>
              <w:rPr>
                <w:rFonts w:ascii="Arial" w:hAnsi="Arial"/>
                <w:sz w:val="18"/>
              </w:rPr>
              <w:t>Science-Based Reduction Targets</w:t>
            </w:r>
          </w:p>
        </w:tc>
        <w:tc>
          <w:tcPr>
            <w:tcW w:w="1806" w:type="dxa"/>
            <w:shd w:val="clear" w:color="auto" w:fill="F2F6FC"/>
          </w:tcPr>
          <w:p w14:paraId="4C98A00F" w14:textId="77777777" w:rsidR="006E4579" w:rsidRDefault="00000000">
            <w:r>
              <w:rPr>
                <w:rFonts w:ascii="Arial" w:hAnsi="Arial"/>
                <w:sz w:val="18"/>
              </w:rPr>
              <w:t>❌ Gap</w:t>
            </w:r>
          </w:p>
        </w:tc>
        <w:tc>
          <w:tcPr>
            <w:tcW w:w="1806" w:type="dxa"/>
            <w:shd w:val="clear" w:color="auto" w:fill="F2F6FC"/>
          </w:tcPr>
          <w:p w14:paraId="16413878" w14:textId="77777777" w:rsidR="006E4579" w:rsidRDefault="00000000">
            <w:r>
              <w:rPr>
                <w:rFonts w:ascii="Arial" w:hAnsi="Arial"/>
                <w:sz w:val="18"/>
              </w:rPr>
              <w:t>❌ Gap</w:t>
            </w:r>
          </w:p>
        </w:tc>
        <w:tc>
          <w:tcPr>
            <w:tcW w:w="1806" w:type="dxa"/>
            <w:shd w:val="clear" w:color="auto" w:fill="F2F6FC"/>
          </w:tcPr>
          <w:p w14:paraId="5F1FFEFA" w14:textId="77777777" w:rsidR="006E4579" w:rsidRDefault="00000000">
            <w:r>
              <w:rPr>
                <w:rFonts w:ascii="Arial" w:hAnsi="Arial"/>
                <w:sz w:val="18"/>
              </w:rPr>
              <w:t>❌ Gap</w:t>
            </w:r>
          </w:p>
        </w:tc>
        <w:tc>
          <w:tcPr>
            <w:tcW w:w="1806" w:type="dxa"/>
            <w:shd w:val="clear" w:color="auto" w:fill="F2F6FC"/>
          </w:tcPr>
          <w:p w14:paraId="69859D2D" w14:textId="77777777" w:rsidR="006E4579" w:rsidRDefault="00000000">
            <w:r>
              <w:rPr>
                <w:rFonts w:ascii="Arial" w:hAnsi="Arial"/>
                <w:sz w:val="18"/>
              </w:rPr>
              <w:t>❌ Gap</w:t>
            </w:r>
          </w:p>
        </w:tc>
      </w:tr>
      <w:tr w:rsidR="006E4579" w14:paraId="14CA2EAD" w14:textId="77777777">
        <w:trPr>
          <w:jc w:val="center"/>
        </w:trPr>
        <w:tc>
          <w:tcPr>
            <w:tcW w:w="1806" w:type="dxa"/>
          </w:tcPr>
          <w:p w14:paraId="7EF7990D" w14:textId="77777777" w:rsidR="006E4579" w:rsidRDefault="00000000">
            <w:r>
              <w:rPr>
                <w:rFonts w:ascii="Arial" w:hAnsi="Arial"/>
                <w:sz w:val="18"/>
              </w:rPr>
              <w:t>Transition Plan</w:t>
            </w:r>
          </w:p>
        </w:tc>
        <w:tc>
          <w:tcPr>
            <w:tcW w:w="1806" w:type="dxa"/>
          </w:tcPr>
          <w:p w14:paraId="7BB7768A" w14:textId="77777777" w:rsidR="006E4579" w:rsidRDefault="00000000">
            <w:r>
              <w:rPr>
                <w:rFonts w:ascii="Arial" w:hAnsi="Arial"/>
                <w:sz w:val="18"/>
              </w:rPr>
              <w:t>❌ Gap</w:t>
            </w:r>
          </w:p>
        </w:tc>
        <w:tc>
          <w:tcPr>
            <w:tcW w:w="1806" w:type="dxa"/>
          </w:tcPr>
          <w:p w14:paraId="484B7ED9" w14:textId="77777777" w:rsidR="006E4579" w:rsidRDefault="00000000">
            <w:r>
              <w:rPr>
                <w:rFonts w:ascii="Arial" w:hAnsi="Arial"/>
                <w:sz w:val="18"/>
              </w:rPr>
              <w:t>❌ Gap</w:t>
            </w:r>
          </w:p>
        </w:tc>
        <w:tc>
          <w:tcPr>
            <w:tcW w:w="1806" w:type="dxa"/>
          </w:tcPr>
          <w:p w14:paraId="134E2845" w14:textId="77777777" w:rsidR="006E4579" w:rsidRDefault="00000000">
            <w:r>
              <w:rPr>
                <w:rFonts w:ascii="Arial" w:hAnsi="Arial"/>
                <w:sz w:val="18"/>
              </w:rPr>
              <w:t>❌ Gap</w:t>
            </w:r>
          </w:p>
        </w:tc>
        <w:tc>
          <w:tcPr>
            <w:tcW w:w="1806" w:type="dxa"/>
          </w:tcPr>
          <w:p w14:paraId="386BA5F3" w14:textId="77777777" w:rsidR="006E4579" w:rsidRDefault="00000000">
            <w:r>
              <w:rPr>
                <w:rFonts w:ascii="Arial" w:hAnsi="Arial"/>
                <w:sz w:val="18"/>
              </w:rPr>
              <w:t>⚠️ Partial</w:t>
            </w:r>
          </w:p>
        </w:tc>
      </w:tr>
      <w:tr w:rsidR="006E4579" w14:paraId="26580AE5" w14:textId="77777777">
        <w:trPr>
          <w:jc w:val="center"/>
        </w:trPr>
        <w:tc>
          <w:tcPr>
            <w:tcW w:w="1806" w:type="dxa"/>
            <w:shd w:val="clear" w:color="auto" w:fill="F2F6FC"/>
          </w:tcPr>
          <w:p w14:paraId="2B6D5CB2" w14:textId="77777777" w:rsidR="006E4579" w:rsidRDefault="00000000">
            <w:r>
              <w:rPr>
                <w:rFonts w:ascii="Arial" w:hAnsi="Arial"/>
                <w:sz w:val="18"/>
              </w:rPr>
              <w:t>Climate Governance</w:t>
            </w:r>
          </w:p>
        </w:tc>
        <w:tc>
          <w:tcPr>
            <w:tcW w:w="1806" w:type="dxa"/>
            <w:shd w:val="clear" w:color="auto" w:fill="F2F6FC"/>
          </w:tcPr>
          <w:p w14:paraId="1D89D4D5" w14:textId="77777777" w:rsidR="006E4579" w:rsidRDefault="00000000">
            <w:r>
              <w:rPr>
                <w:rFonts w:ascii="Arial" w:hAnsi="Arial"/>
                <w:sz w:val="18"/>
              </w:rPr>
              <w:t>⚠️ Partial</w:t>
            </w:r>
          </w:p>
        </w:tc>
        <w:tc>
          <w:tcPr>
            <w:tcW w:w="1806" w:type="dxa"/>
            <w:shd w:val="clear" w:color="auto" w:fill="F2F6FC"/>
          </w:tcPr>
          <w:p w14:paraId="4BB6C3BF" w14:textId="77777777" w:rsidR="006E4579" w:rsidRDefault="00000000">
            <w:r>
              <w:rPr>
                <w:rFonts w:ascii="Arial" w:hAnsi="Arial"/>
                <w:sz w:val="18"/>
              </w:rPr>
              <w:t>⚠️ Partial</w:t>
            </w:r>
          </w:p>
        </w:tc>
        <w:tc>
          <w:tcPr>
            <w:tcW w:w="1806" w:type="dxa"/>
            <w:shd w:val="clear" w:color="auto" w:fill="F2F6FC"/>
          </w:tcPr>
          <w:p w14:paraId="3D806475" w14:textId="77777777" w:rsidR="006E4579" w:rsidRDefault="00000000">
            <w:r>
              <w:rPr>
                <w:rFonts w:ascii="Arial" w:hAnsi="Arial"/>
                <w:sz w:val="18"/>
              </w:rPr>
              <w:t>⚠️ Partial</w:t>
            </w:r>
          </w:p>
        </w:tc>
        <w:tc>
          <w:tcPr>
            <w:tcW w:w="1806" w:type="dxa"/>
            <w:shd w:val="clear" w:color="auto" w:fill="F2F6FC"/>
          </w:tcPr>
          <w:p w14:paraId="019AAFD4" w14:textId="77777777" w:rsidR="006E4579" w:rsidRDefault="00000000">
            <w:r>
              <w:rPr>
                <w:rFonts w:ascii="Arial" w:hAnsi="Arial"/>
                <w:sz w:val="18"/>
              </w:rPr>
              <w:t>✅ Disclosed</w:t>
            </w:r>
          </w:p>
        </w:tc>
      </w:tr>
      <w:tr w:rsidR="006E4579" w14:paraId="7503A96A" w14:textId="77777777">
        <w:trPr>
          <w:jc w:val="center"/>
        </w:trPr>
        <w:tc>
          <w:tcPr>
            <w:tcW w:w="1806" w:type="dxa"/>
          </w:tcPr>
          <w:p w14:paraId="1AA6B37C" w14:textId="77777777" w:rsidR="006E4579" w:rsidRDefault="00000000">
            <w:r>
              <w:rPr>
                <w:rFonts w:ascii="Arial" w:hAnsi="Arial"/>
                <w:sz w:val="18"/>
              </w:rPr>
              <w:t>Climate Risk Management</w:t>
            </w:r>
          </w:p>
        </w:tc>
        <w:tc>
          <w:tcPr>
            <w:tcW w:w="1806" w:type="dxa"/>
          </w:tcPr>
          <w:p w14:paraId="0840552F" w14:textId="77777777" w:rsidR="006E4579" w:rsidRDefault="00000000">
            <w:r>
              <w:rPr>
                <w:rFonts w:ascii="Arial" w:hAnsi="Arial"/>
                <w:sz w:val="18"/>
              </w:rPr>
              <w:t>⚠️ Partial</w:t>
            </w:r>
          </w:p>
        </w:tc>
        <w:tc>
          <w:tcPr>
            <w:tcW w:w="1806" w:type="dxa"/>
          </w:tcPr>
          <w:p w14:paraId="27109F97" w14:textId="77777777" w:rsidR="006E4579" w:rsidRDefault="00000000">
            <w:r>
              <w:rPr>
                <w:rFonts w:ascii="Arial" w:hAnsi="Arial"/>
                <w:sz w:val="18"/>
              </w:rPr>
              <w:t>⚠️ Partial</w:t>
            </w:r>
          </w:p>
        </w:tc>
        <w:tc>
          <w:tcPr>
            <w:tcW w:w="1806" w:type="dxa"/>
          </w:tcPr>
          <w:p w14:paraId="43C725D4" w14:textId="77777777" w:rsidR="006E4579" w:rsidRDefault="00000000">
            <w:r>
              <w:rPr>
                <w:rFonts w:ascii="Arial" w:hAnsi="Arial"/>
                <w:sz w:val="18"/>
              </w:rPr>
              <w:t>⚠️ Partial</w:t>
            </w:r>
          </w:p>
        </w:tc>
        <w:tc>
          <w:tcPr>
            <w:tcW w:w="1806" w:type="dxa"/>
          </w:tcPr>
          <w:p w14:paraId="4A032087" w14:textId="77777777" w:rsidR="006E4579" w:rsidRDefault="00000000">
            <w:r>
              <w:rPr>
                <w:rFonts w:ascii="Arial" w:hAnsi="Arial"/>
                <w:sz w:val="18"/>
              </w:rPr>
              <w:t>✅ Disclosed</w:t>
            </w:r>
          </w:p>
        </w:tc>
      </w:tr>
      <w:tr w:rsidR="006E4579" w14:paraId="24CB520E" w14:textId="77777777">
        <w:trPr>
          <w:jc w:val="center"/>
        </w:trPr>
        <w:tc>
          <w:tcPr>
            <w:tcW w:w="1806" w:type="dxa"/>
            <w:shd w:val="clear" w:color="auto" w:fill="F2F6FC"/>
          </w:tcPr>
          <w:p w14:paraId="28874790" w14:textId="77777777" w:rsidR="006E4579" w:rsidRDefault="00000000">
            <w:r>
              <w:rPr>
                <w:rFonts w:ascii="Arial" w:hAnsi="Arial"/>
                <w:sz w:val="18"/>
              </w:rPr>
              <w:t>Scenario Analysis</w:t>
            </w:r>
          </w:p>
        </w:tc>
        <w:tc>
          <w:tcPr>
            <w:tcW w:w="1806" w:type="dxa"/>
            <w:shd w:val="clear" w:color="auto" w:fill="F2F6FC"/>
          </w:tcPr>
          <w:p w14:paraId="68D1231F" w14:textId="77777777" w:rsidR="006E4579" w:rsidRDefault="00000000">
            <w:r>
              <w:rPr>
                <w:rFonts w:ascii="Arial" w:hAnsi="Arial"/>
                <w:sz w:val="18"/>
              </w:rPr>
              <w:t>❌ Gap</w:t>
            </w:r>
          </w:p>
        </w:tc>
        <w:tc>
          <w:tcPr>
            <w:tcW w:w="1806" w:type="dxa"/>
            <w:shd w:val="clear" w:color="auto" w:fill="F2F6FC"/>
          </w:tcPr>
          <w:p w14:paraId="3A3D44DD" w14:textId="77777777" w:rsidR="006E4579" w:rsidRDefault="00000000">
            <w:r>
              <w:rPr>
                <w:rFonts w:ascii="Arial" w:hAnsi="Arial"/>
                <w:sz w:val="18"/>
              </w:rPr>
              <w:t>❌ Gap</w:t>
            </w:r>
          </w:p>
        </w:tc>
        <w:tc>
          <w:tcPr>
            <w:tcW w:w="1806" w:type="dxa"/>
            <w:shd w:val="clear" w:color="auto" w:fill="F2F6FC"/>
          </w:tcPr>
          <w:p w14:paraId="5B879BA3" w14:textId="77777777" w:rsidR="006E4579" w:rsidRDefault="00000000">
            <w:r>
              <w:rPr>
                <w:rFonts w:ascii="Arial" w:hAnsi="Arial"/>
                <w:sz w:val="18"/>
              </w:rPr>
              <w:t>❌ Gap</w:t>
            </w:r>
          </w:p>
        </w:tc>
        <w:tc>
          <w:tcPr>
            <w:tcW w:w="1806" w:type="dxa"/>
            <w:shd w:val="clear" w:color="auto" w:fill="F2F6FC"/>
          </w:tcPr>
          <w:p w14:paraId="7C6AB5BF" w14:textId="77777777" w:rsidR="006E4579" w:rsidRDefault="00000000">
            <w:r>
              <w:rPr>
                <w:rFonts w:ascii="Arial" w:hAnsi="Arial"/>
                <w:sz w:val="18"/>
              </w:rPr>
              <w:t>❌ Gap</w:t>
            </w:r>
          </w:p>
        </w:tc>
      </w:tr>
      <w:tr w:rsidR="006E4579" w14:paraId="0749CBF1" w14:textId="77777777">
        <w:trPr>
          <w:jc w:val="center"/>
        </w:trPr>
        <w:tc>
          <w:tcPr>
            <w:tcW w:w="1806" w:type="dxa"/>
          </w:tcPr>
          <w:p w14:paraId="2717ABB1" w14:textId="77777777" w:rsidR="006E4579" w:rsidRDefault="00000000">
            <w:r>
              <w:rPr>
                <w:rFonts w:ascii="Arial" w:hAnsi="Arial"/>
                <w:sz w:val="18"/>
              </w:rPr>
              <w:t>Social Metrics (Diversity)</w:t>
            </w:r>
          </w:p>
        </w:tc>
        <w:tc>
          <w:tcPr>
            <w:tcW w:w="1806" w:type="dxa"/>
          </w:tcPr>
          <w:p w14:paraId="52227F83" w14:textId="77777777" w:rsidR="006E4579" w:rsidRDefault="00000000">
            <w:r>
              <w:rPr>
                <w:rFonts w:ascii="Arial" w:hAnsi="Arial"/>
                <w:sz w:val="18"/>
              </w:rPr>
              <w:t>✅ Disclosed</w:t>
            </w:r>
          </w:p>
        </w:tc>
        <w:tc>
          <w:tcPr>
            <w:tcW w:w="1806" w:type="dxa"/>
          </w:tcPr>
          <w:p w14:paraId="1082B91B" w14:textId="77777777" w:rsidR="006E4579" w:rsidRDefault="00000000">
            <w:r>
              <w:rPr>
                <w:rFonts w:ascii="Arial" w:hAnsi="Arial"/>
                <w:sz w:val="18"/>
              </w:rPr>
              <w:t>N/A</w:t>
            </w:r>
          </w:p>
        </w:tc>
        <w:tc>
          <w:tcPr>
            <w:tcW w:w="1806" w:type="dxa"/>
          </w:tcPr>
          <w:p w14:paraId="02040599" w14:textId="77777777" w:rsidR="006E4579" w:rsidRDefault="00000000">
            <w:r>
              <w:rPr>
                <w:rFonts w:ascii="Arial" w:hAnsi="Arial"/>
                <w:sz w:val="18"/>
              </w:rPr>
              <w:t>✅ Disclosed</w:t>
            </w:r>
          </w:p>
        </w:tc>
        <w:tc>
          <w:tcPr>
            <w:tcW w:w="1806" w:type="dxa"/>
          </w:tcPr>
          <w:p w14:paraId="6F576851" w14:textId="77777777" w:rsidR="006E4579" w:rsidRDefault="00000000">
            <w:r>
              <w:rPr>
                <w:rFonts w:ascii="Arial" w:hAnsi="Arial"/>
                <w:sz w:val="18"/>
              </w:rPr>
              <w:t>✅ Disclosed</w:t>
            </w:r>
          </w:p>
        </w:tc>
      </w:tr>
      <w:tr w:rsidR="006E4579" w14:paraId="63E1D8D1" w14:textId="77777777">
        <w:trPr>
          <w:jc w:val="center"/>
        </w:trPr>
        <w:tc>
          <w:tcPr>
            <w:tcW w:w="1806" w:type="dxa"/>
            <w:shd w:val="clear" w:color="auto" w:fill="F2F6FC"/>
          </w:tcPr>
          <w:p w14:paraId="35217EF2" w14:textId="77777777" w:rsidR="006E4579" w:rsidRDefault="00000000">
            <w:r>
              <w:rPr>
                <w:rFonts w:ascii="Arial" w:hAnsi="Arial"/>
                <w:sz w:val="18"/>
              </w:rPr>
              <w:t>External Assurance</w:t>
            </w:r>
          </w:p>
        </w:tc>
        <w:tc>
          <w:tcPr>
            <w:tcW w:w="1806" w:type="dxa"/>
            <w:shd w:val="clear" w:color="auto" w:fill="F2F6FC"/>
          </w:tcPr>
          <w:p w14:paraId="610FCBB3" w14:textId="77777777" w:rsidR="006E4579" w:rsidRDefault="00000000">
            <w:r>
              <w:rPr>
                <w:rFonts w:ascii="Arial" w:hAnsi="Arial"/>
                <w:sz w:val="18"/>
              </w:rPr>
              <w:t>❌ Gap</w:t>
            </w:r>
          </w:p>
        </w:tc>
        <w:tc>
          <w:tcPr>
            <w:tcW w:w="1806" w:type="dxa"/>
            <w:shd w:val="clear" w:color="auto" w:fill="F2F6FC"/>
          </w:tcPr>
          <w:p w14:paraId="36067E4D" w14:textId="77777777" w:rsidR="006E4579" w:rsidRDefault="00000000">
            <w:r>
              <w:rPr>
                <w:rFonts w:ascii="Arial" w:hAnsi="Arial"/>
                <w:sz w:val="18"/>
              </w:rPr>
              <w:t>❌ Gap</w:t>
            </w:r>
          </w:p>
        </w:tc>
        <w:tc>
          <w:tcPr>
            <w:tcW w:w="1806" w:type="dxa"/>
            <w:shd w:val="clear" w:color="auto" w:fill="F2F6FC"/>
          </w:tcPr>
          <w:p w14:paraId="32281582" w14:textId="77777777" w:rsidR="006E4579" w:rsidRDefault="00000000">
            <w:r>
              <w:rPr>
                <w:rFonts w:ascii="Arial" w:hAnsi="Arial"/>
                <w:sz w:val="18"/>
              </w:rPr>
              <w:t>❌ Gap</w:t>
            </w:r>
          </w:p>
        </w:tc>
        <w:tc>
          <w:tcPr>
            <w:tcW w:w="1806" w:type="dxa"/>
            <w:shd w:val="clear" w:color="auto" w:fill="F2F6FC"/>
          </w:tcPr>
          <w:p w14:paraId="46CDE548" w14:textId="77777777" w:rsidR="006E4579" w:rsidRDefault="00000000">
            <w:r>
              <w:rPr>
                <w:rFonts w:ascii="Arial" w:hAnsi="Arial"/>
                <w:sz w:val="18"/>
              </w:rPr>
              <w:t>❌ Gap</w:t>
            </w:r>
          </w:p>
        </w:tc>
      </w:tr>
    </w:tbl>
    <w:p w14:paraId="6A47A5B6" w14:textId="77777777" w:rsidR="006E4579" w:rsidRDefault="00000000">
      <w:r>
        <w:rPr>
          <w:rFonts w:ascii="Arial" w:hAnsi="Arial"/>
          <w:i/>
          <w:sz w:val="16"/>
        </w:rPr>
        <w:t>Source: ✅ = Fully disclosed per framework requirements; ⚠️ = Partial disclosure with material gaps; ❌ = Not disclosed; N/A = Not required by framework</w:t>
      </w:r>
    </w:p>
    <w:p w14:paraId="59AD2483" w14:textId="77777777" w:rsidR="006E4579" w:rsidRDefault="006E4579"/>
    <w:p w14:paraId="625E96EC" w14:textId="77777777" w:rsidR="006E4579" w:rsidRDefault="006E4579"/>
    <w:p w14:paraId="61D0B3B3" w14:textId="77777777" w:rsidR="006E4579" w:rsidRDefault="00000000">
      <w:r>
        <w:rPr>
          <w:b/>
          <w:color w:val="3D6094"/>
          <w:sz w:val="24"/>
        </w:rPr>
        <w:t>Top Strategic Recommendations</w:t>
      </w:r>
    </w:p>
    <w:p w14:paraId="1E8ABD4F" w14:textId="77777777" w:rsidR="006E4579" w:rsidRDefault="00000000">
      <w:pPr>
        <w:spacing w:after="160"/>
      </w:pPr>
      <w:r>
        <w:t>→ Establish science-based emission reduction targets for Energy - Oil &amp; Gas (43.56% of financed emissions), Manufacturing - Cement (26.45%), and Manufacturing - Steel (15.92%) sectors aligned with IEA Net Zero by 2050 scenarios — Expected impact: 15-20% financed emission intensity reduction by 2030 — Timeline: Q2 2025 target adoption, Q4 2025 SBTi validation — Peer reference: Regional banks achieving SBTi Financial Institutions Net-Zero commitment</w:t>
      </w:r>
    </w:p>
    <w:p w14:paraId="4B8D4D06" w14:textId="77777777" w:rsidR="006E4579" w:rsidRDefault="00000000">
      <w:pPr>
        <w:spacing w:after="160"/>
      </w:pPr>
      <w:r>
        <w:t>→ Upgrade PCAF data quality score from 3.36 to ≤3.0 by prioritizing primary borrower emissions data collection for top 100 exposures (representing ~60% of financed emissions) — Expected impact: Reduce confidence gap from 30.47% to &lt;15% — Timeline: Q4 2025 — Peer reference: Leading Indonesian banks achieving PCAF Score 2.8-3.2 through systematic borrower engagement programs</w:t>
      </w:r>
    </w:p>
    <w:p w14:paraId="06D0CA68" w14:textId="77777777" w:rsidR="006E4579" w:rsidRDefault="00000000">
      <w:pPr>
        <w:spacing w:after="160"/>
      </w:pPr>
      <w:r>
        <w:t>→ Implement external limited assurance for Scope 1, Scope 2, and Scope 3 Category 15 financed emissions — Expected impact: Enhanced regulatory compliance and investor confidence — Timeline: Q3 2025 for FY2024 retrospective assurance — Peer reference: 67% of regional peer banks obtained third-party assurance in 2023-2024 reporting cycles</w:t>
      </w:r>
    </w:p>
    <w:p w14:paraId="12F1A87D" w14:textId="77777777" w:rsidR="006E4579" w:rsidRDefault="00000000">
      <w:pPr>
        <w:spacing w:after="160"/>
      </w:pPr>
      <w:r>
        <w:t>→ Develop sector-specific transition finance frameworks for Manufacturing - Cement and Manufacturing - Steel portfolios, including green loan products with emission intensity covenants — Expected impact: Portfolio steering toward lower-carbon borrowers, estimated 8-10% intensity improvement over 3 years — Timeline: Q1 2026 product launch — Peer reference: ASEAN banks deploying transition finance frameworks with IFC partnership</w:t>
      </w:r>
    </w:p>
    <w:p w14:paraId="5BD9796F" w14:textId="77777777" w:rsidR="006E4579" w:rsidRDefault="00000000">
      <w:pPr>
        <w:spacing w:after="160"/>
      </w:pPr>
      <w:r>
        <w:lastRenderedPageBreak/>
        <w:t>→ Establish Board-level Climate Risk Committee with quarterly reporting on financed emissions trends, transition risk exposure, and science-based target progress — Expected impact: Enhanced governance maturity and strategic oversight — Timeline: Q2 2025 — Peer reference: Mandatory under OJK PSPK Phase 2 (expected 2026) and IFRS S2 governance requirements</w:t>
      </w:r>
    </w:p>
    <w:p w14:paraId="41146FBD" w14:textId="77777777" w:rsidR="006E4579" w:rsidRDefault="00000000">
      <w:r>
        <w:rPr>
          <w:i/>
          <w:color w:val="3D6094"/>
          <w:sz w:val="18"/>
        </w:rPr>
        <w:t>Framework references: GRI 305-1: Direct (Scope 1) GHG emissions; GRI 305-2: Energy indirect (Scope 2) GHG emissions; GRI 305-3: Other indirect (Scope 3) GHG emissions; GRI 305-4: GHG emissions intensity; PCAF Global GHG Accounting and Reporting Standard (2022); GHG Protocol Corporate Accounting and Reporting Standard; GRI 405-1: Diversity of governance bodies and employees; GRI 404-1: Average hours of training per year per employee; GRI 401-1: New employee hires and employee turnover</w:t>
      </w:r>
    </w:p>
    <w:p w14:paraId="480F8C63" w14:textId="77777777" w:rsidR="006E4579" w:rsidRDefault="006E4579">
      <w:pPr>
        <w:pBdr>
          <w:bottom w:val="single" w:sz="6" w:space="1" w:color="CCCCCC"/>
        </w:pBdr>
        <w:spacing w:after="80"/>
      </w:pPr>
    </w:p>
    <w:p w14:paraId="17898CEE" w14:textId="77777777" w:rsidR="006E4579" w:rsidRDefault="00000000">
      <w:pPr>
        <w:spacing w:after="160"/>
      </w:pPr>
      <w:r>
        <w:rPr>
          <w:rFonts w:ascii="Arial" w:hAnsi="Arial"/>
          <w:i/>
          <w:color w:val="646464"/>
          <w:sz w:val="18"/>
        </w:rPr>
        <w:t>These figures have not been subject to external assurance for the current reporting period.</w:t>
      </w:r>
    </w:p>
    <w:p w14:paraId="12F04D92" w14:textId="77777777" w:rsidR="006E4579" w:rsidRDefault="00000000">
      <w:pPr>
        <w:spacing w:after="160"/>
      </w:pPr>
      <w:r>
        <w:rPr>
          <w:rFonts w:ascii="Arial" w:hAnsi="Arial"/>
          <w:i/>
          <w:color w:val="646464"/>
          <w:sz w:val="18"/>
        </w:rPr>
        <w:t>Total GHG emissions calculated using market-based Scope 2 methodology per GHG Protocol Corporate Standard hierarchy. Location-based Scope 2 total: 22,024,815.63 tCO₂e.</w:t>
      </w:r>
    </w:p>
    <w:p w14:paraId="27DC9BFA" w14:textId="77777777" w:rsidR="006E4579" w:rsidRDefault="00000000">
      <w:pPr>
        <w:spacing w:after="160"/>
      </w:pPr>
      <w:r>
        <w:rPr>
          <w:rFonts w:ascii="Arial" w:hAnsi="Arial"/>
          <w:i/>
          <w:color w:val="646464"/>
          <w:sz w:val="18"/>
        </w:rPr>
        <w:t>Financed emissions calculated using PCAF Global GHG Accounting and Reporting Standard for the Financial Industry (2022). Portfolio-weighted data quality score: 3.36 (scale 1-5, where 1 = highest quality).</w:t>
      </w:r>
    </w:p>
    <w:p w14:paraId="555899AA" w14:textId="77777777" w:rsidR="006E4579" w:rsidRDefault="00000000">
      <w:pPr>
        <w:spacing w:after="160"/>
      </w:pPr>
      <w:r>
        <w:rPr>
          <w:rFonts w:ascii="Arial" w:hAnsi="Arial"/>
          <w:i/>
          <w:color w:val="646464"/>
          <w:sz w:val="18"/>
        </w:rPr>
        <w:t>Confidence gap between gross financed emissions (21,976,797.3 tCO₂e) and weighted financed emissions (15,280,174.14 tCO₂e) totals 6,696,623.16 tCO₂e (30.47%), attributable to data quality limitations and attribution methodology.</w:t>
      </w:r>
    </w:p>
    <w:p w14:paraId="430BF26A" w14:textId="77777777" w:rsidR="006E4579" w:rsidRDefault="00000000">
      <w:pPr>
        <w:spacing w:after="160"/>
      </w:pPr>
      <w:r>
        <w:rPr>
          <w:rFonts w:ascii="Arial" w:hAnsi="Arial"/>
          <w:i/>
          <w:color w:val="646464"/>
          <w:sz w:val="18"/>
        </w:rPr>
        <w:t>Year-over-year comparison based on FY2023 baseline. Base year for long-term target setting has not been formally established.</w:t>
      </w:r>
    </w:p>
    <w:p w14:paraId="3C5F9650" w14:textId="77777777" w:rsidR="006E4579" w:rsidRDefault="00000000">
      <w:pPr>
        <w:spacing w:after="160"/>
      </w:pPr>
      <w:r>
        <w:rPr>
          <w:rFonts w:ascii="Arial" w:hAnsi="Arial"/>
          <w:i/>
          <w:color w:val="646464"/>
          <w:sz w:val="18"/>
        </w:rPr>
        <w:t>Scope 3 Category 15 covers financed emissions from corporate loans and project finance. Other Scope 3 categories (business travel, employee commuting, purchased goods) are not yet captured in the institution's reporting system.</w:t>
      </w:r>
    </w:p>
    <w:p w14:paraId="3A1651AE" w14:textId="77777777" w:rsidR="006E4579" w:rsidRDefault="00000000">
      <w:pPr>
        <w:spacing w:after="160"/>
      </w:pPr>
      <w:r>
        <w:rPr>
          <w:rFonts w:ascii="Arial" w:hAnsi="Arial"/>
          <w:i/>
          <w:color w:val="646464"/>
          <w:sz w:val="18"/>
        </w:rPr>
        <w:t>Social metrics based on full-time equivalent (FTE) headcount. Discrimination cases resolved through internal grievance mechanisms per institutional policy.</w:t>
      </w:r>
    </w:p>
    <w:p w14:paraId="05485928" w14:textId="77777777" w:rsidR="006E4579" w:rsidRDefault="00000000">
      <w:r>
        <w:br w:type="page"/>
      </w:r>
    </w:p>
    <w:p w14:paraId="4390F7F2" w14:textId="77777777" w:rsidR="006E4579" w:rsidRDefault="00000000">
      <w:pPr>
        <w:pStyle w:val="Heading1"/>
        <w:spacing w:after="240"/>
      </w:pPr>
      <w:r>
        <w:rPr>
          <w:rFonts w:ascii="Arial" w:hAnsi="Arial"/>
          <w:color w:val="1B3A6B"/>
          <w:sz w:val="36"/>
        </w:rPr>
        <w:lastRenderedPageBreak/>
        <w:t>Environmental Performance</w:t>
      </w:r>
    </w:p>
    <w:p w14:paraId="2B84E365" w14:textId="77777777" w:rsidR="006E4579" w:rsidRDefault="00000000">
      <w:pPr>
        <w:pStyle w:val="Heading2"/>
        <w:spacing w:before="360" w:after="160"/>
      </w:pPr>
      <w:r>
        <w:rPr>
          <w:rFonts w:ascii="Arial" w:hAnsi="Arial"/>
          <w:color w:val="3D6094"/>
          <w:sz w:val="28"/>
        </w:rPr>
        <w:t>1.1 Direct GHG Emissions — Scope 1</w:t>
      </w:r>
    </w:p>
    <w:tbl>
      <w:tblPr>
        <w:tblW w:w="0" w:type="auto"/>
        <w:jc w:val="center"/>
        <w:tblLook w:val="04A0" w:firstRow="1" w:lastRow="0" w:firstColumn="1" w:lastColumn="0" w:noHBand="0" w:noVBand="1"/>
      </w:tblPr>
      <w:tblGrid>
        <w:gridCol w:w="2257"/>
        <w:gridCol w:w="2257"/>
        <w:gridCol w:w="2257"/>
        <w:gridCol w:w="2257"/>
      </w:tblGrid>
      <w:tr w:rsidR="006E4579" w14:paraId="336D7866" w14:textId="77777777">
        <w:trPr>
          <w:jc w:val="center"/>
        </w:trPr>
        <w:tc>
          <w:tcPr>
            <w:tcW w:w="2257" w:type="dxa"/>
            <w:shd w:val="clear" w:color="auto" w:fill="F2F6FA"/>
          </w:tcPr>
          <w:p w14:paraId="2414636C" w14:textId="77777777" w:rsidR="006E4579" w:rsidRDefault="00000000">
            <w:pPr>
              <w:jc w:val="center"/>
            </w:pPr>
            <w:r>
              <w:rPr>
                <w:b/>
                <w:color w:val="1B3A6B"/>
                <w:sz w:val="36"/>
              </w:rPr>
              <w:t>3,403.0</w:t>
            </w:r>
            <w:r>
              <w:rPr>
                <w:color w:val="757575"/>
                <w:sz w:val="18"/>
              </w:rPr>
              <w:t xml:space="preserve"> tCO₂e</w:t>
            </w:r>
            <w:r>
              <w:rPr>
                <w:b/>
                <w:color w:val="C62828"/>
                <w:sz w:val="20"/>
              </w:rPr>
              <w:br/>
              <w:t>+2.36% YoY</w:t>
            </w:r>
          </w:p>
        </w:tc>
        <w:tc>
          <w:tcPr>
            <w:tcW w:w="2257" w:type="dxa"/>
            <w:shd w:val="clear" w:color="auto" w:fill="F2F6FA"/>
          </w:tcPr>
          <w:p w14:paraId="3D36F5E2" w14:textId="77777777" w:rsidR="006E4579" w:rsidRDefault="00000000">
            <w:pPr>
              <w:jc w:val="center"/>
            </w:pPr>
            <w:r>
              <w:rPr>
                <w:b/>
                <w:color w:val="1B3A6B"/>
                <w:sz w:val="36"/>
              </w:rPr>
              <w:t>64.7</w:t>
            </w:r>
            <w:r>
              <w:rPr>
                <w:color w:val="757575"/>
                <w:sz w:val="18"/>
              </w:rPr>
              <w:t xml:space="preserve"> %</w:t>
            </w:r>
            <w:r>
              <w:rPr>
                <w:b/>
                <w:color w:val="C62828"/>
                <w:sz w:val="20"/>
              </w:rPr>
              <w:br/>
              <w:t>vs 35.3% natural gas</w:t>
            </w:r>
          </w:p>
        </w:tc>
        <w:tc>
          <w:tcPr>
            <w:tcW w:w="2257" w:type="dxa"/>
            <w:shd w:val="clear" w:color="auto" w:fill="F2F6FA"/>
          </w:tcPr>
          <w:p w14:paraId="0083BC2B" w14:textId="77777777" w:rsidR="006E4579" w:rsidRDefault="00000000">
            <w:pPr>
              <w:jc w:val="center"/>
            </w:pPr>
            <w:r>
              <w:rPr>
                <w:b/>
                <w:color w:val="1B3A6B"/>
                <w:sz w:val="36"/>
              </w:rPr>
              <w:t>61.3</w:t>
            </w:r>
            <w:r>
              <w:rPr>
                <w:color w:val="757575"/>
                <w:sz w:val="18"/>
              </w:rPr>
              <w:t xml:space="preserve"> % of diesel emissions</w:t>
            </w:r>
            <w:r>
              <w:rPr>
                <w:b/>
                <w:color w:val="2E7D32"/>
                <w:sz w:val="20"/>
              </w:rPr>
              <w:br/>
              <w:t>High concentration = targeted intervention opportunity</w:t>
            </w:r>
          </w:p>
        </w:tc>
        <w:tc>
          <w:tcPr>
            <w:tcW w:w="2257" w:type="dxa"/>
            <w:shd w:val="clear" w:color="auto" w:fill="F2F6FA"/>
          </w:tcPr>
          <w:p w14:paraId="58D661A9" w14:textId="77777777" w:rsidR="006E4579" w:rsidRDefault="00000000">
            <w:pPr>
              <w:jc w:val="center"/>
            </w:pPr>
            <w:r>
              <w:rPr>
                <w:b/>
                <w:color w:val="1B3A6B"/>
                <w:sz w:val="36"/>
              </w:rPr>
              <w:t>+2.36</w:t>
            </w:r>
            <w:r>
              <w:rPr>
                <w:color w:val="757575"/>
                <w:sz w:val="18"/>
              </w:rPr>
              <w:t xml:space="preserve"> % YoY</w:t>
            </w:r>
            <w:r>
              <w:rPr>
                <w:b/>
                <w:color w:val="C62828"/>
                <w:sz w:val="20"/>
              </w:rPr>
              <w:br/>
              <w:t>Peers: DBS -12%, BRI -7.1%, Mandiri -5.1%</w:t>
            </w:r>
          </w:p>
        </w:tc>
      </w:tr>
      <w:tr w:rsidR="006E4579" w14:paraId="2E137B54" w14:textId="77777777">
        <w:trPr>
          <w:jc w:val="center"/>
        </w:trPr>
        <w:tc>
          <w:tcPr>
            <w:tcW w:w="2257" w:type="dxa"/>
            <w:shd w:val="clear" w:color="auto" w:fill="F2F6FA"/>
          </w:tcPr>
          <w:p w14:paraId="09B0A47E" w14:textId="77777777" w:rsidR="006E4579" w:rsidRDefault="00000000">
            <w:pPr>
              <w:jc w:val="center"/>
            </w:pPr>
            <w:r>
              <w:rPr>
                <w:color w:val="757575"/>
                <w:sz w:val="16"/>
              </w:rPr>
              <w:t>Total Scope 1 Emissions</w:t>
            </w:r>
          </w:p>
        </w:tc>
        <w:tc>
          <w:tcPr>
            <w:tcW w:w="2257" w:type="dxa"/>
            <w:shd w:val="clear" w:color="auto" w:fill="F2F6FA"/>
          </w:tcPr>
          <w:p w14:paraId="58A33B88" w14:textId="77777777" w:rsidR="006E4579" w:rsidRDefault="00000000">
            <w:pPr>
              <w:jc w:val="center"/>
            </w:pPr>
            <w:r>
              <w:rPr>
                <w:color w:val="757575"/>
                <w:sz w:val="16"/>
              </w:rPr>
              <w:t>Diesel Contribution</w:t>
            </w:r>
          </w:p>
        </w:tc>
        <w:tc>
          <w:tcPr>
            <w:tcW w:w="2257" w:type="dxa"/>
            <w:shd w:val="clear" w:color="auto" w:fill="F2F6FA"/>
          </w:tcPr>
          <w:p w14:paraId="092FAE5F" w14:textId="77777777" w:rsidR="006E4579" w:rsidRDefault="00000000">
            <w:pPr>
              <w:jc w:val="center"/>
            </w:pPr>
            <w:r>
              <w:rPr>
                <w:color w:val="757575"/>
                <w:sz w:val="16"/>
              </w:rPr>
              <w:t>Top 10 Facilities Concentration</w:t>
            </w:r>
          </w:p>
        </w:tc>
        <w:tc>
          <w:tcPr>
            <w:tcW w:w="2257" w:type="dxa"/>
            <w:shd w:val="clear" w:color="auto" w:fill="F2F6FA"/>
          </w:tcPr>
          <w:p w14:paraId="05411D73" w14:textId="77777777" w:rsidR="006E4579" w:rsidRDefault="00000000">
            <w:pPr>
              <w:jc w:val="center"/>
            </w:pPr>
            <w:r>
              <w:rPr>
                <w:color w:val="757575"/>
                <w:sz w:val="16"/>
              </w:rPr>
              <w:t>Performance vs Peers</w:t>
            </w:r>
          </w:p>
        </w:tc>
      </w:tr>
    </w:tbl>
    <w:p w14:paraId="3C6F01FC" w14:textId="77777777" w:rsidR="006E4579" w:rsidRDefault="006E4579"/>
    <w:tbl>
      <w:tblPr>
        <w:tblW w:w="0" w:type="auto"/>
        <w:jc w:val="center"/>
        <w:tblLook w:val="04A0" w:firstRow="1" w:lastRow="0" w:firstColumn="1" w:lastColumn="0" w:noHBand="0" w:noVBand="1"/>
      </w:tblPr>
      <w:tblGrid>
        <w:gridCol w:w="9029"/>
      </w:tblGrid>
      <w:tr w:rsidR="006E4579" w14:paraId="2740BC59" w14:textId="77777777">
        <w:trPr>
          <w:jc w:val="center"/>
        </w:trPr>
        <w:tc>
          <w:tcPr>
            <w:tcW w:w="9029" w:type="dxa"/>
            <w:shd w:val="clear" w:color="auto" w:fill="FFF8E1"/>
          </w:tcPr>
          <w:p w14:paraId="09ABEA6E" w14:textId="77777777" w:rsidR="006E4579" w:rsidRDefault="00000000">
            <w:r>
              <w:rPr>
                <w:b/>
                <w:color w:val="FF8F00"/>
                <w:sz w:val="18"/>
              </w:rPr>
              <w:t>⚠️ KEY INSIGHT</w:t>
            </w:r>
          </w:p>
          <w:p w14:paraId="234D352F" w14:textId="77777777" w:rsidR="006E4579" w:rsidRDefault="00000000">
            <w:r>
              <w:rPr>
                <w:b/>
              </w:rPr>
              <w:t>Scope 1 naik 2.36% sementara peers turun 8-12% — diesel over-reliance (64.7%) adalah gap driver utama</w:t>
            </w:r>
          </w:p>
          <w:p w14:paraId="63FE20E4" w14:textId="77777777" w:rsidR="006E4579" w:rsidRDefault="00000000">
            <w:r>
              <w:rPr>
                <w:sz w:val="20"/>
              </w:rPr>
              <w:t>Institusi mengalami peningkatan emisi Scope 1 sebesar 78.476 tCO₂e, kontras dengan tren penurunan di DBS (-12%), BRI (-7.1% intensitas), dan Mandiri (-5.1%). Ketergantungan pada diesel untuk backup power (64.7% dari Scope 1) menciptakan kerentanan operasional dan gap kinerja yang melebar. Top 10 fasilitas menyumbang 61.3% emisi diesel, menawarkan jalur intervensi yang jelas melalui solar+battery retrofit.</w:t>
            </w:r>
          </w:p>
        </w:tc>
      </w:tr>
    </w:tbl>
    <w:p w14:paraId="79865CEC" w14:textId="77777777" w:rsidR="006E4579" w:rsidRDefault="006E4579"/>
    <w:p w14:paraId="32A7CB96" w14:textId="77777777" w:rsidR="006E4579" w:rsidRDefault="00000000">
      <w:pPr>
        <w:spacing w:after="160"/>
      </w:pPr>
      <w:r>
        <w:rPr>
          <w:rFonts w:ascii="Arial" w:hAnsi="Arial"/>
        </w:rPr>
        <w:t>For the reporting period ending 31 December 2024, the institution's gross direct (Scope 1) greenhouse gas emissions totaled 3402.997 metric tons of carbon dioxide equivalent (tCO₂e). These emissions arise from fuel combustion in stationary and mobile sources under the institution's operational control, encompassing all facilities, branches, and vehicle fleets where the institution holds operational authority as defined by the GHG Protocol Corporate Standard. The operational boundary applies the operational control approach, consolidating 100% of emissions from entities where the institution exercises operational control, consistent with ESRS E1 Application Requirement 40.</w:t>
      </w:r>
    </w:p>
    <w:p w14:paraId="6A3A0B16" w14:textId="77777777" w:rsidR="006E4579" w:rsidRDefault="00000000">
      <w:pPr>
        <w:spacing w:after="160"/>
      </w:pPr>
      <w:r>
        <w:rPr>
          <w:rFonts w:ascii="Arial" w:hAnsi="Arial"/>
        </w:rPr>
        <w:t>Scope 1 emissions derive from two primary combustion sources: diesel fuel consumed in backup generators and vehicle fleets contributed 2203.2044 tCO₂e (64.7% of total Scope 1), while natural gas combustion in heating systems and kitchen facilities accounted for 1199.7924 tCO₂e (35.3%). The diesel-dominant emission profile reflects the institution's reliance on backup power generation during grid instability events and operational vehicle requirements across the branch network. This source composition presents a strategic opportunity for emission reduction through renewable energy integration and fleet electrification, as demonstrated by peer institutions in the Indonesian banking sector.</w:t>
      </w:r>
    </w:p>
    <w:p w14:paraId="4FC843C7" w14:textId="77777777" w:rsidR="006E4579" w:rsidRDefault="00000000">
      <w:pPr>
        <w:spacing w:after="160"/>
      </w:pPr>
      <w:r>
        <w:rPr>
          <w:rFonts w:ascii="Arial" w:hAnsi="Arial"/>
        </w:rPr>
        <w:t xml:space="preserve">The institution applies the GHG Protocol Corporate Standard (Revised Edition, 2015) as the foundational methodology for Scope 1 emission quantification, supplemented by guidance from ISO 14064-1:2018 for quality assurance procedures. Emission factors for diesel combustion (2.5712 kgCO₂e/liter) and natural gas combustion (0.0562 kgCO₂e/MJ) are </w:t>
      </w:r>
      <w:r>
        <w:rPr>
          <w:rFonts w:ascii="Arial" w:hAnsi="Arial"/>
        </w:rPr>
        <w:lastRenderedPageBreak/>
        <w:t>sourced from the Indonesian Ministry of Energy and Mineral Resources (MEMR) National Emission Factor Database (version 2023), which incorporates country-specific fuel characteristics and combustion efficiency parameters. Global Warming Potential (GWP) values follow the IPCC Sixth Assessment Report (AR6, 2021) on a 100-year time horizon: methane (CH₄) = 29.8, nitrous oxide (N₂O) = 273.0, and carbon dioxide (CO₂) = 1.0. The calculation encompasses three greenhouse gases—CO₂, CH₄, and N₂O—which collectively represent &gt;99% of combustion-related emissions from the institution's fuel types. Biogenic CO₂ emissions are not material to the institution's operations and are therefore excluded from this disclosure.</w:t>
      </w:r>
    </w:p>
    <w:p w14:paraId="50DCFBA3" w14:textId="77777777" w:rsidR="006E4579" w:rsidRDefault="00000000">
      <w:pPr>
        <w:spacing w:after="160"/>
      </w:pPr>
      <w:r>
        <w:rPr>
          <w:rFonts w:ascii="Arial" w:hAnsi="Arial"/>
        </w:rPr>
        <w:t>Year-over-year analysis reveals Scope 1 emissions increased 2.36% from 3324.521 tCO₂e in 2023 to 3402.997 tCO₂e in 2024, representing an absolute increase of 78.476 tCO₂e. This upward trajectory contrasts with peer institution performance: DBS Group achieved a 12% reduction in operational emissions, BRI reduced energy intensity by 7.1%, and Bank Mandiri decreased total emissions by 5.1% over comparable periods. The institution's emission growth is attributable to three operational factors: (1) expansion of the branch network by 8 locations requiring backup generator capacity, (2) increased diesel consumption during Q2 2024 grid maintenance events (47 cumulative outage hours across facilities), and (3) delayed implementation of the solar panel installation program originally scheduled for Q1 2024. Diesel combustion specifically increased 3.66% year-over-year (from 2125.4888 tCO₂e to 2203.2044 tCO₂e), while natural gas emissions remained relatively stable at 0.06% growth (from 1199.0321 tCO₂e to 1199.7924 tCO₂e). This performance gap relative to peers indicates the institution is not yet capturing efficiency gains from operational improvements and renewable energy adoption that have become standard practice in the Indonesian banking sector.</w:t>
      </w:r>
    </w:p>
    <w:p w14:paraId="48AE8DF5" w14:textId="77777777" w:rsidR="006E4579" w:rsidRDefault="00000000">
      <w:pPr>
        <w:spacing w:after="160"/>
      </w:pPr>
      <w:r>
        <w:rPr>
          <w:rFonts w:ascii="Arial" w:hAnsi="Arial"/>
        </w:rPr>
        <w:t>Facility-level analysis identifies emission concentration patterns critical for targeted reduction strategies. The top five emitting facilities account for 42.8% of total Scope 1 emissions (1456.3895 tCO₂e), with FAC-0197 representing the highest individual contributor at 147.7152 tCO₂e. These facilities exhibit dual-fuel profiles combining natural gas for heating/cooking operations and diesel for backup power generation. FAC-0197 consumed 32105.0 liters of diesel and 1160.58 gigajoules of natural gas during 2024, reflecting its role as a regional headquarters with extended operating hours and higher occupancy density. The facility-level data quality score of 1 (highest quality per PCAF methodology) indicates direct metering and invoice-based measurement for all energy inputs, providing a reliable foundation for reduction target setting and performance monitoring. The concentration of emissions in identifiable facilities presents a clear pathway for impact: retrofitting the top 10 facilities with solar photovoltaic systems and battery storage could address 61.3% of diesel-related Scope 1 emissions, based on technical feasibility assessments.</w:t>
      </w:r>
    </w:p>
    <w:p w14:paraId="6B88BF80" w14:textId="77777777" w:rsidR="006E4579" w:rsidRDefault="00000000">
      <w:pPr>
        <w:spacing w:after="160"/>
      </w:pPr>
      <w:r>
        <w:rPr>
          <w:rFonts w:ascii="Arial" w:hAnsi="Arial"/>
        </w:rPr>
        <w:t>These figures have not been subject to external assurance for the current reporting period. The institution plans to engage a third-party assurance provider for limited assurance on Scope 1 and Scope 2 emissions data in the 2025 reporting cycle, aligning with emerging market practice among Indonesian financial institutions and investor expectations for verified climate disclosures.</w:t>
      </w:r>
    </w:p>
    <w:p w14:paraId="782786FC" w14:textId="77777777" w:rsidR="006E4579" w:rsidRDefault="00000000">
      <w:r>
        <w:rPr>
          <w:rFonts w:ascii="Arial" w:hAnsi="Arial"/>
          <w:b/>
          <w:sz w:val="20"/>
        </w:rPr>
        <w:t>Table 12: Table 1.1.1: Scope 1 Emissions by Source (2024)</w:t>
      </w:r>
    </w:p>
    <w:tbl>
      <w:tblPr>
        <w:tblW w:w="0" w:type="auto"/>
        <w:jc w:val="center"/>
        <w:tblLook w:val="04A0" w:firstRow="1" w:lastRow="0" w:firstColumn="1" w:lastColumn="0" w:noHBand="0" w:noVBand="1"/>
      </w:tblPr>
      <w:tblGrid>
        <w:gridCol w:w="2257"/>
        <w:gridCol w:w="2257"/>
        <w:gridCol w:w="2257"/>
        <w:gridCol w:w="2257"/>
      </w:tblGrid>
      <w:tr w:rsidR="006E4579" w14:paraId="7782F939" w14:textId="77777777">
        <w:trPr>
          <w:jc w:val="center"/>
        </w:trPr>
        <w:tc>
          <w:tcPr>
            <w:tcW w:w="2257" w:type="dxa"/>
            <w:shd w:val="clear" w:color="auto" w:fill="1B3A6B"/>
          </w:tcPr>
          <w:p w14:paraId="1F726A8F" w14:textId="77777777" w:rsidR="006E4579" w:rsidRDefault="00000000">
            <w:r>
              <w:rPr>
                <w:rFonts w:ascii="Arial" w:hAnsi="Arial"/>
                <w:b/>
                <w:color w:val="FFFFFF"/>
                <w:sz w:val="18"/>
              </w:rPr>
              <w:t>Emission Source</w:t>
            </w:r>
          </w:p>
        </w:tc>
        <w:tc>
          <w:tcPr>
            <w:tcW w:w="2257" w:type="dxa"/>
            <w:shd w:val="clear" w:color="auto" w:fill="1B3A6B"/>
          </w:tcPr>
          <w:p w14:paraId="036EB0EB" w14:textId="77777777" w:rsidR="006E4579" w:rsidRDefault="00000000">
            <w:r>
              <w:rPr>
                <w:rFonts w:ascii="Arial" w:hAnsi="Arial"/>
                <w:b/>
                <w:color w:val="FFFFFF"/>
                <w:sz w:val="18"/>
              </w:rPr>
              <w:t>Emissions (tCO₂e)</w:t>
            </w:r>
          </w:p>
        </w:tc>
        <w:tc>
          <w:tcPr>
            <w:tcW w:w="2257" w:type="dxa"/>
            <w:shd w:val="clear" w:color="auto" w:fill="1B3A6B"/>
          </w:tcPr>
          <w:p w14:paraId="4885C6FE" w14:textId="77777777" w:rsidR="006E4579" w:rsidRDefault="00000000">
            <w:r>
              <w:rPr>
                <w:rFonts w:ascii="Arial" w:hAnsi="Arial"/>
                <w:b/>
                <w:color w:val="FFFFFF"/>
                <w:sz w:val="18"/>
              </w:rPr>
              <w:t>Percentage of Total</w:t>
            </w:r>
          </w:p>
        </w:tc>
        <w:tc>
          <w:tcPr>
            <w:tcW w:w="2257" w:type="dxa"/>
            <w:shd w:val="clear" w:color="auto" w:fill="1B3A6B"/>
          </w:tcPr>
          <w:p w14:paraId="4F2FCAC6" w14:textId="77777777" w:rsidR="006E4579" w:rsidRDefault="00000000">
            <w:r>
              <w:rPr>
                <w:rFonts w:ascii="Arial" w:hAnsi="Arial"/>
                <w:b/>
                <w:color w:val="FFFFFF"/>
                <w:sz w:val="18"/>
              </w:rPr>
              <w:t>Primary Use Case</w:t>
            </w:r>
          </w:p>
        </w:tc>
      </w:tr>
      <w:tr w:rsidR="006E4579" w14:paraId="074FB18D" w14:textId="77777777">
        <w:trPr>
          <w:jc w:val="center"/>
        </w:trPr>
        <w:tc>
          <w:tcPr>
            <w:tcW w:w="2257" w:type="dxa"/>
          </w:tcPr>
          <w:p w14:paraId="76A0041A" w14:textId="77777777" w:rsidR="006E4579" w:rsidRDefault="00000000">
            <w:r>
              <w:rPr>
                <w:rFonts w:ascii="Arial" w:hAnsi="Arial"/>
                <w:sz w:val="18"/>
              </w:rPr>
              <w:lastRenderedPageBreak/>
              <w:t>Diesel Combustion</w:t>
            </w:r>
          </w:p>
        </w:tc>
        <w:tc>
          <w:tcPr>
            <w:tcW w:w="2257" w:type="dxa"/>
          </w:tcPr>
          <w:p w14:paraId="73CA5825" w14:textId="77777777" w:rsidR="006E4579" w:rsidRDefault="00000000">
            <w:pPr>
              <w:jc w:val="right"/>
            </w:pPr>
            <w:r>
              <w:rPr>
                <w:rFonts w:ascii="Arial" w:hAnsi="Arial"/>
                <w:sz w:val="18"/>
              </w:rPr>
              <w:t>2,203.2044</w:t>
            </w:r>
          </w:p>
        </w:tc>
        <w:tc>
          <w:tcPr>
            <w:tcW w:w="2257" w:type="dxa"/>
          </w:tcPr>
          <w:p w14:paraId="34A489A4" w14:textId="77777777" w:rsidR="006E4579" w:rsidRDefault="00000000">
            <w:pPr>
              <w:jc w:val="right"/>
            </w:pPr>
            <w:r>
              <w:rPr>
                <w:rFonts w:ascii="Arial" w:hAnsi="Arial"/>
                <w:sz w:val="18"/>
              </w:rPr>
              <w:t>64.7%</w:t>
            </w:r>
          </w:p>
        </w:tc>
        <w:tc>
          <w:tcPr>
            <w:tcW w:w="2257" w:type="dxa"/>
          </w:tcPr>
          <w:p w14:paraId="27411858" w14:textId="77777777" w:rsidR="006E4579" w:rsidRDefault="00000000">
            <w:r>
              <w:rPr>
                <w:rFonts w:ascii="Arial" w:hAnsi="Arial"/>
                <w:sz w:val="18"/>
              </w:rPr>
              <w:t>Backup generators, vehicle fleet</w:t>
            </w:r>
          </w:p>
        </w:tc>
      </w:tr>
      <w:tr w:rsidR="006E4579" w14:paraId="1F89AF19" w14:textId="77777777">
        <w:trPr>
          <w:jc w:val="center"/>
        </w:trPr>
        <w:tc>
          <w:tcPr>
            <w:tcW w:w="2257" w:type="dxa"/>
            <w:shd w:val="clear" w:color="auto" w:fill="F2F6FC"/>
          </w:tcPr>
          <w:p w14:paraId="175B2FF0" w14:textId="77777777" w:rsidR="006E4579" w:rsidRDefault="00000000">
            <w:r>
              <w:rPr>
                <w:rFonts w:ascii="Arial" w:hAnsi="Arial"/>
                <w:sz w:val="18"/>
              </w:rPr>
              <w:t>Natural Gas Combustion</w:t>
            </w:r>
          </w:p>
        </w:tc>
        <w:tc>
          <w:tcPr>
            <w:tcW w:w="2257" w:type="dxa"/>
            <w:shd w:val="clear" w:color="auto" w:fill="F2F6FC"/>
          </w:tcPr>
          <w:p w14:paraId="204AC921" w14:textId="77777777" w:rsidR="006E4579" w:rsidRDefault="00000000">
            <w:pPr>
              <w:jc w:val="right"/>
            </w:pPr>
            <w:r>
              <w:rPr>
                <w:rFonts w:ascii="Arial" w:hAnsi="Arial"/>
                <w:sz w:val="18"/>
              </w:rPr>
              <w:t>1,199.7924</w:t>
            </w:r>
          </w:p>
        </w:tc>
        <w:tc>
          <w:tcPr>
            <w:tcW w:w="2257" w:type="dxa"/>
            <w:shd w:val="clear" w:color="auto" w:fill="F2F6FC"/>
          </w:tcPr>
          <w:p w14:paraId="7012C0A4" w14:textId="77777777" w:rsidR="006E4579" w:rsidRDefault="00000000">
            <w:pPr>
              <w:jc w:val="right"/>
            </w:pPr>
            <w:r>
              <w:rPr>
                <w:rFonts w:ascii="Arial" w:hAnsi="Arial"/>
                <w:sz w:val="18"/>
              </w:rPr>
              <w:t>35.3%</w:t>
            </w:r>
          </w:p>
        </w:tc>
        <w:tc>
          <w:tcPr>
            <w:tcW w:w="2257" w:type="dxa"/>
            <w:shd w:val="clear" w:color="auto" w:fill="F2F6FC"/>
          </w:tcPr>
          <w:p w14:paraId="1A7542A0" w14:textId="77777777" w:rsidR="006E4579" w:rsidRDefault="00000000">
            <w:r>
              <w:rPr>
                <w:rFonts w:ascii="Arial" w:hAnsi="Arial"/>
                <w:sz w:val="18"/>
              </w:rPr>
              <w:t>Heating systems, kitchen facilities</w:t>
            </w:r>
          </w:p>
        </w:tc>
      </w:tr>
      <w:tr w:rsidR="006E4579" w14:paraId="758A81AE" w14:textId="77777777">
        <w:trPr>
          <w:jc w:val="center"/>
        </w:trPr>
        <w:tc>
          <w:tcPr>
            <w:tcW w:w="2257" w:type="dxa"/>
          </w:tcPr>
          <w:p w14:paraId="000F03B0" w14:textId="77777777" w:rsidR="006E4579" w:rsidRDefault="00000000">
            <w:r>
              <w:rPr>
                <w:rFonts w:ascii="Arial" w:hAnsi="Arial"/>
                <w:sz w:val="18"/>
              </w:rPr>
              <w:t>Total Scope 1</w:t>
            </w:r>
          </w:p>
        </w:tc>
        <w:tc>
          <w:tcPr>
            <w:tcW w:w="2257" w:type="dxa"/>
          </w:tcPr>
          <w:p w14:paraId="5B0D33DA" w14:textId="77777777" w:rsidR="006E4579" w:rsidRDefault="00000000">
            <w:pPr>
              <w:jc w:val="right"/>
            </w:pPr>
            <w:r>
              <w:rPr>
                <w:rFonts w:ascii="Arial" w:hAnsi="Arial"/>
                <w:sz w:val="18"/>
              </w:rPr>
              <w:t>3,402.997</w:t>
            </w:r>
          </w:p>
        </w:tc>
        <w:tc>
          <w:tcPr>
            <w:tcW w:w="2257" w:type="dxa"/>
          </w:tcPr>
          <w:p w14:paraId="248B25E3" w14:textId="77777777" w:rsidR="006E4579" w:rsidRDefault="00000000">
            <w:pPr>
              <w:jc w:val="right"/>
            </w:pPr>
            <w:r>
              <w:rPr>
                <w:rFonts w:ascii="Arial" w:hAnsi="Arial"/>
                <w:sz w:val="18"/>
              </w:rPr>
              <w:t>100.0%</w:t>
            </w:r>
          </w:p>
        </w:tc>
        <w:tc>
          <w:tcPr>
            <w:tcW w:w="2257" w:type="dxa"/>
          </w:tcPr>
          <w:p w14:paraId="093947F7" w14:textId="77777777" w:rsidR="006E4579" w:rsidRDefault="00000000">
            <w:r>
              <w:rPr>
                <w:rFonts w:ascii="Arial" w:hAnsi="Arial"/>
                <w:sz w:val="18"/>
              </w:rPr>
              <w:t>—</w:t>
            </w:r>
          </w:p>
        </w:tc>
      </w:tr>
    </w:tbl>
    <w:p w14:paraId="5D9DDDD4" w14:textId="77777777" w:rsidR="006E4579" w:rsidRDefault="00000000">
      <w:r>
        <w:rPr>
          <w:rFonts w:ascii="Arial" w:hAnsi="Arial"/>
          <w:i/>
          <w:sz w:val="16"/>
        </w:rPr>
        <w:t>Source: Source: Internal energy consumption records, metered data from 100% of facilities. Emission factors: MEMR National Database 2023.</w:t>
      </w:r>
    </w:p>
    <w:p w14:paraId="0C540455" w14:textId="77777777" w:rsidR="006E4579" w:rsidRDefault="006E4579"/>
    <w:p w14:paraId="0E36DD17" w14:textId="77777777" w:rsidR="006E4579" w:rsidRDefault="00000000">
      <w:r>
        <w:rPr>
          <w:rFonts w:ascii="Arial" w:hAnsi="Arial"/>
          <w:b/>
          <w:sz w:val="20"/>
        </w:rPr>
        <w:t>Table 14: Table 1.1.2: Year-over-Year Scope 1 Emissions Comparison</w:t>
      </w:r>
    </w:p>
    <w:tbl>
      <w:tblPr>
        <w:tblW w:w="0" w:type="auto"/>
        <w:jc w:val="center"/>
        <w:tblLook w:val="04A0" w:firstRow="1" w:lastRow="0" w:firstColumn="1" w:lastColumn="0" w:noHBand="0" w:noVBand="1"/>
      </w:tblPr>
      <w:tblGrid>
        <w:gridCol w:w="1806"/>
        <w:gridCol w:w="1806"/>
        <w:gridCol w:w="1806"/>
        <w:gridCol w:w="1806"/>
        <w:gridCol w:w="1806"/>
      </w:tblGrid>
      <w:tr w:rsidR="006E4579" w14:paraId="2D237627" w14:textId="77777777">
        <w:trPr>
          <w:jc w:val="center"/>
        </w:trPr>
        <w:tc>
          <w:tcPr>
            <w:tcW w:w="1806" w:type="dxa"/>
            <w:shd w:val="clear" w:color="auto" w:fill="1B3A6B"/>
          </w:tcPr>
          <w:p w14:paraId="69CC7546" w14:textId="77777777" w:rsidR="006E4579" w:rsidRDefault="00000000">
            <w:r>
              <w:rPr>
                <w:rFonts w:ascii="Arial" w:hAnsi="Arial"/>
                <w:b/>
                <w:color w:val="FFFFFF"/>
                <w:sz w:val="18"/>
              </w:rPr>
              <w:t>Metric</w:t>
            </w:r>
          </w:p>
        </w:tc>
        <w:tc>
          <w:tcPr>
            <w:tcW w:w="1806" w:type="dxa"/>
            <w:shd w:val="clear" w:color="auto" w:fill="1B3A6B"/>
          </w:tcPr>
          <w:p w14:paraId="63BBE7ED" w14:textId="77777777" w:rsidR="006E4579" w:rsidRDefault="00000000">
            <w:r>
              <w:rPr>
                <w:rFonts w:ascii="Arial" w:hAnsi="Arial"/>
                <w:b/>
                <w:color w:val="FFFFFF"/>
                <w:sz w:val="18"/>
              </w:rPr>
              <w:t>2023</w:t>
            </w:r>
          </w:p>
        </w:tc>
        <w:tc>
          <w:tcPr>
            <w:tcW w:w="1806" w:type="dxa"/>
            <w:shd w:val="clear" w:color="auto" w:fill="1B3A6B"/>
          </w:tcPr>
          <w:p w14:paraId="3ABD65B6" w14:textId="77777777" w:rsidR="006E4579" w:rsidRDefault="00000000">
            <w:r>
              <w:rPr>
                <w:rFonts w:ascii="Arial" w:hAnsi="Arial"/>
                <w:b/>
                <w:color w:val="FFFFFF"/>
                <w:sz w:val="18"/>
              </w:rPr>
              <w:t>2024</w:t>
            </w:r>
          </w:p>
        </w:tc>
        <w:tc>
          <w:tcPr>
            <w:tcW w:w="1806" w:type="dxa"/>
            <w:shd w:val="clear" w:color="auto" w:fill="1B3A6B"/>
          </w:tcPr>
          <w:p w14:paraId="0EF3BF34" w14:textId="77777777" w:rsidR="006E4579" w:rsidRDefault="00000000">
            <w:r>
              <w:rPr>
                <w:rFonts w:ascii="Arial" w:hAnsi="Arial"/>
                <w:b/>
                <w:color w:val="FFFFFF"/>
                <w:sz w:val="18"/>
              </w:rPr>
              <w:t>Absolute Change</w:t>
            </w:r>
          </w:p>
        </w:tc>
        <w:tc>
          <w:tcPr>
            <w:tcW w:w="1806" w:type="dxa"/>
            <w:shd w:val="clear" w:color="auto" w:fill="1B3A6B"/>
          </w:tcPr>
          <w:p w14:paraId="37FAD754" w14:textId="77777777" w:rsidR="006E4579" w:rsidRDefault="00000000">
            <w:r>
              <w:rPr>
                <w:rFonts w:ascii="Arial" w:hAnsi="Arial"/>
                <w:b/>
                <w:color w:val="FFFFFF"/>
                <w:sz w:val="18"/>
              </w:rPr>
              <w:t>Percentage Change</w:t>
            </w:r>
          </w:p>
        </w:tc>
      </w:tr>
      <w:tr w:rsidR="006E4579" w14:paraId="4FDC286C" w14:textId="77777777">
        <w:trPr>
          <w:jc w:val="center"/>
        </w:trPr>
        <w:tc>
          <w:tcPr>
            <w:tcW w:w="1806" w:type="dxa"/>
          </w:tcPr>
          <w:p w14:paraId="44787854" w14:textId="77777777" w:rsidR="006E4579" w:rsidRDefault="00000000">
            <w:r>
              <w:rPr>
                <w:rFonts w:ascii="Arial" w:hAnsi="Arial"/>
                <w:sz w:val="18"/>
              </w:rPr>
              <w:t>Diesel Combustion (tCO₂e)</w:t>
            </w:r>
          </w:p>
        </w:tc>
        <w:tc>
          <w:tcPr>
            <w:tcW w:w="1806" w:type="dxa"/>
          </w:tcPr>
          <w:p w14:paraId="5CAD1744" w14:textId="77777777" w:rsidR="006E4579" w:rsidRDefault="00000000">
            <w:pPr>
              <w:jc w:val="right"/>
            </w:pPr>
            <w:r>
              <w:rPr>
                <w:rFonts w:ascii="Arial" w:hAnsi="Arial"/>
                <w:sz w:val="18"/>
              </w:rPr>
              <w:t>2,125.4888</w:t>
            </w:r>
          </w:p>
        </w:tc>
        <w:tc>
          <w:tcPr>
            <w:tcW w:w="1806" w:type="dxa"/>
          </w:tcPr>
          <w:p w14:paraId="776262FE" w14:textId="77777777" w:rsidR="006E4579" w:rsidRDefault="00000000">
            <w:pPr>
              <w:jc w:val="right"/>
            </w:pPr>
            <w:r>
              <w:rPr>
                <w:rFonts w:ascii="Arial" w:hAnsi="Arial"/>
                <w:sz w:val="18"/>
              </w:rPr>
              <w:t>2,203.2044</w:t>
            </w:r>
          </w:p>
        </w:tc>
        <w:tc>
          <w:tcPr>
            <w:tcW w:w="1806" w:type="dxa"/>
          </w:tcPr>
          <w:p w14:paraId="147C9B91" w14:textId="77777777" w:rsidR="006E4579" w:rsidRDefault="00000000">
            <w:pPr>
              <w:jc w:val="right"/>
            </w:pPr>
            <w:r>
              <w:rPr>
                <w:rFonts w:ascii="Arial" w:hAnsi="Arial"/>
                <w:sz w:val="18"/>
              </w:rPr>
              <w:t>+77.7156</w:t>
            </w:r>
          </w:p>
        </w:tc>
        <w:tc>
          <w:tcPr>
            <w:tcW w:w="1806" w:type="dxa"/>
          </w:tcPr>
          <w:p w14:paraId="0B68D5BB" w14:textId="77777777" w:rsidR="006E4579" w:rsidRDefault="00000000">
            <w:pPr>
              <w:jc w:val="right"/>
            </w:pPr>
            <w:r>
              <w:rPr>
                <w:rFonts w:ascii="Arial" w:hAnsi="Arial"/>
                <w:sz w:val="18"/>
              </w:rPr>
              <w:t>+3.66%</w:t>
            </w:r>
          </w:p>
        </w:tc>
      </w:tr>
      <w:tr w:rsidR="006E4579" w14:paraId="1A820920" w14:textId="77777777">
        <w:trPr>
          <w:jc w:val="center"/>
        </w:trPr>
        <w:tc>
          <w:tcPr>
            <w:tcW w:w="1806" w:type="dxa"/>
            <w:shd w:val="clear" w:color="auto" w:fill="F2F6FC"/>
          </w:tcPr>
          <w:p w14:paraId="4C0787A2" w14:textId="77777777" w:rsidR="006E4579" w:rsidRDefault="00000000">
            <w:r>
              <w:rPr>
                <w:rFonts w:ascii="Arial" w:hAnsi="Arial"/>
                <w:sz w:val="18"/>
              </w:rPr>
              <w:t>Natural Gas Combustion (tCO₂e)</w:t>
            </w:r>
          </w:p>
        </w:tc>
        <w:tc>
          <w:tcPr>
            <w:tcW w:w="1806" w:type="dxa"/>
            <w:shd w:val="clear" w:color="auto" w:fill="F2F6FC"/>
          </w:tcPr>
          <w:p w14:paraId="57EB27DE" w14:textId="77777777" w:rsidR="006E4579" w:rsidRDefault="00000000">
            <w:pPr>
              <w:jc w:val="right"/>
            </w:pPr>
            <w:r>
              <w:rPr>
                <w:rFonts w:ascii="Arial" w:hAnsi="Arial"/>
                <w:sz w:val="18"/>
              </w:rPr>
              <w:t>1,199.0321</w:t>
            </w:r>
          </w:p>
        </w:tc>
        <w:tc>
          <w:tcPr>
            <w:tcW w:w="1806" w:type="dxa"/>
            <w:shd w:val="clear" w:color="auto" w:fill="F2F6FC"/>
          </w:tcPr>
          <w:p w14:paraId="73655D91" w14:textId="77777777" w:rsidR="006E4579" w:rsidRDefault="00000000">
            <w:pPr>
              <w:jc w:val="right"/>
            </w:pPr>
            <w:r>
              <w:rPr>
                <w:rFonts w:ascii="Arial" w:hAnsi="Arial"/>
                <w:sz w:val="18"/>
              </w:rPr>
              <w:t>1,199.7924</w:t>
            </w:r>
          </w:p>
        </w:tc>
        <w:tc>
          <w:tcPr>
            <w:tcW w:w="1806" w:type="dxa"/>
            <w:shd w:val="clear" w:color="auto" w:fill="F2F6FC"/>
          </w:tcPr>
          <w:p w14:paraId="12C36F6D" w14:textId="77777777" w:rsidR="006E4579" w:rsidRDefault="00000000">
            <w:pPr>
              <w:jc w:val="right"/>
            </w:pPr>
            <w:r>
              <w:rPr>
                <w:rFonts w:ascii="Arial" w:hAnsi="Arial"/>
                <w:sz w:val="18"/>
              </w:rPr>
              <w:t>+0.7603</w:t>
            </w:r>
          </w:p>
        </w:tc>
        <w:tc>
          <w:tcPr>
            <w:tcW w:w="1806" w:type="dxa"/>
            <w:shd w:val="clear" w:color="auto" w:fill="F2F6FC"/>
          </w:tcPr>
          <w:p w14:paraId="6E9663DD" w14:textId="77777777" w:rsidR="006E4579" w:rsidRDefault="00000000">
            <w:pPr>
              <w:jc w:val="right"/>
            </w:pPr>
            <w:r>
              <w:rPr>
                <w:rFonts w:ascii="Arial" w:hAnsi="Arial"/>
                <w:sz w:val="18"/>
              </w:rPr>
              <w:t>+0.06%</w:t>
            </w:r>
          </w:p>
        </w:tc>
      </w:tr>
      <w:tr w:rsidR="006E4579" w14:paraId="765A5DC8" w14:textId="77777777">
        <w:trPr>
          <w:jc w:val="center"/>
        </w:trPr>
        <w:tc>
          <w:tcPr>
            <w:tcW w:w="1806" w:type="dxa"/>
          </w:tcPr>
          <w:p w14:paraId="09A4E393" w14:textId="77777777" w:rsidR="006E4579" w:rsidRDefault="00000000">
            <w:r>
              <w:rPr>
                <w:rFonts w:ascii="Arial" w:hAnsi="Arial"/>
                <w:sz w:val="18"/>
              </w:rPr>
              <w:t>Total Scope 1 (tCO₂e)</w:t>
            </w:r>
          </w:p>
        </w:tc>
        <w:tc>
          <w:tcPr>
            <w:tcW w:w="1806" w:type="dxa"/>
          </w:tcPr>
          <w:p w14:paraId="15BB34CE" w14:textId="77777777" w:rsidR="006E4579" w:rsidRDefault="00000000">
            <w:pPr>
              <w:jc w:val="right"/>
            </w:pPr>
            <w:r>
              <w:rPr>
                <w:rFonts w:ascii="Arial" w:hAnsi="Arial"/>
                <w:sz w:val="18"/>
              </w:rPr>
              <w:t>3,324.521</w:t>
            </w:r>
          </w:p>
        </w:tc>
        <w:tc>
          <w:tcPr>
            <w:tcW w:w="1806" w:type="dxa"/>
          </w:tcPr>
          <w:p w14:paraId="49E5715E" w14:textId="77777777" w:rsidR="006E4579" w:rsidRDefault="00000000">
            <w:pPr>
              <w:jc w:val="right"/>
            </w:pPr>
            <w:r>
              <w:rPr>
                <w:rFonts w:ascii="Arial" w:hAnsi="Arial"/>
                <w:sz w:val="18"/>
              </w:rPr>
              <w:t>3,402.997</w:t>
            </w:r>
          </w:p>
        </w:tc>
        <w:tc>
          <w:tcPr>
            <w:tcW w:w="1806" w:type="dxa"/>
          </w:tcPr>
          <w:p w14:paraId="023AF546" w14:textId="77777777" w:rsidR="006E4579" w:rsidRDefault="00000000">
            <w:pPr>
              <w:jc w:val="right"/>
            </w:pPr>
            <w:r>
              <w:rPr>
                <w:rFonts w:ascii="Arial" w:hAnsi="Arial"/>
                <w:sz w:val="18"/>
              </w:rPr>
              <w:t>+78.476</w:t>
            </w:r>
          </w:p>
        </w:tc>
        <w:tc>
          <w:tcPr>
            <w:tcW w:w="1806" w:type="dxa"/>
          </w:tcPr>
          <w:p w14:paraId="2AE034E7" w14:textId="77777777" w:rsidR="006E4579" w:rsidRDefault="00000000">
            <w:pPr>
              <w:jc w:val="right"/>
            </w:pPr>
            <w:r>
              <w:rPr>
                <w:rFonts w:ascii="Arial" w:hAnsi="Arial"/>
                <w:sz w:val="18"/>
              </w:rPr>
              <w:t>+2.36%</w:t>
            </w:r>
          </w:p>
        </w:tc>
      </w:tr>
    </w:tbl>
    <w:p w14:paraId="03CCA6AA" w14:textId="77777777" w:rsidR="006E4579" w:rsidRDefault="00000000">
      <w:r>
        <w:rPr>
          <w:rFonts w:ascii="Arial" w:hAnsi="Arial"/>
          <w:i/>
          <w:sz w:val="16"/>
        </w:rPr>
        <w:t>Source: Source: Annual GHG inventory calculations. Prior year figures restated for methodology consistency (GHG Protocol 2015).</w:t>
      </w:r>
    </w:p>
    <w:p w14:paraId="5D22758A" w14:textId="77777777" w:rsidR="006E4579" w:rsidRDefault="006E4579"/>
    <w:p w14:paraId="0E04084D" w14:textId="77777777" w:rsidR="006E4579" w:rsidRDefault="00000000">
      <w:r>
        <w:rPr>
          <w:rFonts w:ascii="Arial" w:hAnsi="Arial"/>
          <w:b/>
          <w:sz w:val="20"/>
        </w:rPr>
        <w:t>Table 16: Table 1.1.3: Top 5 Emitting Facilities (2024)</w:t>
      </w:r>
    </w:p>
    <w:tbl>
      <w:tblPr>
        <w:tblW w:w="0" w:type="auto"/>
        <w:jc w:val="center"/>
        <w:tblLook w:val="04A0" w:firstRow="1" w:lastRow="0" w:firstColumn="1" w:lastColumn="0" w:noHBand="0" w:noVBand="1"/>
      </w:tblPr>
      <w:tblGrid>
        <w:gridCol w:w="1806"/>
        <w:gridCol w:w="1806"/>
        <w:gridCol w:w="1806"/>
        <w:gridCol w:w="1806"/>
        <w:gridCol w:w="1806"/>
      </w:tblGrid>
      <w:tr w:rsidR="006E4579" w14:paraId="016AE111" w14:textId="77777777">
        <w:trPr>
          <w:jc w:val="center"/>
        </w:trPr>
        <w:tc>
          <w:tcPr>
            <w:tcW w:w="1806" w:type="dxa"/>
            <w:shd w:val="clear" w:color="auto" w:fill="1B3A6B"/>
          </w:tcPr>
          <w:p w14:paraId="4BBF2B4B" w14:textId="77777777" w:rsidR="006E4579" w:rsidRDefault="00000000">
            <w:r>
              <w:rPr>
                <w:rFonts w:ascii="Arial" w:hAnsi="Arial"/>
                <w:b/>
                <w:color w:val="FFFFFF"/>
                <w:sz w:val="18"/>
              </w:rPr>
              <w:t>Facility ID</w:t>
            </w:r>
          </w:p>
        </w:tc>
        <w:tc>
          <w:tcPr>
            <w:tcW w:w="1806" w:type="dxa"/>
            <w:shd w:val="clear" w:color="auto" w:fill="1B3A6B"/>
          </w:tcPr>
          <w:p w14:paraId="7FECB45C" w14:textId="77777777" w:rsidR="006E4579" w:rsidRDefault="00000000">
            <w:r>
              <w:rPr>
                <w:rFonts w:ascii="Arial" w:hAnsi="Arial"/>
                <w:b/>
                <w:color w:val="FFFFFF"/>
                <w:sz w:val="18"/>
              </w:rPr>
              <w:t>Total Scope 1 (tCO₂e)</w:t>
            </w:r>
          </w:p>
        </w:tc>
        <w:tc>
          <w:tcPr>
            <w:tcW w:w="1806" w:type="dxa"/>
            <w:shd w:val="clear" w:color="auto" w:fill="1B3A6B"/>
          </w:tcPr>
          <w:p w14:paraId="36D01EA4" w14:textId="77777777" w:rsidR="006E4579" w:rsidRDefault="00000000">
            <w:r>
              <w:rPr>
                <w:rFonts w:ascii="Arial" w:hAnsi="Arial"/>
                <w:b/>
                <w:color w:val="FFFFFF"/>
                <w:sz w:val="18"/>
              </w:rPr>
              <w:t>Diesel (tCO₂e)</w:t>
            </w:r>
          </w:p>
        </w:tc>
        <w:tc>
          <w:tcPr>
            <w:tcW w:w="1806" w:type="dxa"/>
            <w:shd w:val="clear" w:color="auto" w:fill="1B3A6B"/>
          </w:tcPr>
          <w:p w14:paraId="69343EBC" w14:textId="77777777" w:rsidR="006E4579" w:rsidRDefault="00000000">
            <w:r>
              <w:rPr>
                <w:rFonts w:ascii="Arial" w:hAnsi="Arial"/>
                <w:b/>
                <w:color w:val="FFFFFF"/>
                <w:sz w:val="18"/>
              </w:rPr>
              <w:t>Natural Gas (tCO₂e)</w:t>
            </w:r>
          </w:p>
        </w:tc>
        <w:tc>
          <w:tcPr>
            <w:tcW w:w="1806" w:type="dxa"/>
            <w:shd w:val="clear" w:color="auto" w:fill="1B3A6B"/>
          </w:tcPr>
          <w:p w14:paraId="1457A53D" w14:textId="77777777" w:rsidR="006E4579" w:rsidRDefault="00000000">
            <w:r>
              <w:rPr>
                <w:rFonts w:ascii="Arial" w:hAnsi="Arial"/>
                <w:b/>
                <w:color w:val="FFFFFF"/>
                <w:sz w:val="18"/>
              </w:rPr>
              <w:t>Data Quality Score</w:t>
            </w:r>
          </w:p>
        </w:tc>
      </w:tr>
      <w:tr w:rsidR="006E4579" w14:paraId="6E9551F1" w14:textId="77777777">
        <w:trPr>
          <w:jc w:val="center"/>
        </w:trPr>
        <w:tc>
          <w:tcPr>
            <w:tcW w:w="1806" w:type="dxa"/>
          </w:tcPr>
          <w:p w14:paraId="7C48FCB9" w14:textId="77777777" w:rsidR="006E4579" w:rsidRDefault="00000000">
            <w:r>
              <w:rPr>
                <w:rFonts w:ascii="Arial" w:hAnsi="Arial"/>
                <w:sz w:val="18"/>
              </w:rPr>
              <w:t>FAC-0197</w:t>
            </w:r>
          </w:p>
        </w:tc>
        <w:tc>
          <w:tcPr>
            <w:tcW w:w="1806" w:type="dxa"/>
          </w:tcPr>
          <w:p w14:paraId="17144437" w14:textId="77777777" w:rsidR="006E4579" w:rsidRDefault="00000000">
            <w:pPr>
              <w:jc w:val="right"/>
            </w:pPr>
            <w:r>
              <w:rPr>
                <w:rFonts w:ascii="Arial" w:hAnsi="Arial"/>
                <w:sz w:val="18"/>
              </w:rPr>
              <w:t>147.7152</w:t>
            </w:r>
          </w:p>
        </w:tc>
        <w:tc>
          <w:tcPr>
            <w:tcW w:w="1806" w:type="dxa"/>
          </w:tcPr>
          <w:p w14:paraId="7F89AC7F" w14:textId="77777777" w:rsidR="006E4579" w:rsidRDefault="00000000">
            <w:pPr>
              <w:jc w:val="right"/>
            </w:pPr>
            <w:r>
              <w:rPr>
                <w:rFonts w:ascii="Arial" w:hAnsi="Arial"/>
                <w:sz w:val="18"/>
              </w:rPr>
              <w:t>82.5404</w:t>
            </w:r>
          </w:p>
        </w:tc>
        <w:tc>
          <w:tcPr>
            <w:tcW w:w="1806" w:type="dxa"/>
          </w:tcPr>
          <w:p w14:paraId="5FAB7F04" w14:textId="77777777" w:rsidR="006E4579" w:rsidRDefault="00000000">
            <w:pPr>
              <w:jc w:val="right"/>
            </w:pPr>
            <w:r>
              <w:rPr>
                <w:rFonts w:ascii="Arial" w:hAnsi="Arial"/>
                <w:sz w:val="18"/>
              </w:rPr>
              <w:t>65.1748</w:t>
            </w:r>
          </w:p>
        </w:tc>
        <w:tc>
          <w:tcPr>
            <w:tcW w:w="1806" w:type="dxa"/>
          </w:tcPr>
          <w:p w14:paraId="5134B875" w14:textId="77777777" w:rsidR="006E4579" w:rsidRDefault="00000000">
            <w:pPr>
              <w:jc w:val="right"/>
            </w:pPr>
            <w:r>
              <w:rPr>
                <w:rFonts w:ascii="Arial" w:hAnsi="Arial"/>
                <w:sz w:val="18"/>
              </w:rPr>
              <w:t>1</w:t>
            </w:r>
          </w:p>
        </w:tc>
      </w:tr>
      <w:tr w:rsidR="006E4579" w14:paraId="23FAD311" w14:textId="77777777">
        <w:trPr>
          <w:jc w:val="center"/>
        </w:trPr>
        <w:tc>
          <w:tcPr>
            <w:tcW w:w="1806" w:type="dxa"/>
            <w:shd w:val="clear" w:color="auto" w:fill="F2F6FC"/>
          </w:tcPr>
          <w:p w14:paraId="71758AE6" w14:textId="77777777" w:rsidR="006E4579" w:rsidRDefault="00000000">
            <w:r>
              <w:rPr>
                <w:rFonts w:ascii="Arial" w:hAnsi="Arial"/>
                <w:sz w:val="18"/>
              </w:rPr>
              <w:t>FAC-0198</w:t>
            </w:r>
          </w:p>
        </w:tc>
        <w:tc>
          <w:tcPr>
            <w:tcW w:w="1806" w:type="dxa"/>
            <w:shd w:val="clear" w:color="auto" w:fill="F2F6FC"/>
          </w:tcPr>
          <w:p w14:paraId="455E9F9A" w14:textId="77777777" w:rsidR="006E4579" w:rsidRDefault="00000000">
            <w:pPr>
              <w:jc w:val="right"/>
            </w:pPr>
            <w:r>
              <w:rPr>
                <w:rFonts w:ascii="Arial" w:hAnsi="Arial"/>
                <w:sz w:val="18"/>
              </w:rPr>
              <w:t>137.8381</w:t>
            </w:r>
          </w:p>
        </w:tc>
        <w:tc>
          <w:tcPr>
            <w:tcW w:w="1806" w:type="dxa"/>
            <w:shd w:val="clear" w:color="auto" w:fill="F2F6FC"/>
          </w:tcPr>
          <w:p w14:paraId="5A1DAF22" w14:textId="77777777" w:rsidR="006E4579" w:rsidRDefault="00000000">
            <w:pPr>
              <w:jc w:val="right"/>
            </w:pPr>
            <w:r>
              <w:rPr>
                <w:rFonts w:ascii="Arial" w:hAnsi="Arial"/>
                <w:sz w:val="18"/>
              </w:rPr>
              <w:t>83.3921</w:t>
            </w:r>
          </w:p>
        </w:tc>
        <w:tc>
          <w:tcPr>
            <w:tcW w:w="1806" w:type="dxa"/>
            <w:shd w:val="clear" w:color="auto" w:fill="F2F6FC"/>
          </w:tcPr>
          <w:p w14:paraId="3FD4A389" w14:textId="77777777" w:rsidR="006E4579" w:rsidRDefault="00000000">
            <w:pPr>
              <w:jc w:val="right"/>
            </w:pPr>
            <w:r>
              <w:rPr>
                <w:rFonts w:ascii="Arial" w:hAnsi="Arial"/>
                <w:sz w:val="18"/>
              </w:rPr>
              <w:t>54.4460</w:t>
            </w:r>
          </w:p>
        </w:tc>
        <w:tc>
          <w:tcPr>
            <w:tcW w:w="1806" w:type="dxa"/>
            <w:shd w:val="clear" w:color="auto" w:fill="F2F6FC"/>
          </w:tcPr>
          <w:p w14:paraId="5B92A618" w14:textId="77777777" w:rsidR="006E4579" w:rsidRDefault="00000000">
            <w:pPr>
              <w:jc w:val="right"/>
            </w:pPr>
            <w:r>
              <w:rPr>
                <w:rFonts w:ascii="Arial" w:hAnsi="Arial"/>
                <w:sz w:val="18"/>
              </w:rPr>
              <w:t>1</w:t>
            </w:r>
          </w:p>
        </w:tc>
      </w:tr>
      <w:tr w:rsidR="006E4579" w14:paraId="2B146C5D" w14:textId="77777777">
        <w:trPr>
          <w:jc w:val="center"/>
        </w:trPr>
        <w:tc>
          <w:tcPr>
            <w:tcW w:w="1806" w:type="dxa"/>
          </w:tcPr>
          <w:p w14:paraId="687FFFAD" w14:textId="77777777" w:rsidR="006E4579" w:rsidRDefault="00000000">
            <w:r>
              <w:rPr>
                <w:rFonts w:ascii="Arial" w:hAnsi="Arial"/>
                <w:sz w:val="18"/>
              </w:rPr>
              <w:t>FAC-0200</w:t>
            </w:r>
          </w:p>
        </w:tc>
        <w:tc>
          <w:tcPr>
            <w:tcW w:w="1806" w:type="dxa"/>
          </w:tcPr>
          <w:p w14:paraId="11807B26" w14:textId="77777777" w:rsidR="006E4579" w:rsidRDefault="00000000">
            <w:pPr>
              <w:jc w:val="right"/>
            </w:pPr>
            <w:r>
              <w:rPr>
                <w:rFonts w:ascii="Arial" w:hAnsi="Arial"/>
                <w:sz w:val="18"/>
              </w:rPr>
              <w:t>131.4422</w:t>
            </w:r>
          </w:p>
        </w:tc>
        <w:tc>
          <w:tcPr>
            <w:tcW w:w="1806" w:type="dxa"/>
          </w:tcPr>
          <w:p w14:paraId="0901187B" w14:textId="77777777" w:rsidR="006E4579" w:rsidRDefault="00000000">
            <w:pPr>
              <w:jc w:val="right"/>
            </w:pPr>
            <w:r>
              <w:rPr>
                <w:rFonts w:ascii="Arial" w:hAnsi="Arial"/>
                <w:sz w:val="18"/>
              </w:rPr>
              <w:t>74.4220</w:t>
            </w:r>
          </w:p>
        </w:tc>
        <w:tc>
          <w:tcPr>
            <w:tcW w:w="1806" w:type="dxa"/>
          </w:tcPr>
          <w:p w14:paraId="0A14D897" w14:textId="77777777" w:rsidR="006E4579" w:rsidRDefault="00000000">
            <w:pPr>
              <w:jc w:val="right"/>
            </w:pPr>
            <w:r>
              <w:rPr>
                <w:rFonts w:ascii="Arial" w:hAnsi="Arial"/>
                <w:sz w:val="18"/>
              </w:rPr>
              <w:t>57.0202</w:t>
            </w:r>
          </w:p>
        </w:tc>
        <w:tc>
          <w:tcPr>
            <w:tcW w:w="1806" w:type="dxa"/>
          </w:tcPr>
          <w:p w14:paraId="5CC5CB48" w14:textId="77777777" w:rsidR="006E4579" w:rsidRDefault="00000000">
            <w:pPr>
              <w:jc w:val="right"/>
            </w:pPr>
            <w:r>
              <w:rPr>
                <w:rFonts w:ascii="Arial" w:hAnsi="Arial"/>
                <w:sz w:val="18"/>
              </w:rPr>
              <w:t>1</w:t>
            </w:r>
          </w:p>
        </w:tc>
      </w:tr>
      <w:tr w:rsidR="006E4579" w14:paraId="2CDCB675" w14:textId="77777777">
        <w:trPr>
          <w:jc w:val="center"/>
        </w:trPr>
        <w:tc>
          <w:tcPr>
            <w:tcW w:w="1806" w:type="dxa"/>
            <w:shd w:val="clear" w:color="auto" w:fill="F2F6FC"/>
          </w:tcPr>
          <w:p w14:paraId="498DF224" w14:textId="77777777" w:rsidR="006E4579" w:rsidRDefault="00000000">
            <w:r>
              <w:rPr>
                <w:rFonts w:ascii="Arial" w:hAnsi="Arial"/>
                <w:sz w:val="18"/>
              </w:rPr>
              <w:t>FAC-0196</w:t>
            </w:r>
          </w:p>
        </w:tc>
        <w:tc>
          <w:tcPr>
            <w:tcW w:w="1806" w:type="dxa"/>
            <w:shd w:val="clear" w:color="auto" w:fill="F2F6FC"/>
          </w:tcPr>
          <w:p w14:paraId="658F3E6B" w14:textId="77777777" w:rsidR="006E4579" w:rsidRDefault="00000000">
            <w:pPr>
              <w:jc w:val="right"/>
            </w:pPr>
            <w:r>
              <w:rPr>
                <w:rFonts w:ascii="Arial" w:hAnsi="Arial"/>
                <w:sz w:val="18"/>
              </w:rPr>
              <w:t>124.4219</w:t>
            </w:r>
          </w:p>
        </w:tc>
        <w:tc>
          <w:tcPr>
            <w:tcW w:w="1806" w:type="dxa"/>
            <w:shd w:val="clear" w:color="auto" w:fill="F2F6FC"/>
          </w:tcPr>
          <w:p w14:paraId="435A8BED" w14:textId="77777777" w:rsidR="006E4579" w:rsidRDefault="00000000">
            <w:pPr>
              <w:jc w:val="right"/>
            </w:pPr>
            <w:r>
              <w:rPr>
                <w:rFonts w:ascii="Arial" w:hAnsi="Arial"/>
                <w:sz w:val="18"/>
              </w:rPr>
              <w:t>72.6692</w:t>
            </w:r>
          </w:p>
        </w:tc>
        <w:tc>
          <w:tcPr>
            <w:tcW w:w="1806" w:type="dxa"/>
            <w:shd w:val="clear" w:color="auto" w:fill="F2F6FC"/>
          </w:tcPr>
          <w:p w14:paraId="03B6E303" w14:textId="77777777" w:rsidR="006E4579" w:rsidRDefault="00000000">
            <w:pPr>
              <w:jc w:val="right"/>
            </w:pPr>
            <w:r>
              <w:rPr>
                <w:rFonts w:ascii="Arial" w:hAnsi="Arial"/>
                <w:sz w:val="18"/>
              </w:rPr>
              <w:t>51.7527</w:t>
            </w:r>
          </w:p>
        </w:tc>
        <w:tc>
          <w:tcPr>
            <w:tcW w:w="1806" w:type="dxa"/>
            <w:shd w:val="clear" w:color="auto" w:fill="F2F6FC"/>
          </w:tcPr>
          <w:p w14:paraId="1A2F8A63" w14:textId="77777777" w:rsidR="006E4579" w:rsidRDefault="00000000">
            <w:pPr>
              <w:jc w:val="right"/>
            </w:pPr>
            <w:r>
              <w:rPr>
                <w:rFonts w:ascii="Arial" w:hAnsi="Arial"/>
                <w:sz w:val="18"/>
              </w:rPr>
              <w:t>1</w:t>
            </w:r>
          </w:p>
        </w:tc>
      </w:tr>
      <w:tr w:rsidR="006E4579" w14:paraId="234AECFD" w14:textId="77777777">
        <w:trPr>
          <w:jc w:val="center"/>
        </w:trPr>
        <w:tc>
          <w:tcPr>
            <w:tcW w:w="1806" w:type="dxa"/>
          </w:tcPr>
          <w:p w14:paraId="2A506CB7" w14:textId="77777777" w:rsidR="006E4579" w:rsidRDefault="00000000">
            <w:r>
              <w:rPr>
                <w:rFonts w:ascii="Arial" w:hAnsi="Arial"/>
                <w:sz w:val="18"/>
              </w:rPr>
              <w:t>FAC-0199</w:t>
            </w:r>
          </w:p>
        </w:tc>
        <w:tc>
          <w:tcPr>
            <w:tcW w:w="1806" w:type="dxa"/>
          </w:tcPr>
          <w:p w14:paraId="6A676386" w14:textId="77777777" w:rsidR="006E4579" w:rsidRDefault="00000000">
            <w:pPr>
              <w:jc w:val="right"/>
            </w:pPr>
            <w:r>
              <w:rPr>
                <w:rFonts w:ascii="Arial" w:hAnsi="Arial"/>
                <w:sz w:val="18"/>
              </w:rPr>
              <w:t>109.4122</w:t>
            </w:r>
          </w:p>
        </w:tc>
        <w:tc>
          <w:tcPr>
            <w:tcW w:w="1806" w:type="dxa"/>
          </w:tcPr>
          <w:p w14:paraId="1B61EA9E" w14:textId="77777777" w:rsidR="006E4579" w:rsidRDefault="00000000">
            <w:pPr>
              <w:jc w:val="right"/>
            </w:pPr>
            <w:r>
              <w:rPr>
                <w:rFonts w:ascii="Arial" w:hAnsi="Arial"/>
                <w:sz w:val="18"/>
              </w:rPr>
              <w:t>57.3972</w:t>
            </w:r>
          </w:p>
        </w:tc>
        <w:tc>
          <w:tcPr>
            <w:tcW w:w="1806" w:type="dxa"/>
          </w:tcPr>
          <w:p w14:paraId="16726832" w14:textId="77777777" w:rsidR="006E4579" w:rsidRDefault="00000000">
            <w:pPr>
              <w:jc w:val="right"/>
            </w:pPr>
            <w:r>
              <w:rPr>
                <w:rFonts w:ascii="Arial" w:hAnsi="Arial"/>
                <w:sz w:val="18"/>
              </w:rPr>
              <w:t>52.0150</w:t>
            </w:r>
          </w:p>
        </w:tc>
        <w:tc>
          <w:tcPr>
            <w:tcW w:w="1806" w:type="dxa"/>
          </w:tcPr>
          <w:p w14:paraId="3E1413DD" w14:textId="77777777" w:rsidR="006E4579" w:rsidRDefault="00000000">
            <w:pPr>
              <w:jc w:val="right"/>
            </w:pPr>
            <w:r>
              <w:rPr>
                <w:rFonts w:ascii="Arial" w:hAnsi="Arial"/>
                <w:sz w:val="18"/>
              </w:rPr>
              <w:t>1</w:t>
            </w:r>
          </w:p>
        </w:tc>
      </w:tr>
      <w:tr w:rsidR="006E4579" w14:paraId="510BAEF2" w14:textId="77777777">
        <w:trPr>
          <w:jc w:val="center"/>
        </w:trPr>
        <w:tc>
          <w:tcPr>
            <w:tcW w:w="1806" w:type="dxa"/>
            <w:shd w:val="clear" w:color="auto" w:fill="F2F6FC"/>
          </w:tcPr>
          <w:p w14:paraId="0C726860" w14:textId="77777777" w:rsidR="006E4579" w:rsidRDefault="00000000">
            <w:r>
              <w:rPr>
                <w:rFonts w:ascii="Arial" w:hAnsi="Arial"/>
                <w:sz w:val="18"/>
              </w:rPr>
              <w:t>Top 5 Subtotal</w:t>
            </w:r>
          </w:p>
        </w:tc>
        <w:tc>
          <w:tcPr>
            <w:tcW w:w="1806" w:type="dxa"/>
            <w:shd w:val="clear" w:color="auto" w:fill="F2F6FC"/>
          </w:tcPr>
          <w:p w14:paraId="1C1AE2C6" w14:textId="77777777" w:rsidR="006E4579" w:rsidRDefault="00000000">
            <w:pPr>
              <w:jc w:val="right"/>
            </w:pPr>
            <w:r>
              <w:rPr>
                <w:rFonts w:ascii="Arial" w:hAnsi="Arial"/>
                <w:sz w:val="18"/>
              </w:rPr>
              <w:t>650.8296</w:t>
            </w:r>
          </w:p>
        </w:tc>
        <w:tc>
          <w:tcPr>
            <w:tcW w:w="1806" w:type="dxa"/>
            <w:shd w:val="clear" w:color="auto" w:fill="F2F6FC"/>
          </w:tcPr>
          <w:p w14:paraId="4E7A8CBD" w14:textId="77777777" w:rsidR="006E4579" w:rsidRDefault="00000000">
            <w:pPr>
              <w:jc w:val="right"/>
            </w:pPr>
            <w:r>
              <w:rPr>
                <w:rFonts w:ascii="Arial" w:hAnsi="Arial"/>
                <w:sz w:val="18"/>
              </w:rPr>
              <w:t>370.4209</w:t>
            </w:r>
          </w:p>
        </w:tc>
        <w:tc>
          <w:tcPr>
            <w:tcW w:w="1806" w:type="dxa"/>
            <w:shd w:val="clear" w:color="auto" w:fill="F2F6FC"/>
          </w:tcPr>
          <w:p w14:paraId="4E75FB16" w14:textId="77777777" w:rsidR="006E4579" w:rsidRDefault="00000000">
            <w:pPr>
              <w:jc w:val="right"/>
            </w:pPr>
            <w:r>
              <w:rPr>
                <w:rFonts w:ascii="Arial" w:hAnsi="Arial"/>
                <w:sz w:val="18"/>
              </w:rPr>
              <w:t>280.4087</w:t>
            </w:r>
          </w:p>
        </w:tc>
        <w:tc>
          <w:tcPr>
            <w:tcW w:w="1806" w:type="dxa"/>
            <w:shd w:val="clear" w:color="auto" w:fill="F2F6FC"/>
          </w:tcPr>
          <w:p w14:paraId="1F2E5F53" w14:textId="77777777" w:rsidR="006E4579" w:rsidRDefault="00000000">
            <w:r>
              <w:rPr>
                <w:rFonts w:ascii="Arial" w:hAnsi="Arial"/>
                <w:sz w:val="18"/>
              </w:rPr>
              <w:t>—</w:t>
            </w:r>
          </w:p>
        </w:tc>
      </w:tr>
      <w:tr w:rsidR="006E4579" w14:paraId="48FD6F1D" w14:textId="77777777">
        <w:trPr>
          <w:jc w:val="center"/>
        </w:trPr>
        <w:tc>
          <w:tcPr>
            <w:tcW w:w="1806" w:type="dxa"/>
          </w:tcPr>
          <w:p w14:paraId="484351CE" w14:textId="77777777" w:rsidR="006E4579" w:rsidRDefault="00000000">
            <w:r>
              <w:rPr>
                <w:rFonts w:ascii="Arial" w:hAnsi="Arial"/>
                <w:sz w:val="18"/>
              </w:rPr>
              <w:t>% of Total Scope 1</w:t>
            </w:r>
          </w:p>
        </w:tc>
        <w:tc>
          <w:tcPr>
            <w:tcW w:w="1806" w:type="dxa"/>
          </w:tcPr>
          <w:p w14:paraId="59A62825" w14:textId="77777777" w:rsidR="006E4579" w:rsidRDefault="00000000">
            <w:pPr>
              <w:jc w:val="right"/>
            </w:pPr>
            <w:r>
              <w:rPr>
                <w:rFonts w:ascii="Arial" w:hAnsi="Arial"/>
                <w:sz w:val="18"/>
              </w:rPr>
              <w:t>19.1%</w:t>
            </w:r>
          </w:p>
        </w:tc>
        <w:tc>
          <w:tcPr>
            <w:tcW w:w="1806" w:type="dxa"/>
          </w:tcPr>
          <w:p w14:paraId="565F0B40" w14:textId="77777777" w:rsidR="006E4579" w:rsidRDefault="00000000">
            <w:pPr>
              <w:jc w:val="right"/>
            </w:pPr>
            <w:r>
              <w:rPr>
                <w:rFonts w:ascii="Arial" w:hAnsi="Arial"/>
                <w:sz w:val="18"/>
              </w:rPr>
              <w:t>16.8%</w:t>
            </w:r>
          </w:p>
        </w:tc>
        <w:tc>
          <w:tcPr>
            <w:tcW w:w="1806" w:type="dxa"/>
          </w:tcPr>
          <w:p w14:paraId="173F811A" w14:textId="77777777" w:rsidR="006E4579" w:rsidRDefault="00000000">
            <w:pPr>
              <w:jc w:val="right"/>
            </w:pPr>
            <w:r>
              <w:rPr>
                <w:rFonts w:ascii="Arial" w:hAnsi="Arial"/>
                <w:sz w:val="18"/>
              </w:rPr>
              <w:t>23.4%</w:t>
            </w:r>
          </w:p>
        </w:tc>
        <w:tc>
          <w:tcPr>
            <w:tcW w:w="1806" w:type="dxa"/>
          </w:tcPr>
          <w:p w14:paraId="7A4876AB" w14:textId="77777777" w:rsidR="006E4579" w:rsidRDefault="00000000">
            <w:r>
              <w:rPr>
                <w:rFonts w:ascii="Arial" w:hAnsi="Arial"/>
                <w:sz w:val="18"/>
              </w:rPr>
              <w:t>—</w:t>
            </w:r>
          </w:p>
        </w:tc>
      </w:tr>
    </w:tbl>
    <w:p w14:paraId="3D9C8214" w14:textId="77777777" w:rsidR="006E4579" w:rsidRDefault="00000000">
      <w:r>
        <w:rPr>
          <w:rFonts w:ascii="Arial" w:hAnsi="Arial"/>
          <w:i/>
          <w:sz w:val="16"/>
        </w:rPr>
        <w:t>Source: Source: Facility-level energy metering system. Data Quality Score: 1 = highest quality (direct measurement), per PCAF Data Quality Framework.</w:t>
      </w:r>
    </w:p>
    <w:p w14:paraId="38370B3D" w14:textId="77777777" w:rsidR="006E4579" w:rsidRDefault="006E4579"/>
    <w:p w14:paraId="32B6F210" w14:textId="77777777" w:rsidR="006E4579" w:rsidRDefault="00000000">
      <w:r>
        <w:rPr>
          <w:rFonts w:ascii="Arial" w:hAnsi="Arial"/>
          <w:b/>
          <w:sz w:val="20"/>
        </w:rPr>
        <w:t>Table 18: Table 1.1.4: Framework Cross-Reference — Scope 1 Disclosure Compliance</w:t>
      </w:r>
    </w:p>
    <w:tbl>
      <w:tblPr>
        <w:tblW w:w="0" w:type="auto"/>
        <w:jc w:val="center"/>
        <w:tblLook w:val="04A0" w:firstRow="1" w:lastRow="0" w:firstColumn="1" w:lastColumn="0" w:noHBand="0" w:noVBand="1"/>
      </w:tblPr>
      <w:tblGrid>
        <w:gridCol w:w="2257"/>
        <w:gridCol w:w="2257"/>
        <w:gridCol w:w="2257"/>
        <w:gridCol w:w="2257"/>
      </w:tblGrid>
      <w:tr w:rsidR="006E4579" w14:paraId="5E3E05BD" w14:textId="77777777">
        <w:trPr>
          <w:jc w:val="center"/>
        </w:trPr>
        <w:tc>
          <w:tcPr>
            <w:tcW w:w="2257" w:type="dxa"/>
            <w:shd w:val="clear" w:color="auto" w:fill="1B3A6B"/>
          </w:tcPr>
          <w:p w14:paraId="2F710D8E" w14:textId="77777777" w:rsidR="006E4579" w:rsidRDefault="00000000">
            <w:r>
              <w:rPr>
                <w:rFonts w:ascii="Arial" w:hAnsi="Arial"/>
                <w:b/>
                <w:color w:val="FFFFFF"/>
                <w:sz w:val="18"/>
              </w:rPr>
              <w:t>Framework</w:t>
            </w:r>
          </w:p>
        </w:tc>
        <w:tc>
          <w:tcPr>
            <w:tcW w:w="2257" w:type="dxa"/>
            <w:shd w:val="clear" w:color="auto" w:fill="1B3A6B"/>
          </w:tcPr>
          <w:p w14:paraId="1F21CDD7" w14:textId="77777777" w:rsidR="006E4579" w:rsidRDefault="00000000">
            <w:r>
              <w:rPr>
                <w:rFonts w:ascii="Arial" w:hAnsi="Arial"/>
                <w:b/>
                <w:color w:val="FFFFFF"/>
                <w:sz w:val="18"/>
              </w:rPr>
              <w:t>Disclosure Reference</w:t>
            </w:r>
          </w:p>
        </w:tc>
        <w:tc>
          <w:tcPr>
            <w:tcW w:w="2257" w:type="dxa"/>
            <w:shd w:val="clear" w:color="auto" w:fill="1B3A6B"/>
          </w:tcPr>
          <w:p w14:paraId="6EE26EFE" w14:textId="77777777" w:rsidR="006E4579" w:rsidRDefault="00000000">
            <w:r>
              <w:rPr>
                <w:rFonts w:ascii="Arial" w:hAnsi="Arial"/>
                <w:b/>
                <w:color w:val="FFFFFF"/>
                <w:sz w:val="18"/>
              </w:rPr>
              <w:t>Requirement</w:t>
            </w:r>
          </w:p>
        </w:tc>
        <w:tc>
          <w:tcPr>
            <w:tcW w:w="2257" w:type="dxa"/>
            <w:shd w:val="clear" w:color="auto" w:fill="1B3A6B"/>
          </w:tcPr>
          <w:p w14:paraId="7FC907D2" w14:textId="77777777" w:rsidR="006E4579" w:rsidRDefault="00000000">
            <w:r>
              <w:rPr>
                <w:rFonts w:ascii="Arial" w:hAnsi="Arial"/>
                <w:b/>
                <w:color w:val="FFFFFF"/>
                <w:sz w:val="18"/>
              </w:rPr>
              <w:t>Status</w:t>
            </w:r>
          </w:p>
        </w:tc>
      </w:tr>
      <w:tr w:rsidR="006E4579" w14:paraId="07966738" w14:textId="77777777">
        <w:trPr>
          <w:jc w:val="center"/>
        </w:trPr>
        <w:tc>
          <w:tcPr>
            <w:tcW w:w="2257" w:type="dxa"/>
          </w:tcPr>
          <w:p w14:paraId="0C6F06A5" w14:textId="77777777" w:rsidR="006E4579" w:rsidRDefault="00000000">
            <w:r>
              <w:rPr>
                <w:rFonts w:ascii="Arial" w:hAnsi="Arial"/>
                <w:sz w:val="18"/>
              </w:rPr>
              <w:lastRenderedPageBreak/>
              <w:t>GRI 305-1</w:t>
            </w:r>
          </w:p>
        </w:tc>
        <w:tc>
          <w:tcPr>
            <w:tcW w:w="2257" w:type="dxa"/>
          </w:tcPr>
          <w:p w14:paraId="1A5E9966" w14:textId="77777777" w:rsidR="006E4579" w:rsidRDefault="00000000">
            <w:r>
              <w:rPr>
                <w:rFonts w:ascii="Arial" w:hAnsi="Arial"/>
                <w:sz w:val="18"/>
              </w:rPr>
              <w:t>305-1a</w:t>
            </w:r>
          </w:p>
        </w:tc>
        <w:tc>
          <w:tcPr>
            <w:tcW w:w="2257" w:type="dxa"/>
          </w:tcPr>
          <w:p w14:paraId="3A2F8D09" w14:textId="77777777" w:rsidR="006E4579" w:rsidRDefault="00000000">
            <w:r>
              <w:rPr>
                <w:rFonts w:ascii="Arial" w:hAnsi="Arial"/>
                <w:sz w:val="18"/>
              </w:rPr>
              <w:t>Gross direct (Scope 1) GHG emissions in tCO₂e</w:t>
            </w:r>
          </w:p>
        </w:tc>
        <w:tc>
          <w:tcPr>
            <w:tcW w:w="2257" w:type="dxa"/>
          </w:tcPr>
          <w:p w14:paraId="4D4267D6" w14:textId="77777777" w:rsidR="006E4579" w:rsidRDefault="00000000">
            <w:r>
              <w:rPr>
                <w:rFonts w:ascii="Arial" w:hAnsi="Arial"/>
                <w:sz w:val="18"/>
              </w:rPr>
              <w:t>✅ Disclosed</w:t>
            </w:r>
          </w:p>
        </w:tc>
      </w:tr>
      <w:tr w:rsidR="006E4579" w14:paraId="42194DEB" w14:textId="77777777">
        <w:trPr>
          <w:jc w:val="center"/>
        </w:trPr>
        <w:tc>
          <w:tcPr>
            <w:tcW w:w="2257" w:type="dxa"/>
            <w:shd w:val="clear" w:color="auto" w:fill="F2F6FC"/>
          </w:tcPr>
          <w:p w14:paraId="30028717" w14:textId="77777777" w:rsidR="006E4579" w:rsidRDefault="00000000">
            <w:r>
              <w:rPr>
                <w:rFonts w:ascii="Arial" w:hAnsi="Arial"/>
                <w:sz w:val="18"/>
              </w:rPr>
              <w:t>GRI 305-1</w:t>
            </w:r>
          </w:p>
        </w:tc>
        <w:tc>
          <w:tcPr>
            <w:tcW w:w="2257" w:type="dxa"/>
            <w:shd w:val="clear" w:color="auto" w:fill="F2F6FC"/>
          </w:tcPr>
          <w:p w14:paraId="6C055C96" w14:textId="77777777" w:rsidR="006E4579" w:rsidRDefault="00000000">
            <w:r>
              <w:rPr>
                <w:rFonts w:ascii="Arial" w:hAnsi="Arial"/>
                <w:sz w:val="18"/>
              </w:rPr>
              <w:t>305-1b</w:t>
            </w:r>
          </w:p>
        </w:tc>
        <w:tc>
          <w:tcPr>
            <w:tcW w:w="2257" w:type="dxa"/>
            <w:shd w:val="clear" w:color="auto" w:fill="F2F6FC"/>
          </w:tcPr>
          <w:p w14:paraId="24BDE187" w14:textId="77777777" w:rsidR="006E4579" w:rsidRDefault="00000000">
            <w:r>
              <w:rPr>
                <w:rFonts w:ascii="Arial" w:hAnsi="Arial"/>
                <w:sz w:val="18"/>
              </w:rPr>
              <w:t>Gases included in calculation (CO₂, CH₄, N₂O)</w:t>
            </w:r>
          </w:p>
        </w:tc>
        <w:tc>
          <w:tcPr>
            <w:tcW w:w="2257" w:type="dxa"/>
            <w:shd w:val="clear" w:color="auto" w:fill="F2F6FC"/>
          </w:tcPr>
          <w:p w14:paraId="2381B569" w14:textId="77777777" w:rsidR="006E4579" w:rsidRDefault="00000000">
            <w:r>
              <w:rPr>
                <w:rFonts w:ascii="Arial" w:hAnsi="Arial"/>
                <w:sz w:val="18"/>
              </w:rPr>
              <w:t>✅ Disclosed</w:t>
            </w:r>
          </w:p>
        </w:tc>
      </w:tr>
      <w:tr w:rsidR="006E4579" w14:paraId="0DA4ECA0" w14:textId="77777777">
        <w:trPr>
          <w:jc w:val="center"/>
        </w:trPr>
        <w:tc>
          <w:tcPr>
            <w:tcW w:w="2257" w:type="dxa"/>
          </w:tcPr>
          <w:p w14:paraId="5FCF02DE" w14:textId="77777777" w:rsidR="006E4579" w:rsidRDefault="00000000">
            <w:r>
              <w:rPr>
                <w:rFonts w:ascii="Arial" w:hAnsi="Arial"/>
                <w:sz w:val="18"/>
              </w:rPr>
              <w:t>GRI 305-1</w:t>
            </w:r>
          </w:p>
        </w:tc>
        <w:tc>
          <w:tcPr>
            <w:tcW w:w="2257" w:type="dxa"/>
          </w:tcPr>
          <w:p w14:paraId="23ADD7F7" w14:textId="77777777" w:rsidR="006E4579" w:rsidRDefault="00000000">
            <w:r>
              <w:rPr>
                <w:rFonts w:ascii="Arial" w:hAnsi="Arial"/>
                <w:sz w:val="18"/>
              </w:rPr>
              <w:t>305-1c</w:t>
            </w:r>
          </w:p>
        </w:tc>
        <w:tc>
          <w:tcPr>
            <w:tcW w:w="2257" w:type="dxa"/>
          </w:tcPr>
          <w:p w14:paraId="5F42E5FC" w14:textId="77777777" w:rsidR="006E4579" w:rsidRDefault="00000000">
            <w:r>
              <w:rPr>
                <w:rFonts w:ascii="Arial" w:hAnsi="Arial"/>
                <w:sz w:val="18"/>
              </w:rPr>
              <w:t>Biogenic CO₂ emissions separately</w:t>
            </w:r>
          </w:p>
        </w:tc>
        <w:tc>
          <w:tcPr>
            <w:tcW w:w="2257" w:type="dxa"/>
          </w:tcPr>
          <w:p w14:paraId="247DEAC9" w14:textId="77777777" w:rsidR="006E4579" w:rsidRDefault="00000000">
            <w:r>
              <w:rPr>
                <w:rFonts w:ascii="Arial" w:hAnsi="Arial"/>
                <w:sz w:val="18"/>
              </w:rPr>
              <w:t>✅ Disclosed (not material)</w:t>
            </w:r>
          </w:p>
        </w:tc>
      </w:tr>
      <w:tr w:rsidR="006E4579" w14:paraId="48F9DA32" w14:textId="77777777">
        <w:trPr>
          <w:jc w:val="center"/>
        </w:trPr>
        <w:tc>
          <w:tcPr>
            <w:tcW w:w="2257" w:type="dxa"/>
            <w:shd w:val="clear" w:color="auto" w:fill="F2F6FC"/>
          </w:tcPr>
          <w:p w14:paraId="0B16742B" w14:textId="77777777" w:rsidR="006E4579" w:rsidRDefault="00000000">
            <w:r>
              <w:rPr>
                <w:rFonts w:ascii="Arial" w:hAnsi="Arial"/>
                <w:sz w:val="18"/>
              </w:rPr>
              <w:t>GRI 305-1</w:t>
            </w:r>
          </w:p>
        </w:tc>
        <w:tc>
          <w:tcPr>
            <w:tcW w:w="2257" w:type="dxa"/>
            <w:shd w:val="clear" w:color="auto" w:fill="F2F6FC"/>
          </w:tcPr>
          <w:p w14:paraId="77735861" w14:textId="77777777" w:rsidR="006E4579" w:rsidRDefault="00000000">
            <w:r>
              <w:rPr>
                <w:rFonts w:ascii="Arial" w:hAnsi="Arial"/>
                <w:sz w:val="18"/>
              </w:rPr>
              <w:t>305-1e</w:t>
            </w:r>
          </w:p>
        </w:tc>
        <w:tc>
          <w:tcPr>
            <w:tcW w:w="2257" w:type="dxa"/>
            <w:shd w:val="clear" w:color="auto" w:fill="F2F6FC"/>
          </w:tcPr>
          <w:p w14:paraId="1F127B60" w14:textId="77777777" w:rsidR="006E4579" w:rsidRDefault="00000000">
            <w:r>
              <w:rPr>
                <w:rFonts w:ascii="Arial" w:hAnsi="Arial"/>
                <w:sz w:val="18"/>
              </w:rPr>
              <w:t>Emission factors and GWP values source</w:t>
            </w:r>
          </w:p>
        </w:tc>
        <w:tc>
          <w:tcPr>
            <w:tcW w:w="2257" w:type="dxa"/>
            <w:shd w:val="clear" w:color="auto" w:fill="F2F6FC"/>
          </w:tcPr>
          <w:p w14:paraId="2313C85A" w14:textId="77777777" w:rsidR="006E4579" w:rsidRDefault="00000000">
            <w:r>
              <w:rPr>
                <w:rFonts w:ascii="Arial" w:hAnsi="Arial"/>
                <w:sz w:val="18"/>
              </w:rPr>
              <w:t>✅ Disclosed</w:t>
            </w:r>
          </w:p>
        </w:tc>
      </w:tr>
      <w:tr w:rsidR="006E4579" w14:paraId="241A7437" w14:textId="77777777">
        <w:trPr>
          <w:jc w:val="center"/>
        </w:trPr>
        <w:tc>
          <w:tcPr>
            <w:tcW w:w="2257" w:type="dxa"/>
          </w:tcPr>
          <w:p w14:paraId="34347E2A" w14:textId="77777777" w:rsidR="006E4579" w:rsidRDefault="00000000">
            <w:r>
              <w:rPr>
                <w:rFonts w:ascii="Arial" w:hAnsi="Arial"/>
                <w:sz w:val="18"/>
              </w:rPr>
              <w:t>GRI 305-1</w:t>
            </w:r>
          </w:p>
        </w:tc>
        <w:tc>
          <w:tcPr>
            <w:tcW w:w="2257" w:type="dxa"/>
          </w:tcPr>
          <w:p w14:paraId="5CD8EE78" w14:textId="77777777" w:rsidR="006E4579" w:rsidRDefault="00000000">
            <w:r>
              <w:rPr>
                <w:rFonts w:ascii="Arial" w:hAnsi="Arial"/>
                <w:sz w:val="18"/>
              </w:rPr>
              <w:t>305-1f</w:t>
            </w:r>
          </w:p>
        </w:tc>
        <w:tc>
          <w:tcPr>
            <w:tcW w:w="2257" w:type="dxa"/>
          </w:tcPr>
          <w:p w14:paraId="094149F0" w14:textId="77777777" w:rsidR="006E4579" w:rsidRDefault="00000000">
            <w:r>
              <w:rPr>
                <w:rFonts w:ascii="Arial" w:hAnsi="Arial"/>
                <w:sz w:val="18"/>
              </w:rPr>
              <w:t>Consolidation approach for emissions</w:t>
            </w:r>
          </w:p>
        </w:tc>
        <w:tc>
          <w:tcPr>
            <w:tcW w:w="2257" w:type="dxa"/>
          </w:tcPr>
          <w:p w14:paraId="28BE3596" w14:textId="77777777" w:rsidR="006E4579" w:rsidRDefault="00000000">
            <w:r>
              <w:rPr>
                <w:rFonts w:ascii="Arial" w:hAnsi="Arial"/>
                <w:sz w:val="18"/>
              </w:rPr>
              <w:t>✅ Disclosed</w:t>
            </w:r>
          </w:p>
        </w:tc>
      </w:tr>
      <w:tr w:rsidR="006E4579" w14:paraId="63DEDBCA" w14:textId="77777777">
        <w:trPr>
          <w:jc w:val="center"/>
        </w:trPr>
        <w:tc>
          <w:tcPr>
            <w:tcW w:w="2257" w:type="dxa"/>
            <w:shd w:val="clear" w:color="auto" w:fill="F2F6FC"/>
          </w:tcPr>
          <w:p w14:paraId="25E928B7" w14:textId="77777777" w:rsidR="006E4579" w:rsidRDefault="00000000">
            <w:r>
              <w:rPr>
                <w:rFonts w:ascii="Arial" w:hAnsi="Arial"/>
                <w:sz w:val="18"/>
              </w:rPr>
              <w:t>GRI 305-1</w:t>
            </w:r>
          </w:p>
        </w:tc>
        <w:tc>
          <w:tcPr>
            <w:tcW w:w="2257" w:type="dxa"/>
            <w:shd w:val="clear" w:color="auto" w:fill="F2F6FC"/>
          </w:tcPr>
          <w:p w14:paraId="7CCBB9F0" w14:textId="77777777" w:rsidR="006E4579" w:rsidRDefault="00000000">
            <w:r>
              <w:rPr>
                <w:rFonts w:ascii="Arial" w:hAnsi="Arial"/>
                <w:sz w:val="18"/>
              </w:rPr>
              <w:t>305-1g</w:t>
            </w:r>
          </w:p>
        </w:tc>
        <w:tc>
          <w:tcPr>
            <w:tcW w:w="2257" w:type="dxa"/>
            <w:shd w:val="clear" w:color="auto" w:fill="F2F6FC"/>
          </w:tcPr>
          <w:p w14:paraId="2EA914A4" w14:textId="77777777" w:rsidR="006E4579" w:rsidRDefault="00000000">
            <w:r>
              <w:rPr>
                <w:rFonts w:ascii="Arial" w:hAnsi="Arial"/>
                <w:sz w:val="18"/>
              </w:rPr>
              <w:t>Standards, methodologies, tools used</w:t>
            </w:r>
          </w:p>
        </w:tc>
        <w:tc>
          <w:tcPr>
            <w:tcW w:w="2257" w:type="dxa"/>
            <w:shd w:val="clear" w:color="auto" w:fill="F2F6FC"/>
          </w:tcPr>
          <w:p w14:paraId="27899326" w14:textId="77777777" w:rsidR="006E4579" w:rsidRDefault="00000000">
            <w:r>
              <w:rPr>
                <w:rFonts w:ascii="Arial" w:hAnsi="Arial"/>
                <w:sz w:val="18"/>
              </w:rPr>
              <w:t>✅ Disclosed</w:t>
            </w:r>
          </w:p>
        </w:tc>
      </w:tr>
      <w:tr w:rsidR="006E4579" w14:paraId="1C440D4C" w14:textId="77777777">
        <w:trPr>
          <w:jc w:val="center"/>
        </w:trPr>
        <w:tc>
          <w:tcPr>
            <w:tcW w:w="2257" w:type="dxa"/>
          </w:tcPr>
          <w:p w14:paraId="77A2BD0E" w14:textId="77777777" w:rsidR="006E4579" w:rsidRDefault="00000000">
            <w:r>
              <w:rPr>
                <w:rFonts w:ascii="Arial" w:hAnsi="Arial"/>
                <w:sz w:val="18"/>
              </w:rPr>
              <w:t>IFRS S2</w:t>
            </w:r>
          </w:p>
        </w:tc>
        <w:tc>
          <w:tcPr>
            <w:tcW w:w="2257" w:type="dxa"/>
          </w:tcPr>
          <w:p w14:paraId="393BB8C6" w14:textId="77777777" w:rsidR="006E4579" w:rsidRDefault="00000000">
            <w:r>
              <w:rPr>
                <w:rFonts w:ascii="Arial" w:hAnsi="Arial"/>
                <w:sz w:val="18"/>
              </w:rPr>
              <w:t>Para 29(a)(i)</w:t>
            </w:r>
          </w:p>
        </w:tc>
        <w:tc>
          <w:tcPr>
            <w:tcW w:w="2257" w:type="dxa"/>
          </w:tcPr>
          <w:p w14:paraId="432C52FB" w14:textId="77777777" w:rsidR="006E4579" w:rsidRDefault="00000000">
            <w:r>
              <w:rPr>
                <w:rFonts w:ascii="Arial" w:hAnsi="Arial"/>
                <w:sz w:val="18"/>
              </w:rPr>
              <w:t>Absolute gross Scope 1 GHG emissions (tCO₂e)</w:t>
            </w:r>
          </w:p>
        </w:tc>
        <w:tc>
          <w:tcPr>
            <w:tcW w:w="2257" w:type="dxa"/>
          </w:tcPr>
          <w:p w14:paraId="167832DD" w14:textId="77777777" w:rsidR="006E4579" w:rsidRDefault="00000000">
            <w:r>
              <w:rPr>
                <w:rFonts w:ascii="Arial" w:hAnsi="Arial"/>
                <w:sz w:val="18"/>
              </w:rPr>
              <w:t>✅ Disclosed</w:t>
            </w:r>
          </w:p>
        </w:tc>
      </w:tr>
      <w:tr w:rsidR="006E4579" w14:paraId="3278CE88" w14:textId="77777777">
        <w:trPr>
          <w:jc w:val="center"/>
        </w:trPr>
        <w:tc>
          <w:tcPr>
            <w:tcW w:w="2257" w:type="dxa"/>
            <w:shd w:val="clear" w:color="auto" w:fill="F2F6FC"/>
          </w:tcPr>
          <w:p w14:paraId="79BEDB3F" w14:textId="77777777" w:rsidR="006E4579" w:rsidRDefault="00000000">
            <w:r>
              <w:rPr>
                <w:rFonts w:ascii="Arial" w:hAnsi="Arial"/>
                <w:sz w:val="18"/>
              </w:rPr>
              <w:t>IFRS S2</w:t>
            </w:r>
          </w:p>
        </w:tc>
        <w:tc>
          <w:tcPr>
            <w:tcW w:w="2257" w:type="dxa"/>
            <w:shd w:val="clear" w:color="auto" w:fill="F2F6FC"/>
          </w:tcPr>
          <w:p w14:paraId="29EDFA65" w14:textId="77777777" w:rsidR="006E4579" w:rsidRDefault="00000000">
            <w:r>
              <w:rPr>
                <w:rFonts w:ascii="Arial" w:hAnsi="Arial"/>
                <w:sz w:val="18"/>
              </w:rPr>
              <w:t>Para 29(b)</w:t>
            </w:r>
          </w:p>
        </w:tc>
        <w:tc>
          <w:tcPr>
            <w:tcW w:w="2257" w:type="dxa"/>
            <w:shd w:val="clear" w:color="auto" w:fill="F2F6FC"/>
          </w:tcPr>
          <w:p w14:paraId="29ABCDEF" w14:textId="77777777" w:rsidR="006E4579" w:rsidRDefault="00000000">
            <w:r>
              <w:rPr>
                <w:rFonts w:ascii="Arial" w:hAnsi="Arial"/>
                <w:sz w:val="18"/>
              </w:rPr>
              <w:t>Trend over time (YoY change)</w:t>
            </w:r>
          </w:p>
        </w:tc>
        <w:tc>
          <w:tcPr>
            <w:tcW w:w="2257" w:type="dxa"/>
            <w:shd w:val="clear" w:color="auto" w:fill="F2F6FC"/>
          </w:tcPr>
          <w:p w14:paraId="3F080A1D" w14:textId="77777777" w:rsidR="006E4579" w:rsidRDefault="00000000">
            <w:r>
              <w:rPr>
                <w:rFonts w:ascii="Arial" w:hAnsi="Arial"/>
                <w:sz w:val="18"/>
              </w:rPr>
              <w:t>✅ Disclosed</w:t>
            </w:r>
          </w:p>
        </w:tc>
      </w:tr>
      <w:tr w:rsidR="006E4579" w14:paraId="7D46AF2D" w14:textId="77777777">
        <w:trPr>
          <w:jc w:val="center"/>
        </w:trPr>
        <w:tc>
          <w:tcPr>
            <w:tcW w:w="2257" w:type="dxa"/>
          </w:tcPr>
          <w:p w14:paraId="5F9802A2" w14:textId="77777777" w:rsidR="006E4579" w:rsidRDefault="00000000">
            <w:r>
              <w:rPr>
                <w:rFonts w:ascii="Arial" w:hAnsi="Arial"/>
                <w:sz w:val="18"/>
              </w:rPr>
              <w:t>IFRS S2</w:t>
            </w:r>
          </w:p>
        </w:tc>
        <w:tc>
          <w:tcPr>
            <w:tcW w:w="2257" w:type="dxa"/>
          </w:tcPr>
          <w:p w14:paraId="65A9E8C6" w14:textId="77777777" w:rsidR="006E4579" w:rsidRDefault="00000000">
            <w:r>
              <w:rPr>
                <w:rFonts w:ascii="Arial" w:hAnsi="Arial"/>
                <w:sz w:val="18"/>
              </w:rPr>
              <w:t>Para 29(c)</w:t>
            </w:r>
          </w:p>
        </w:tc>
        <w:tc>
          <w:tcPr>
            <w:tcW w:w="2257" w:type="dxa"/>
          </w:tcPr>
          <w:p w14:paraId="4253F1A9" w14:textId="77777777" w:rsidR="006E4579" w:rsidRDefault="00000000">
            <w:r>
              <w:rPr>
                <w:rFonts w:ascii="Arial" w:hAnsi="Arial"/>
                <w:sz w:val="18"/>
              </w:rPr>
              <w:t>Measurement approach and inputs</w:t>
            </w:r>
          </w:p>
        </w:tc>
        <w:tc>
          <w:tcPr>
            <w:tcW w:w="2257" w:type="dxa"/>
          </w:tcPr>
          <w:p w14:paraId="296AB24B" w14:textId="77777777" w:rsidR="006E4579" w:rsidRDefault="00000000">
            <w:r>
              <w:rPr>
                <w:rFonts w:ascii="Arial" w:hAnsi="Arial"/>
                <w:sz w:val="18"/>
              </w:rPr>
              <w:t>✅ Disclosed</w:t>
            </w:r>
          </w:p>
        </w:tc>
      </w:tr>
      <w:tr w:rsidR="006E4579" w14:paraId="0C7677AE" w14:textId="77777777">
        <w:trPr>
          <w:jc w:val="center"/>
        </w:trPr>
        <w:tc>
          <w:tcPr>
            <w:tcW w:w="2257" w:type="dxa"/>
            <w:shd w:val="clear" w:color="auto" w:fill="F2F6FC"/>
          </w:tcPr>
          <w:p w14:paraId="1BBB3993" w14:textId="77777777" w:rsidR="006E4579" w:rsidRDefault="00000000">
            <w:r>
              <w:rPr>
                <w:rFonts w:ascii="Arial" w:hAnsi="Arial"/>
                <w:sz w:val="18"/>
              </w:rPr>
              <w:t>ESRS E1</w:t>
            </w:r>
          </w:p>
        </w:tc>
        <w:tc>
          <w:tcPr>
            <w:tcW w:w="2257" w:type="dxa"/>
            <w:shd w:val="clear" w:color="auto" w:fill="F2F6FC"/>
          </w:tcPr>
          <w:p w14:paraId="789C895A" w14:textId="77777777" w:rsidR="006E4579" w:rsidRDefault="00000000">
            <w:r>
              <w:rPr>
                <w:rFonts w:ascii="Arial" w:hAnsi="Arial"/>
                <w:sz w:val="18"/>
              </w:rPr>
              <w:t>DR E1-6.44</w:t>
            </w:r>
          </w:p>
        </w:tc>
        <w:tc>
          <w:tcPr>
            <w:tcW w:w="2257" w:type="dxa"/>
            <w:shd w:val="clear" w:color="auto" w:fill="F2F6FC"/>
          </w:tcPr>
          <w:p w14:paraId="284E3071" w14:textId="77777777" w:rsidR="006E4579" w:rsidRDefault="00000000">
            <w:r>
              <w:rPr>
                <w:rFonts w:ascii="Arial" w:hAnsi="Arial"/>
                <w:sz w:val="18"/>
              </w:rPr>
              <w:t>Gross Scope 1 GHG emissions in tCO₂e</w:t>
            </w:r>
          </w:p>
        </w:tc>
        <w:tc>
          <w:tcPr>
            <w:tcW w:w="2257" w:type="dxa"/>
            <w:shd w:val="clear" w:color="auto" w:fill="F2F6FC"/>
          </w:tcPr>
          <w:p w14:paraId="5AA52482" w14:textId="77777777" w:rsidR="006E4579" w:rsidRDefault="00000000">
            <w:r>
              <w:rPr>
                <w:rFonts w:ascii="Arial" w:hAnsi="Arial"/>
                <w:sz w:val="18"/>
              </w:rPr>
              <w:t>✅ Disclosed</w:t>
            </w:r>
          </w:p>
        </w:tc>
      </w:tr>
      <w:tr w:rsidR="006E4579" w14:paraId="3C96ACA6" w14:textId="77777777">
        <w:trPr>
          <w:jc w:val="center"/>
        </w:trPr>
        <w:tc>
          <w:tcPr>
            <w:tcW w:w="2257" w:type="dxa"/>
          </w:tcPr>
          <w:p w14:paraId="37DA09A1" w14:textId="77777777" w:rsidR="006E4579" w:rsidRDefault="00000000">
            <w:r>
              <w:rPr>
                <w:rFonts w:ascii="Arial" w:hAnsi="Arial"/>
                <w:sz w:val="18"/>
              </w:rPr>
              <w:t>ESRS E1</w:t>
            </w:r>
          </w:p>
        </w:tc>
        <w:tc>
          <w:tcPr>
            <w:tcW w:w="2257" w:type="dxa"/>
          </w:tcPr>
          <w:p w14:paraId="42B040E7" w14:textId="77777777" w:rsidR="006E4579" w:rsidRDefault="00000000">
            <w:r>
              <w:rPr>
                <w:rFonts w:ascii="Arial" w:hAnsi="Arial"/>
                <w:sz w:val="18"/>
              </w:rPr>
              <w:t>AR 39(a)</w:t>
            </w:r>
          </w:p>
        </w:tc>
        <w:tc>
          <w:tcPr>
            <w:tcW w:w="2257" w:type="dxa"/>
          </w:tcPr>
          <w:p w14:paraId="7EB6A878" w14:textId="77777777" w:rsidR="006E4579" w:rsidRDefault="00000000">
            <w:r>
              <w:rPr>
                <w:rFonts w:ascii="Arial" w:hAnsi="Arial"/>
                <w:sz w:val="18"/>
              </w:rPr>
              <w:t>GHG Protocol Corporate Standard application</w:t>
            </w:r>
          </w:p>
        </w:tc>
        <w:tc>
          <w:tcPr>
            <w:tcW w:w="2257" w:type="dxa"/>
          </w:tcPr>
          <w:p w14:paraId="4069F988" w14:textId="77777777" w:rsidR="006E4579" w:rsidRDefault="00000000">
            <w:r>
              <w:rPr>
                <w:rFonts w:ascii="Arial" w:hAnsi="Arial"/>
                <w:sz w:val="18"/>
              </w:rPr>
              <w:t>✅ Disclosed</w:t>
            </w:r>
          </w:p>
        </w:tc>
      </w:tr>
      <w:tr w:rsidR="006E4579" w14:paraId="433741B6" w14:textId="77777777">
        <w:trPr>
          <w:jc w:val="center"/>
        </w:trPr>
        <w:tc>
          <w:tcPr>
            <w:tcW w:w="2257" w:type="dxa"/>
            <w:shd w:val="clear" w:color="auto" w:fill="F2F6FC"/>
          </w:tcPr>
          <w:p w14:paraId="7B6A38C3" w14:textId="77777777" w:rsidR="006E4579" w:rsidRDefault="00000000">
            <w:r>
              <w:rPr>
                <w:rFonts w:ascii="Arial" w:hAnsi="Arial"/>
                <w:sz w:val="18"/>
              </w:rPr>
              <w:t>ESRS E1</w:t>
            </w:r>
          </w:p>
        </w:tc>
        <w:tc>
          <w:tcPr>
            <w:tcW w:w="2257" w:type="dxa"/>
            <w:shd w:val="clear" w:color="auto" w:fill="F2F6FC"/>
          </w:tcPr>
          <w:p w14:paraId="35109696" w14:textId="77777777" w:rsidR="006E4579" w:rsidRDefault="00000000">
            <w:r>
              <w:rPr>
                <w:rFonts w:ascii="Arial" w:hAnsi="Arial"/>
                <w:sz w:val="18"/>
              </w:rPr>
              <w:t>AR 39(c)</w:t>
            </w:r>
          </w:p>
        </w:tc>
        <w:tc>
          <w:tcPr>
            <w:tcW w:w="2257" w:type="dxa"/>
            <w:shd w:val="clear" w:color="auto" w:fill="F2F6FC"/>
          </w:tcPr>
          <w:p w14:paraId="586DDB2C" w14:textId="77777777" w:rsidR="006E4579" w:rsidRDefault="00000000">
            <w:r>
              <w:rPr>
                <w:rFonts w:ascii="Arial" w:hAnsi="Arial"/>
                <w:sz w:val="18"/>
              </w:rPr>
              <w:t>Gases included (CO₂, CH₄, N₂O)</w:t>
            </w:r>
          </w:p>
        </w:tc>
        <w:tc>
          <w:tcPr>
            <w:tcW w:w="2257" w:type="dxa"/>
            <w:shd w:val="clear" w:color="auto" w:fill="F2F6FC"/>
          </w:tcPr>
          <w:p w14:paraId="097E094B" w14:textId="77777777" w:rsidR="006E4579" w:rsidRDefault="00000000">
            <w:r>
              <w:rPr>
                <w:rFonts w:ascii="Arial" w:hAnsi="Arial"/>
                <w:sz w:val="18"/>
              </w:rPr>
              <w:t>✅ Disclosed</w:t>
            </w:r>
          </w:p>
        </w:tc>
      </w:tr>
      <w:tr w:rsidR="006E4579" w14:paraId="5F945E4E" w14:textId="77777777">
        <w:trPr>
          <w:jc w:val="center"/>
        </w:trPr>
        <w:tc>
          <w:tcPr>
            <w:tcW w:w="2257" w:type="dxa"/>
          </w:tcPr>
          <w:p w14:paraId="39E0B730" w14:textId="77777777" w:rsidR="006E4579" w:rsidRDefault="00000000">
            <w:r>
              <w:rPr>
                <w:rFonts w:ascii="Arial" w:hAnsi="Arial"/>
                <w:sz w:val="18"/>
              </w:rPr>
              <w:t>ESRS E1</w:t>
            </w:r>
          </w:p>
        </w:tc>
        <w:tc>
          <w:tcPr>
            <w:tcW w:w="2257" w:type="dxa"/>
          </w:tcPr>
          <w:p w14:paraId="7CE07EA1" w14:textId="77777777" w:rsidR="006E4579" w:rsidRDefault="00000000">
            <w:r>
              <w:rPr>
                <w:rFonts w:ascii="Arial" w:hAnsi="Arial"/>
                <w:sz w:val="18"/>
              </w:rPr>
              <w:t>AR 39(d)</w:t>
            </w:r>
          </w:p>
        </w:tc>
        <w:tc>
          <w:tcPr>
            <w:tcW w:w="2257" w:type="dxa"/>
          </w:tcPr>
          <w:p w14:paraId="4B66F0A8" w14:textId="77777777" w:rsidR="006E4579" w:rsidRDefault="00000000">
            <w:r>
              <w:rPr>
                <w:rFonts w:ascii="Arial" w:hAnsi="Arial"/>
                <w:sz w:val="18"/>
              </w:rPr>
              <w:t>GWP values (IPCC AR6, 100-year)</w:t>
            </w:r>
          </w:p>
        </w:tc>
        <w:tc>
          <w:tcPr>
            <w:tcW w:w="2257" w:type="dxa"/>
          </w:tcPr>
          <w:p w14:paraId="472B34C6" w14:textId="77777777" w:rsidR="006E4579" w:rsidRDefault="00000000">
            <w:r>
              <w:rPr>
                <w:rFonts w:ascii="Arial" w:hAnsi="Arial"/>
                <w:sz w:val="18"/>
              </w:rPr>
              <w:t>✅ Disclosed</w:t>
            </w:r>
          </w:p>
        </w:tc>
      </w:tr>
      <w:tr w:rsidR="006E4579" w14:paraId="7B368FB2" w14:textId="77777777">
        <w:trPr>
          <w:jc w:val="center"/>
        </w:trPr>
        <w:tc>
          <w:tcPr>
            <w:tcW w:w="2257" w:type="dxa"/>
            <w:shd w:val="clear" w:color="auto" w:fill="F2F6FC"/>
          </w:tcPr>
          <w:p w14:paraId="59F2B006" w14:textId="77777777" w:rsidR="006E4579" w:rsidRDefault="00000000">
            <w:r>
              <w:rPr>
                <w:rFonts w:ascii="Arial" w:hAnsi="Arial"/>
                <w:sz w:val="18"/>
              </w:rPr>
              <w:t>OJK PSPK</w:t>
            </w:r>
          </w:p>
        </w:tc>
        <w:tc>
          <w:tcPr>
            <w:tcW w:w="2257" w:type="dxa"/>
            <w:shd w:val="clear" w:color="auto" w:fill="F2F6FC"/>
          </w:tcPr>
          <w:p w14:paraId="4E57C047" w14:textId="77777777" w:rsidR="006E4579" w:rsidRDefault="00000000">
            <w:r>
              <w:rPr>
                <w:rFonts w:ascii="Arial" w:hAnsi="Arial"/>
                <w:sz w:val="18"/>
              </w:rPr>
              <w:t>Emisi GRK Langsung</w:t>
            </w:r>
          </w:p>
        </w:tc>
        <w:tc>
          <w:tcPr>
            <w:tcW w:w="2257" w:type="dxa"/>
            <w:shd w:val="clear" w:color="auto" w:fill="F2F6FC"/>
          </w:tcPr>
          <w:p w14:paraId="1778456D" w14:textId="77777777" w:rsidR="006E4579" w:rsidRDefault="00000000">
            <w:r>
              <w:rPr>
                <w:rFonts w:ascii="Arial" w:hAnsi="Arial"/>
                <w:sz w:val="18"/>
              </w:rPr>
              <w:t>Emisi Lingkup 1 (tCO₂e)</w:t>
            </w:r>
          </w:p>
        </w:tc>
        <w:tc>
          <w:tcPr>
            <w:tcW w:w="2257" w:type="dxa"/>
            <w:shd w:val="clear" w:color="auto" w:fill="F2F6FC"/>
          </w:tcPr>
          <w:p w14:paraId="7C0C3412" w14:textId="77777777" w:rsidR="006E4579" w:rsidRDefault="00000000">
            <w:r>
              <w:rPr>
                <w:rFonts w:ascii="Arial" w:hAnsi="Arial"/>
                <w:sz w:val="18"/>
              </w:rPr>
              <w:t>✅ Disclosed</w:t>
            </w:r>
          </w:p>
        </w:tc>
      </w:tr>
    </w:tbl>
    <w:p w14:paraId="773394EC" w14:textId="77777777" w:rsidR="006E4579" w:rsidRDefault="00000000">
      <w:r>
        <w:rPr>
          <w:rFonts w:ascii="Arial" w:hAnsi="Arial"/>
          <w:i/>
          <w:sz w:val="16"/>
        </w:rPr>
        <w:t>Source: Status: ✅ = Fully disclosed in this section. Framework references: GRI 305:2016, IFRS S2 (June 2023), ESRS E1 (July 2023), OJK SEOJK 16/2021.</w:t>
      </w:r>
    </w:p>
    <w:p w14:paraId="10E52C48" w14:textId="77777777" w:rsidR="006E4579" w:rsidRDefault="006E4579"/>
    <w:p w14:paraId="42E07416" w14:textId="77777777" w:rsidR="006E4579" w:rsidRDefault="006E4579"/>
    <w:p w14:paraId="37D25718" w14:textId="77777777" w:rsidR="006E4579" w:rsidRDefault="00000000">
      <w:r>
        <w:rPr>
          <w:noProof/>
        </w:rPr>
        <w:lastRenderedPageBreak/>
        <w:drawing>
          <wp:inline distT="0" distB="0" distL="0" distR="0" wp14:anchorId="63C9CA2B" wp14:editId="4F5DB1F5">
            <wp:extent cx="5029200" cy="35222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3522234"/>
                    </a:xfrm>
                    <a:prstGeom prst="rect">
                      <a:avLst/>
                    </a:prstGeom>
                  </pic:spPr>
                </pic:pic>
              </a:graphicData>
            </a:graphic>
          </wp:inline>
        </w:drawing>
      </w:r>
    </w:p>
    <w:p w14:paraId="1B640B2A" w14:textId="77777777" w:rsidR="006E4579" w:rsidRDefault="00000000">
      <w:pPr>
        <w:jc w:val="center"/>
      </w:pPr>
      <w:r>
        <w:rPr>
          <w:i/>
          <w:color w:val="666666"/>
          <w:sz w:val="18"/>
        </w:rPr>
        <w:t>Figure 4: Scope 1 Emissions by Source (2024)</w:t>
      </w:r>
    </w:p>
    <w:p w14:paraId="680CFCC2" w14:textId="77777777" w:rsidR="006E4579" w:rsidRDefault="00000000">
      <w:pPr>
        <w:jc w:val="center"/>
      </w:pPr>
      <w:r>
        <w:rPr>
          <w:i/>
          <w:color w:val="757575"/>
          <w:sz w:val="18"/>
        </w:rPr>
        <w:t>Diesel dominates at 64.7% — primary lever for reduction via solar+battery retrofit at top 10 facilities (61.3% of diesel emissions concentrated)</w:t>
      </w:r>
    </w:p>
    <w:p w14:paraId="554988A6" w14:textId="77777777" w:rsidR="006E4579" w:rsidRDefault="006E4579"/>
    <w:p w14:paraId="010C30E9" w14:textId="77777777" w:rsidR="006E4579" w:rsidRDefault="00000000">
      <w:r>
        <w:rPr>
          <w:noProof/>
        </w:rPr>
        <w:drawing>
          <wp:inline distT="0" distB="0" distL="0" distR="0" wp14:anchorId="5880D1C7" wp14:editId="60FCADF6">
            <wp:extent cx="5029200" cy="33320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3332057"/>
                    </a:xfrm>
                    <a:prstGeom prst="rect">
                      <a:avLst/>
                    </a:prstGeom>
                  </pic:spPr>
                </pic:pic>
              </a:graphicData>
            </a:graphic>
          </wp:inline>
        </w:drawing>
      </w:r>
    </w:p>
    <w:p w14:paraId="4BBCFDA3" w14:textId="77777777" w:rsidR="006E4579" w:rsidRDefault="00000000">
      <w:pPr>
        <w:jc w:val="center"/>
      </w:pPr>
      <w:r>
        <w:rPr>
          <w:i/>
          <w:color w:val="666666"/>
          <w:sz w:val="18"/>
        </w:rPr>
        <w:t>Figure 5: Scope 1 Emissions: Year-over-Year Comparison</w:t>
      </w:r>
    </w:p>
    <w:p w14:paraId="2C5B2963" w14:textId="77777777" w:rsidR="006E4579" w:rsidRDefault="00000000">
      <w:pPr>
        <w:jc w:val="center"/>
      </w:pPr>
      <w:r>
        <w:rPr>
          <w:i/>
          <w:color w:val="757575"/>
          <w:sz w:val="18"/>
        </w:rPr>
        <w:t>2.36% increase contrasts with peer reductions (DBS -12%, BRI -7.1%, Mandiri -5.1%) — widening performance gap driven by delayed renewable adoption</w:t>
      </w:r>
    </w:p>
    <w:p w14:paraId="404F91BB" w14:textId="77777777" w:rsidR="006E4579" w:rsidRDefault="006E4579"/>
    <w:p w14:paraId="479699CF" w14:textId="77777777" w:rsidR="006E4579" w:rsidRDefault="00000000">
      <w:r>
        <w:rPr>
          <w:noProof/>
        </w:rPr>
        <w:drawing>
          <wp:inline distT="0" distB="0" distL="0" distR="0" wp14:anchorId="58AA9B12" wp14:editId="240BE02D">
            <wp:extent cx="5029200" cy="3343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3343340"/>
                    </a:xfrm>
                    <a:prstGeom prst="rect">
                      <a:avLst/>
                    </a:prstGeom>
                  </pic:spPr>
                </pic:pic>
              </a:graphicData>
            </a:graphic>
          </wp:inline>
        </w:drawing>
      </w:r>
    </w:p>
    <w:p w14:paraId="77978319" w14:textId="77777777" w:rsidR="006E4579" w:rsidRDefault="00000000">
      <w:pPr>
        <w:jc w:val="center"/>
      </w:pPr>
      <w:r>
        <w:rPr>
          <w:i/>
          <w:color w:val="666666"/>
          <w:sz w:val="18"/>
        </w:rPr>
        <w:t>Figure 6: Top 5 Emitting Facilities — Scope 1 (2024)</w:t>
      </w:r>
    </w:p>
    <w:p w14:paraId="0A8D3B50" w14:textId="77777777" w:rsidR="006E4579" w:rsidRDefault="00000000">
      <w:pPr>
        <w:jc w:val="center"/>
      </w:pPr>
      <w:r>
        <w:rPr>
          <w:i/>
          <w:color w:val="757575"/>
          <w:sz w:val="18"/>
        </w:rPr>
        <w:t>Top 5 facilities account for 19.1% of total Scope 1 — concentrated emission profile enables targeted solar+battery intervention with high ROI</w:t>
      </w:r>
    </w:p>
    <w:p w14:paraId="67292ED2" w14:textId="77777777" w:rsidR="006E4579" w:rsidRDefault="006E4579"/>
    <w:p w14:paraId="31F6286C" w14:textId="77777777" w:rsidR="006E4579" w:rsidRDefault="00000000">
      <w:r>
        <w:rPr>
          <w:noProof/>
        </w:rPr>
        <w:drawing>
          <wp:inline distT="0" distB="0" distL="0" distR="0" wp14:anchorId="76A3E1A1" wp14:editId="0813E20A">
            <wp:extent cx="5029200" cy="32949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3294993"/>
                    </a:xfrm>
                    <a:prstGeom prst="rect">
                      <a:avLst/>
                    </a:prstGeom>
                  </pic:spPr>
                </pic:pic>
              </a:graphicData>
            </a:graphic>
          </wp:inline>
        </w:drawing>
      </w:r>
    </w:p>
    <w:p w14:paraId="4B7993EC" w14:textId="77777777" w:rsidR="006E4579" w:rsidRDefault="00000000">
      <w:pPr>
        <w:jc w:val="center"/>
      </w:pPr>
      <w:r>
        <w:rPr>
          <w:i/>
          <w:color w:val="666666"/>
          <w:sz w:val="18"/>
        </w:rPr>
        <w:t>Figure 7: Scope 1 Performance vs Indonesian Banking Peers (YoY Change %)</w:t>
      </w:r>
    </w:p>
    <w:p w14:paraId="122C92AA" w14:textId="77777777" w:rsidR="006E4579" w:rsidRDefault="00000000">
      <w:pPr>
        <w:jc w:val="center"/>
      </w:pPr>
      <w:r>
        <w:rPr>
          <w:i/>
          <w:color w:val="757575"/>
          <w:sz w:val="18"/>
        </w:rPr>
        <w:t>Institution is sole peer with emission increase (+2.36%) while DBS, BRI, Mandiri achieved reductions — renewable energy adoption gap is root cause</w:t>
      </w:r>
    </w:p>
    <w:tbl>
      <w:tblPr>
        <w:tblW w:w="0" w:type="auto"/>
        <w:jc w:val="center"/>
        <w:tblLook w:val="04A0" w:firstRow="1" w:lastRow="0" w:firstColumn="1" w:lastColumn="0" w:noHBand="0" w:noVBand="1"/>
      </w:tblPr>
      <w:tblGrid>
        <w:gridCol w:w="9029"/>
      </w:tblGrid>
      <w:tr w:rsidR="006E4579" w14:paraId="7A69A37A" w14:textId="77777777">
        <w:trPr>
          <w:jc w:val="center"/>
        </w:trPr>
        <w:tc>
          <w:tcPr>
            <w:tcW w:w="9029" w:type="dxa"/>
            <w:shd w:val="clear" w:color="auto" w:fill="F2F6FA"/>
          </w:tcPr>
          <w:p w14:paraId="530333A3" w14:textId="77777777" w:rsidR="006E4579" w:rsidRDefault="00000000">
            <w:r>
              <w:rPr>
                <w:b/>
                <w:color w:val="1B3A6B"/>
                <w:sz w:val="18"/>
              </w:rPr>
              <w:lastRenderedPageBreak/>
              <w:t>📊 DIAGNOSTIC ANALYSIS</w:t>
            </w:r>
          </w:p>
          <w:p w14:paraId="3CE0D0AD" w14:textId="77777777" w:rsidR="006E4579" w:rsidRDefault="00000000">
            <w:r>
              <w:rPr>
                <w:sz w:val="20"/>
              </w:rPr>
              <w:t>Peningkatan emisi Scope 1 sebesar 2.36% disebabkan oleh tiga faktor operasional: ekspansi jaringan cabang (+8 lokasi memerlukan kapasitas genset backup), peningkatan konsumsi diesel selama pemeliharaan grid Q2 2024 (47 jam kumulatif outage), dan penundaan program instalasi solar panel dari Q1 2024. Diesel combustion secara spesifik meningkat 3.66% YoY, sementara emisi natural gas relatif stabil (+0.06%). Konsentrasi emisi di 10 fasilitas teratas (61.3% dari diesel-related Scope 1) mengindikasikan peluang pengurangan terkonsentrasi melalui intervensi infrastruktur. Gap kinerja versus peers (DBS -12%, BRI -7.1%, Mandiri -5.1%) menunjukkan institusi belum menangkap efficiency gains dari operational improvements dan renewable energy adoption yang telah menjadi praktik standar di sektor perbankan Indonesia.</w:t>
            </w:r>
          </w:p>
          <w:p w14:paraId="17B25C3C" w14:textId="77777777" w:rsidR="006E4579" w:rsidRDefault="00000000">
            <w:r>
              <w:rPr>
                <w:b/>
                <w:sz w:val="20"/>
              </w:rPr>
              <w:t>Root Causes:</w:t>
            </w:r>
          </w:p>
          <w:p w14:paraId="3089260A" w14:textId="77777777" w:rsidR="006E4579" w:rsidRDefault="00000000">
            <w:r>
              <w:rPr>
                <w:sz w:val="18"/>
              </w:rPr>
              <w:t>• Ketergantungan struktural pada diesel backup power (64.7% dari Scope 1) tanpa diversifikasi ke renewable energy sources seperti solar+battery systems yang telah diadopsi peers (BRI Green Network, DBS RE100)</w:t>
            </w:r>
          </w:p>
          <w:p w14:paraId="188528F9" w14:textId="77777777" w:rsidR="006E4579" w:rsidRDefault="00000000">
            <w:r>
              <w:rPr>
                <w:sz w:val="18"/>
              </w:rPr>
              <w:t>• Penundaan program solar panel installation dari Q1 2024 akibat procurement delays, menyebabkan hilangnya 9 bulan potensi pengurangan emisi (estimasi 337 tCO₂e opportunity cost)</w:t>
            </w:r>
          </w:p>
          <w:p w14:paraId="47819C0B" w14:textId="77777777" w:rsidR="006E4579" w:rsidRDefault="00000000">
            <w:r>
              <w:rPr>
                <w:sz w:val="18"/>
              </w:rPr>
              <w:t>• Tidak adanya automated energy management system (EMS) untuk optimasi runtime genset, mengakibatkan diesel over-consumption selama partial grid outages (generator berjalan full-facility backup untuk beban kritis parsial)</w:t>
            </w:r>
          </w:p>
          <w:p w14:paraId="524C25B1" w14:textId="77777777" w:rsidR="006E4579" w:rsidRDefault="00000000">
            <w:r>
              <w:rPr>
                <w:sz w:val="18"/>
              </w:rPr>
              <w:t>• Ekspansi operasional (8 cabang baru) tanpa green building design requirements atau renewable energy integration sejak fase konstruksi, menciptakan locked-in emissions untuk 20+ tahun lifecycle gedung</w:t>
            </w:r>
          </w:p>
          <w:p w14:paraId="4E4ECD05" w14:textId="77777777" w:rsidR="006E4579" w:rsidRDefault="00000000">
            <w:r>
              <w:rPr>
                <w:b/>
                <w:sz w:val="20"/>
              </w:rPr>
              <w:t>Risk Implications:</w:t>
            </w:r>
          </w:p>
          <w:p w14:paraId="401C0ADD" w14:textId="77777777" w:rsidR="006E4579" w:rsidRDefault="00000000">
            <w:r>
              <w:rPr>
                <w:sz w:val="18"/>
              </w:rPr>
              <w:t>• Regulatory Risk: Gap kinerja yang melebar versus peers dapat memicu scrutiny dari OJK dalam konteks POJK 51/2017 dan SEOJK 16/2021 tentang penerapan keuangan berkelanjutan. Institusi berisiko masuk kategori 'lagging' dalam penilaian RAKB (Rencana Aksi Keuangan Berkelanjutan) OJK.</w:t>
            </w:r>
          </w:p>
          <w:p w14:paraId="0ED99628" w14:textId="77777777" w:rsidR="006E4579" w:rsidRDefault="00000000">
            <w:r>
              <w:rPr>
                <w:sz w:val="18"/>
              </w:rPr>
              <w:t>• Reputational Risk: Investor institusional (khususnya ESG-focused funds) semakin membandingkan emission performance versus peers. Tren peningkatan emisi saat peers menurun dapat berdampak negatif pada ESG ratings (MSCI, Sustainalytics) dan akses ke green financing instruments.</w:t>
            </w:r>
          </w:p>
          <w:p w14:paraId="4C623627" w14:textId="77777777" w:rsidR="006E4579" w:rsidRDefault="00000000">
            <w:r>
              <w:rPr>
                <w:sz w:val="18"/>
              </w:rPr>
              <w:t>• Financial Risk: Diesel price volatility (Pertamina adjustments linked to global oil prices) menciptakan operational cost uncertainty. Institusi menghadapi exposure IDR 5.7 miliar annually untuk diesel procurement (based on 2024 consumption), tanpa hedging mechanism melalui renewable energy fixed-cost contracts yang diadopsi peers (DBS PPA model).</w:t>
            </w:r>
          </w:p>
          <w:p w14:paraId="6EC443CB" w14:textId="77777777" w:rsidR="006E4579" w:rsidRDefault="00000000">
            <w:r>
              <w:rPr>
                <w:sz w:val="18"/>
              </w:rPr>
              <w:t>• Transition Risk: Keterlambatan dalam renewable energy adoption menciptakan stranded asset risk untuk diesel genset infrastructure (book value ~IDR 12 billion across facilities). Early retirement atau underutilization akan diperlukan jika institusi mempercepat decarbonization untuk align dengan SBTi pathways atau investor expectations, mengakibatkan asset write-downs.</w:t>
            </w:r>
          </w:p>
        </w:tc>
      </w:tr>
    </w:tbl>
    <w:p w14:paraId="41B16C57" w14:textId="77777777" w:rsidR="006E4579" w:rsidRDefault="006E4579"/>
    <w:p w14:paraId="4E962A89" w14:textId="77777777" w:rsidR="006E4579" w:rsidRDefault="006E4579"/>
    <w:p w14:paraId="71EA96F1" w14:textId="77777777" w:rsidR="006E4579" w:rsidRDefault="00000000">
      <w:r>
        <w:rPr>
          <w:b/>
          <w:color w:val="2E7D32"/>
          <w:sz w:val="24"/>
        </w:rPr>
        <w:t>⚡ Priority Actions</w:t>
      </w:r>
    </w:p>
    <w:p w14:paraId="4FAD9F33" w14:textId="77777777" w:rsidR="006E4579" w:rsidRDefault="00000000">
      <w:r>
        <w:rPr>
          <w:b/>
        </w:rPr>
        <w:t xml:space="preserve">🔴 1. Install solar photovoltaic systems (300-500 kWp per site) with lithium-ion battery storage (4-6 hour capacity) at top 10 emitting facilities, targeting 80% substitution of diesel backup power. Prioritize FAC-0197 (32,105L diesel/year), FAC-0198 (32,436L), </w:t>
      </w:r>
      <w:r>
        <w:rPr>
          <w:b/>
        </w:rPr>
        <w:lastRenderedPageBreak/>
        <w:t>FAC-0200 (28,947L) for Phase 1 deployment.</w:t>
      </w:r>
      <w:r>
        <w:t xml:space="preserve"> (Q3 2025 (Phase 1: top 3 facilities) → Q1 2026 (Phase 2: facilities 4-7) → Q3 2026 (Phase 3: facilities 8-10))</w:t>
      </w:r>
    </w:p>
    <w:p w14:paraId="52C146E9" w14:textId="77777777" w:rsidR="006E4579" w:rsidRDefault="00000000">
      <w:pPr>
        <w:spacing w:after="160"/>
      </w:pPr>
      <w:r>
        <w:t xml:space="preserve">    → Expected: 1,350 tCO₂e annual reduction (39.7% of current Scope 1). Diesel cost avoidance: IDR 4.6 billion annually (based on Pertamina Industrial price IDR 13,200/liter). Payback period: 4.2 years including carbon pricing benefits.</w:t>
      </w:r>
    </w:p>
    <w:p w14:paraId="5BCA3B40" w14:textId="77777777" w:rsidR="006E4579" w:rsidRDefault="00000000">
      <w:pPr>
        <w:spacing w:after="160"/>
      </w:pPr>
      <w:r>
        <w:rPr>
          <w:rFonts w:ascii="Arial" w:hAnsi="Arial"/>
          <w:i/>
          <w:color w:val="646464"/>
          <w:sz w:val="18"/>
        </w:rPr>
        <w:t xml:space="preserve">    → Ref: BRI Green Network program deployed solar panels across branch network, achieving 19.49% electricity savings at flagship BRILiaN Tower (GBCI Gold certified). DBS Group achieved 62% renewable electricity through RE100 commitment and PPA contracts.</w:t>
      </w:r>
    </w:p>
    <w:p w14:paraId="784FE196" w14:textId="77777777" w:rsidR="006E4579" w:rsidRDefault="00000000">
      <w:r>
        <w:rPr>
          <w:b/>
        </w:rPr>
        <w:t>🔴 2. Deploy automated Energy Management System (EMS) with IoT sensors across all 200+ facilities to optimize backup generator runtime. Implement three protocols: (1) critical load profiling to right-size generator operation during partial outages, (2) auto-shutdown when grid power restored (eliminate 15-30 min manual oversight delays), (3) real-time diesel consumption dashboards for facility managers with peer benchmarking.</w:t>
      </w:r>
      <w:r>
        <w:t xml:space="preserve"> (Q2 2025 (EMS procurement &amp; pilot at 10 facilities) → Q3 2025 (full rollout to 200+ facilities) → Q4 2025 (performance validation &amp; target adjustment))</w:t>
      </w:r>
    </w:p>
    <w:p w14:paraId="2B8E2171" w14:textId="77777777" w:rsidR="006E4579" w:rsidRDefault="00000000">
      <w:pPr>
        <w:spacing w:after="160"/>
      </w:pPr>
      <w:r>
        <w:t xml:space="preserve">    → Expected: 176 tCO₂e reduction in 2025 through 8% diesel efficiency improvement (operational optimization without capex on renewables). Diesel cost savings: IDR 460 million annually. Establishes data foundation for ISO 50001 energy management certification.</w:t>
      </w:r>
    </w:p>
    <w:p w14:paraId="06A5BFE6" w14:textId="77777777" w:rsidR="006E4579" w:rsidRDefault="00000000">
      <w:pPr>
        <w:spacing w:after="160"/>
      </w:pPr>
      <w:r>
        <w:rPr>
          <w:rFonts w:ascii="Arial" w:hAnsi="Arial"/>
          <w:i/>
          <w:color w:val="646464"/>
          <w:sz w:val="18"/>
        </w:rPr>
        <w:t xml:space="preserve">    → Ref: BRI implemented Kaseya auto-shutdown systems achieving measurable energy savings through automated equipment scheduling. Minimal capex, immediate impact — proven model for Indonesian FI operational context.</w:t>
      </w:r>
    </w:p>
    <w:p w14:paraId="1FBF97D9" w14:textId="77777777" w:rsidR="006E4579" w:rsidRDefault="00000000">
      <w:r>
        <w:rPr>
          <w:b/>
        </w:rPr>
        <w:t>🟡 3. Engage Big Four accounting firm or specialized sustainability assurance provider (e.g., ERM, Sustainalytics Assurance) for limited assurance on Scope 1+2 emissions data for 2025 reporting cycle. Establish assurance-ready internal controls: centralized energy data management system with audit trail, documented calculation methodologies with version control, monthly data quality reviews, formal facility manager sign-off process.</w:t>
      </w:r>
      <w:r>
        <w:t xml:space="preserve"> (Q1 2025 (RFP issuance &amp; provider selection) → Q2-Q3 2025 (internal control establishment &amp; documentation) → Q4 2025 (assurance fieldwork) → Q1 2026 (assurance statement publication))</w:t>
      </w:r>
    </w:p>
    <w:p w14:paraId="143129A4" w14:textId="77777777" w:rsidR="006E4579" w:rsidRDefault="00000000">
      <w:pPr>
        <w:spacing w:after="160"/>
      </w:pPr>
      <w:r>
        <w:t xml:space="preserve">    → Expected: Enhanced data credibility for investors, ESG rating agencies (MSCI, Sustainalytics), and regulatory compliance. Potential MSCI ESG rating upgrade from current level to A- tier through governance score improvement (+2-3 points in Environmental Pillar). Positions institution for CSRD assurance mandate (limited assurance required 2028 for EU-exposed entities).</w:t>
      </w:r>
    </w:p>
    <w:p w14:paraId="3D1728D5" w14:textId="77777777" w:rsidR="006E4579" w:rsidRDefault="00000000">
      <w:pPr>
        <w:spacing w:after="160"/>
      </w:pPr>
      <w:r>
        <w:rPr>
          <w:rFonts w:ascii="Arial" w:hAnsi="Arial"/>
          <w:i/>
          <w:color w:val="646464"/>
          <w:sz w:val="18"/>
        </w:rPr>
        <w:t xml:space="preserve">    → Ref: DBS Group obtains limited assurance on Scope 1, 2, and selected Scope 3 categories, disclosed in annual sustainability reports. Demonstrates investor confidence benefits and regulatory preparedness for evolving assurance mandates (CSRD Article 34).</w:t>
      </w:r>
    </w:p>
    <w:p w14:paraId="3C864C52" w14:textId="77777777" w:rsidR="006E4579" w:rsidRDefault="00000000">
      <w:r>
        <w:rPr>
          <w:b/>
        </w:rPr>
        <w:t>🟡 4. Establish green building design standards for all new branch construction and major renovations, mandating: (1) solar PV integration (minimum 30% of roof area), (2) LED lighting with daylight sensors, (3) high-efficiency HVAC with smart controls, (4) rainwater harvesting for non-potable uses. Retrofit 8 new branches opened in 2024 with solar+battery systems to avoid locked-in emissions over 20-year building lifecycle.</w:t>
      </w:r>
      <w:r>
        <w:t xml:space="preserve"> (Q2 </w:t>
      </w:r>
      <w:r>
        <w:lastRenderedPageBreak/>
        <w:t>2025 (green building policy approval by Board) → Q3 2025 (retrofit design for 8 new branches) → Q1 2026 (retrofit completion) → Ongoing (apply to all new construction from 2026))</w:t>
      </w:r>
    </w:p>
    <w:p w14:paraId="072AB092" w14:textId="77777777" w:rsidR="006E4579" w:rsidRDefault="00000000">
      <w:pPr>
        <w:spacing w:after="160"/>
      </w:pPr>
      <w:r>
        <w:t xml:space="preserve">    → Expected: Prevents 280 tCO₂e annually from 8 new branches (35 tCO₂e per branch based on peer benchmarks). Avoids 5,600 tCO₂e cumulative emissions over 20-year building lifecycle. Establishes pathway to green building certification (GREENSHIP, EDGE) for flagship branches, enhancing brand positioning.</w:t>
      </w:r>
    </w:p>
    <w:p w14:paraId="0BC48F28" w14:textId="77777777" w:rsidR="006E4579" w:rsidRDefault="00000000">
      <w:pPr>
        <w:spacing w:after="160"/>
      </w:pPr>
      <w:r>
        <w:rPr>
          <w:rFonts w:ascii="Arial" w:hAnsi="Arial"/>
          <w:i/>
          <w:color w:val="646464"/>
          <w:sz w:val="18"/>
        </w:rPr>
        <w:t xml:space="preserve">    → Ref: BRI achieved GBCI Gold certification for BRILiaN Tower with 19.49% electricity savings through integrated green building design. Demonstrates business case for upfront investment in energy efficiency and renewable integration.</w:t>
      </w:r>
    </w:p>
    <w:p w14:paraId="0EB4BB44" w14:textId="77777777" w:rsidR="006E4579" w:rsidRDefault="006E4579"/>
    <w:p w14:paraId="4680C8FD" w14:textId="77777777" w:rsidR="006E4579" w:rsidRDefault="00000000">
      <w:r>
        <w:rPr>
          <w:i/>
          <w:color w:val="3D6094"/>
          <w:sz w:val="18"/>
        </w:rPr>
        <w:t>Framework references: GRI 305-1a; GRI 305-1b; GRI 305-1c; GRI 305-1e; GRI 305-1f; GRI 305-1g; IFRS S2 Para 29(a)(i); IFRS S2 Para 29(b); IFRS S2 Para 29(c); ESRS E1 DR E1-6.44; ESRS E1 AR 39(a); ESRS E1 AR 39(c); ESRS E1 AR 39(d); ESRS E1 AR 40; OJK SEOJK 16/2021 — Emisi GRK Langsung</w:t>
      </w:r>
    </w:p>
    <w:p w14:paraId="55AB6EF8" w14:textId="77777777" w:rsidR="006E4579" w:rsidRDefault="006E4579">
      <w:pPr>
        <w:pBdr>
          <w:bottom w:val="single" w:sz="6" w:space="1" w:color="CCCCCC"/>
        </w:pBdr>
        <w:spacing w:after="80"/>
      </w:pPr>
    </w:p>
    <w:p w14:paraId="2CCD10DD" w14:textId="77777777" w:rsidR="006E4579" w:rsidRDefault="00000000">
      <w:pPr>
        <w:spacing w:after="160"/>
      </w:pPr>
      <w:r>
        <w:rPr>
          <w:rFonts w:ascii="Arial" w:hAnsi="Arial"/>
          <w:i/>
          <w:color w:val="646464"/>
          <w:sz w:val="18"/>
        </w:rPr>
        <w:t>These figures have not been subject to external assurance for the current reporting period.</w:t>
      </w:r>
    </w:p>
    <w:p w14:paraId="520CAFEC" w14:textId="77777777" w:rsidR="006E4579" w:rsidRDefault="00000000">
      <w:pPr>
        <w:spacing w:after="160"/>
      </w:pPr>
      <w:r>
        <w:rPr>
          <w:rFonts w:ascii="Arial" w:hAnsi="Arial"/>
          <w:i/>
          <w:color w:val="646464"/>
          <w:sz w:val="18"/>
        </w:rPr>
        <w:t>Emission factors sourced from Indonesian Ministry of Energy and Mineral Resources (MEMR) National Emission Factor Database, version 2023.</w:t>
      </w:r>
    </w:p>
    <w:p w14:paraId="4BC5CF12" w14:textId="77777777" w:rsidR="006E4579" w:rsidRDefault="00000000">
      <w:pPr>
        <w:spacing w:after="160"/>
      </w:pPr>
      <w:r>
        <w:rPr>
          <w:rFonts w:ascii="Arial" w:hAnsi="Arial"/>
          <w:i/>
          <w:color w:val="646464"/>
          <w:sz w:val="18"/>
        </w:rPr>
        <w:t>Global Warming Potential (GWP) values based on IPCC Sixth Assessment Report (AR6, 2021), 100-year time horizon.</w:t>
      </w:r>
    </w:p>
    <w:p w14:paraId="7EA5B350" w14:textId="77777777" w:rsidR="006E4579" w:rsidRDefault="00000000">
      <w:pPr>
        <w:spacing w:after="160"/>
      </w:pPr>
      <w:r>
        <w:rPr>
          <w:rFonts w:ascii="Arial" w:hAnsi="Arial"/>
          <w:i/>
          <w:color w:val="646464"/>
          <w:sz w:val="18"/>
        </w:rPr>
        <w:t>Operational control consolidation approach applied per GHG Protocol Corporate Standard and ESRS E1 AR 40.</w:t>
      </w:r>
    </w:p>
    <w:p w14:paraId="35DCF2BC" w14:textId="77777777" w:rsidR="006E4579" w:rsidRDefault="00000000">
      <w:pPr>
        <w:spacing w:after="160"/>
      </w:pPr>
      <w:r>
        <w:rPr>
          <w:rFonts w:ascii="Arial" w:hAnsi="Arial"/>
          <w:i/>
          <w:color w:val="646464"/>
          <w:sz w:val="18"/>
        </w:rPr>
        <w:t>Biogenic CO₂ emissions are not material to the institution's operations (&lt;0.1% of total Scope 1) and are excluded from this disclosure.</w:t>
      </w:r>
    </w:p>
    <w:p w14:paraId="7858D4B6" w14:textId="77777777" w:rsidR="006E4579" w:rsidRDefault="00000000">
      <w:pPr>
        <w:spacing w:after="160"/>
      </w:pPr>
      <w:r>
        <w:rPr>
          <w:rFonts w:ascii="Arial" w:hAnsi="Arial"/>
          <w:i/>
          <w:color w:val="646464"/>
          <w:sz w:val="18"/>
        </w:rPr>
        <w:t>Data quality score of 1 indicates direct metering and invoice-based measurement for all facilities, representing highest quality per PCAF methodology.</w:t>
      </w:r>
    </w:p>
    <w:p w14:paraId="02E52FB9" w14:textId="77777777" w:rsidR="006E4579" w:rsidRDefault="00000000">
      <w:pPr>
        <w:pStyle w:val="Heading2"/>
        <w:spacing w:before="360" w:after="160"/>
      </w:pPr>
      <w:r>
        <w:rPr>
          <w:rFonts w:ascii="Arial" w:hAnsi="Arial"/>
          <w:color w:val="3D6094"/>
          <w:sz w:val="28"/>
        </w:rPr>
        <w:t>1.2 Energy Indirect GHG Emissions — Scope 2</w:t>
      </w:r>
    </w:p>
    <w:tbl>
      <w:tblPr>
        <w:tblW w:w="0" w:type="auto"/>
        <w:jc w:val="center"/>
        <w:tblLook w:val="04A0" w:firstRow="1" w:lastRow="0" w:firstColumn="1" w:lastColumn="0" w:noHBand="0" w:noVBand="1"/>
      </w:tblPr>
      <w:tblGrid>
        <w:gridCol w:w="2257"/>
        <w:gridCol w:w="2257"/>
        <w:gridCol w:w="2257"/>
        <w:gridCol w:w="2257"/>
      </w:tblGrid>
      <w:tr w:rsidR="006E4579" w14:paraId="1C942F91" w14:textId="77777777">
        <w:trPr>
          <w:jc w:val="center"/>
        </w:trPr>
        <w:tc>
          <w:tcPr>
            <w:tcW w:w="2257" w:type="dxa"/>
            <w:shd w:val="clear" w:color="auto" w:fill="F2F6FA"/>
          </w:tcPr>
          <w:p w14:paraId="2D648B5F" w14:textId="77777777" w:rsidR="006E4579" w:rsidRDefault="00000000">
            <w:pPr>
              <w:jc w:val="center"/>
            </w:pPr>
            <w:r>
              <w:rPr>
                <w:b/>
                <w:color w:val="1B3A6B"/>
                <w:sz w:val="36"/>
              </w:rPr>
              <w:t>44,613.876</w:t>
            </w:r>
            <w:r>
              <w:rPr>
                <w:color w:val="757575"/>
                <w:sz w:val="18"/>
              </w:rPr>
              <w:t xml:space="preserve"> tCO₂e</w:t>
            </w:r>
            <w:r>
              <w:rPr>
                <w:b/>
                <w:color w:val="2E7D32"/>
                <w:sz w:val="20"/>
              </w:rPr>
              <w:br/>
              <w:t>+0.03%</w:t>
            </w:r>
          </w:p>
        </w:tc>
        <w:tc>
          <w:tcPr>
            <w:tcW w:w="2257" w:type="dxa"/>
            <w:shd w:val="clear" w:color="auto" w:fill="F2F6FA"/>
          </w:tcPr>
          <w:p w14:paraId="05439A14" w14:textId="77777777" w:rsidR="006E4579" w:rsidRDefault="00000000">
            <w:pPr>
              <w:jc w:val="center"/>
            </w:pPr>
            <w:r>
              <w:rPr>
                <w:b/>
                <w:color w:val="1B3A6B"/>
                <w:sz w:val="36"/>
              </w:rPr>
              <w:t>44,612.518</w:t>
            </w:r>
            <w:r>
              <w:rPr>
                <w:color w:val="757575"/>
                <w:sz w:val="18"/>
              </w:rPr>
              <w:t xml:space="preserve"> tCO₂e</w:t>
            </w:r>
            <w:r>
              <w:rPr>
                <w:b/>
                <w:color w:val="2E7D32"/>
                <w:sz w:val="20"/>
              </w:rPr>
              <w:br/>
              <w:t>+0.03%</w:t>
            </w:r>
          </w:p>
        </w:tc>
        <w:tc>
          <w:tcPr>
            <w:tcW w:w="2257" w:type="dxa"/>
            <w:shd w:val="clear" w:color="auto" w:fill="F2F6FA"/>
          </w:tcPr>
          <w:p w14:paraId="0D7A9E3A" w14:textId="77777777" w:rsidR="006E4579" w:rsidRDefault="00000000">
            <w:pPr>
              <w:jc w:val="center"/>
            </w:pPr>
            <w:r>
              <w:rPr>
                <w:b/>
                <w:color w:val="1B3A6B"/>
                <w:sz w:val="36"/>
              </w:rPr>
              <w:t>0.003</w:t>
            </w:r>
            <w:r>
              <w:rPr>
                <w:color w:val="757575"/>
                <w:sz w:val="18"/>
              </w:rPr>
              <w:t xml:space="preserve"> %</w:t>
            </w:r>
            <w:r>
              <w:rPr>
                <w:b/>
                <w:color w:val="C62828"/>
                <w:sz w:val="20"/>
              </w:rPr>
              <w:br/>
              <w:t>vs 62% at DBS</w:t>
            </w:r>
          </w:p>
        </w:tc>
        <w:tc>
          <w:tcPr>
            <w:tcW w:w="2257" w:type="dxa"/>
            <w:shd w:val="clear" w:color="auto" w:fill="F2F6FA"/>
          </w:tcPr>
          <w:p w14:paraId="3414C9F3" w14:textId="77777777" w:rsidR="006E4579" w:rsidRDefault="00000000">
            <w:pPr>
              <w:jc w:val="center"/>
            </w:pPr>
            <w:r>
              <w:rPr>
                <w:b/>
                <w:color w:val="1B3A6B"/>
                <w:sz w:val="36"/>
              </w:rPr>
              <w:t>1.785</w:t>
            </w:r>
            <w:r>
              <w:rPr>
                <w:color w:val="757575"/>
                <w:sz w:val="18"/>
              </w:rPr>
              <w:t xml:space="preserve"> tCO₂e/FTE</w:t>
            </w:r>
            <w:r>
              <w:rPr>
                <w:b/>
                <w:color w:val="2E7D32"/>
                <w:sz w:val="20"/>
              </w:rPr>
              <w:br/>
              <w:t>-1.92%</w:t>
            </w:r>
          </w:p>
        </w:tc>
      </w:tr>
      <w:tr w:rsidR="006E4579" w14:paraId="18856E8E" w14:textId="77777777">
        <w:trPr>
          <w:jc w:val="center"/>
        </w:trPr>
        <w:tc>
          <w:tcPr>
            <w:tcW w:w="2257" w:type="dxa"/>
            <w:shd w:val="clear" w:color="auto" w:fill="F2F6FA"/>
          </w:tcPr>
          <w:p w14:paraId="7BF1A1AB" w14:textId="77777777" w:rsidR="006E4579" w:rsidRDefault="00000000">
            <w:pPr>
              <w:jc w:val="center"/>
            </w:pPr>
            <w:r>
              <w:rPr>
                <w:color w:val="757575"/>
                <w:sz w:val="16"/>
              </w:rPr>
              <w:t>Scope 2 Location-Based</w:t>
            </w:r>
          </w:p>
        </w:tc>
        <w:tc>
          <w:tcPr>
            <w:tcW w:w="2257" w:type="dxa"/>
            <w:shd w:val="clear" w:color="auto" w:fill="F2F6FA"/>
          </w:tcPr>
          <w:p w14:paraId="7FD40EB5" w14:textId="77777777" w:rsidR="006E4579" w:rsidRDefault="00000000">
            <w:pPr>
              <w:jc w:val="center"/>
            </w:pPr>
            <w:r>
              <w:rPr>
                <w:color w:val="757575"/>
                <w:sz w:val="16"/>
              </w:rPr>
              <w:t>Scope 2 Market-Based</w:t>
            </w:r>
          </w:p>
        </w:tc>
        <w:tc>
          <w:tcPr>
            <w:tcW w:w="2257" w:type="dxa"/>
            <w:shd w:val="clear" w:color="auto" w:fill="F2F6FA"/>
          </w:tcPr>
          <w:p w14:paraId="0545440C" w14:textId="77777777" w:rsidR="006E4579" w:rsidRDefault="00000000">
            <w:pPr>
              <w:jc w:val="center"/>
            </w:pPr>
            <w:r>
              <w:rPr>
                <w:color w:val="757575"/>
                <w:sz w:val="16"/>
              </w:rPr>
              <w:t>Renewable Coverage</w:t>
            </w:r>
          </w:p>
        </w:tc>
        <w:tc>
          <w:tcPr>
            <w:tcW w:w="2257" w:type="dxa"/>
            <w:shd w:val="clear" w:color="auto" w:fill="F2F6FA"/>
          </w:tcPr>
          <w:p w14:paraId="4D503170" w14:textId="77777777" w:rsidR="006E4579" w:rsidRDefault="00000000">
            <w:pPr>
              <w:jc w:val="center"/>
            </w:pPr>
            <w:r>
              <w:rPr>
                <w:color w:val="757575"/>
                <w:sz w:val="16"/>
              </w:rPr>
              <w:t>Intensity per FTE</w:t>
            </w:r>
          </w:p>
        </w:tc>
      </w:tr>
    </w:tbl>
    <w:p w14:paraId="51EF0165" w14:textId="77777777" w:rsidR="006E4579" w:rsidRDefault="006E4579"/>
    <w:tbl>
      <w:tblPr>
        <w:tblW w:w="0" w:type="auto"/>
        <w:jc w:val="center"/>
        <w:tblLook w:val="04A0" w:firstRow="1" w:lastRow="0" w:firstColumn="1" w:lastColumn="0" w:noHBand="0" w:noVBand="1"/>
      </w:tblPr>
      <w:tblGrid>
        <w:gridCol w:w="9029"/>
      </w:tblGrid>
      <w:tr w:rsidR="006E4579" w14:paraId="765BF333" w14:textId="77777777">
        <w:trPr>
          <w:jc w:val="center"/>
        </w:trPr>
        <w:tc>
          <w:tcPr>
            <w:tcW w:w="9029" w:type="dxa"/>
            <w:shd w:val="clear" w:color="auto" w:fill="FFF8E1"/>
          </w:tcPr>
          <w:p w14:paraId="5915684A" w14:textId="77777777" w:rsidR="006E4579" w:rsidRDefault="00000000">
            <w:r>
              <w:rPr>
                <w:b/>
                <w:color w:val="FF8F00"/>
                <w:sz w:val="18"/>
              </w:rPr>
              <w:t>⚠️ KEY INSIGHT</w:t>
            </w:r>
          </w:p>
          <w:p w14:paraId="254ECE9A" w14:textId="77777777" w:rsidR="006E4579" w:rsidRDefault="00000000">
            <w:r>
              <w:rPr>
                <w:b/>
              </w:rPr>
              <w:t>Scope 2 stabil (+0.03%) namun renewable procurement tertinggal jauh — peers capai 20-62% coverage</w:t>
            </w:r>
          </w:p>
          <w:p w14:paraId="5B58BD1D" w14:textId="77777777" w:rsidR="006E4579" w:rsidRDefault="00000000">
            <w:r>
              <w:rPr>
                <w:sz w:val="20"/>
              </w:rPr>
              <w:t>Emisi Scope 2 naik marginal 14.4 tCO₂e akibat ekspansi operasional, namun intensitas per karyawan turun 1.92%. Gap kritis: institusi hanya menerapkan 0.003% instrumen kontraktual renewable, sementara DBS mencapai 62% dan BRI 19.49% penghematan listrik. Tanpa strategi renewable procurement, institusi berisiko tertinggal dalam compliance CSRD dan ekspektasi investor ESG.</w:t>
            </w:r>
          </w:p>
        </w:tc>
      </w:tr>
    </w:tbl>
    <w:p w14:paraId="408DDA6C" w14:textId="77777777" w:rsidR="006E4579" w:rsidRDefault="006E4579"/>
    <w:p w14:paraId="1D01347B" w14:textId="77777777" w:rsidR="006E4579" w:rsidRDefault="00000000">
      <w:pPr>
        <w:spacing w:after="160"/>
      </w:pPr>
      <w:r>
        <w:rPr>
          <w:rFonts w:ascii="Arial" w:hAnsi="Arial"/>
        </w:rPr>
        <w:lastRenderedPageBreak/>
        <w:t>The institution's Scope 2 energy indirect greenhouse gas emissions for the reporting period ending December 31, 2024, totaled 44,613.876 tCO₂e on a location-based accounting basis and 44,612.518 tCO₂e on a market-based accounting basis. This dual reporting approach aligns with the GHG Protocol Scope 2 Guidance (2015) and satisfies disclosure requirements under GRI 305-2, IFRS S2 Paragraph 29(a)(ii), ESRS E1-6 DR E1-6.46, and OJK PSPK regulations for indirect energy emissions (Emisi GRK Tidak Langsung dari Energi - Lingkup 2).</w:t>
      </w:r>
    </w:p>
    <w:p w14:paraId="524724F4" w14:textId="77777777" w:rsidR="006E4579" w:rsidRDefault="00000000">
      <w:pPr>
        <w:spacing w:after="160"/>
      </w:pPr>
      <w:r>
        <w:rPr>
          <w:rFonts w:ascii="Arial" w:hAnsi="Arial"/>
        </w:rPr>
        <w:t>The location-based method reflects the average emissions intensity of the Indonesian electricity grid where the institution's operations consume energy, calculated using the PLN 2023 grid emission factor of 0.7886 kgCO₂/kWh. The market-based method accounts for contractual instruments such as renewable energy certificates (RECs) or power purchase agreements that the institution has procured to reduce its carbon footprint from purchased electricity. The minimal difference of 1.358 tCO₂e between the two methods (0.003% variance) indicates that the institution has applied a negligible volume of contractual instruments for renewable electricity during the reporting period.</w:t>
      </w:r>
    </w:p>
    <w:p w14:paraId="0E618F6B" w14:textId="77777777" w:rsidR="006E4579" w:rsidRDefault="00000000">
      <w:pPr>
        <w:spacing w:after="160"/>
      </w:pPr>
      <w:r>
        <w:rPr>
          <w:rFonts w:ascii="Arial" w:hAnsi="Arial"/>
        </w:rPr>
        <w:t>Scope 2 emissions decreased by 0.03% year-over-year from 44,599.440 tCO₂e (location-based, 2023) to 44,613.876 tCO₂e (location-based, 2024), representing an increase of 14.436 tCO₂e in absolute terms. On a market-based accounting basis, emissions increased by 0.03% from 44,598.118 tCO₂e (2023) to 44,612.518 tCO₂e (2024). This marginal increase is attributable to operational expansion, including the addition of new branch facilities and increased data center capacity to support digital banking services, which offset energy efficiency improvements implemented during the reporting period.</w:t>
      </w:r>
    </w:p>
    <w:p w14:paraId="4FC7A921" w14:textId="77777777" w:rsidR="006E4579" w:rsidRDefault="00000000">
      <w:pPr>
        <w:spacing w:after="160"/>
      </w:pPr>
      <w:r>
        <w:rPr>
          <w:rFonts w:ascii="Arial" w:hAnsi="Arial"/>
        </w:rPr>
        <w:t>The institution's Scope 2 emissions intensity per full-time equivalent employee decreased from 1.820 tCO₂e/FTE (2023) to 1.785 tCO₂e/FTE (2024), representing a 1.92% improvement in operational efficiency despite absolute emissions growth. This intensity reduction reflects the institution's workforce expansion (2.03% headcount growth) outpacing the rate of electricity consumption increase, demonstrating improved energy productivity per employee.</w:t>
      </w:r>
    </w:p>
    <w:p w14:paraId="39B025BD" w14:textId="77777777" w:rsidR="006E4579" w:rsidRDefault="00000000">
      <w:pPr>
        <w:spacing w:after="160"/>
      </w:pPr>
      <w:r>
        <w:rPr>
          <w:rFonts w:ascii="Arial" w:hAnsi="Arial"/>
        </w:rPr>
        <w:t>All Scope 2 calculations utilize the operational control consolidation approach, consistent with the institution's organizational boundary definition. Electricity consumption data is sourced from utility invoices for all facilities under operational control. The PLN 2023 grid emission factor represents the most recent published factor for the Indonesian electricity grid and is applied uniformly across all facilities. No biogenic CO₂ emissions are included in the Scope 2 totals, in accordance with GHG Protocol reporting standards.</w:t>
      </w:r>
    </w:p>
    <w:p w14:paraId="35A499D4" w14:textId="77777777" w:rsidR="006E4579" w:rsidRDefault="00000000">
      <w:pPr>
        <w:spacing w:after="160"/>
      </w:pPr>
      <w:r>
        <w:rPr>
          <w:rFonts w:ascii="Arial" w:hAnsi="Arial"/>
        </w:rPr>
        <w:t>These figures have not been subject to external assurance for the current reporting period.</w:t>
      </w:r>
    </w:p>
    <w:p w14:paraId="06AE2F83" w14:textId="77777777" w:rsidR="006E4579" w:rsidRDefault="00000000">
      <w:r>
        <w:rPr>
          <w:rFonts w:ascii="Arial" w:hAnsi="Arial"/>
          <w:b/>
          <w:sz w:val="20"/>
        </w:rPr>
        <w:t>Table 20: Table 1.2.1: Scope 2 Energy Indirect GHG Emissions — Dual Reporting (2023-2024)</w:t>
      </w:r>
    </w:p>
    <w:tbl>
      <w:tblPr>
        <w:tblW w:w="0" w:type="auto"/>
        <w:jc w:val="center"/>
        <w:tblLook w:val="04A0" w:firstRow="1" w:lastRow="0" w:firstColumn="1" w:lastColumn="0" w:noHBand="0" w:noVBand="1"/>
      </w:tblPr>
      <w:tblGrid>
        <w:gridCol w:w="1806"/>
        <w:gridCol w:w="1806"/>
        <w:gridCol w:w="1806"/>
        <w:gridCol w:w="1806"/>
        <w:gridCol w:w="1806"/>
      </w:tblGrid>
      <w:tr w:rsidR="006E4579" w14:paraId="6F0B7FAC" w14:textId="77777777">
        <w:trPr>
          <w:jc w:val="center"/>
        </w:trPr>
        <w:tc>
          <w:tcPr>
            <w:tcW w:w="1806" w:type="dxa"/>
            <w:shd w:val="clear" w:color="auto" w:fill="1B3A6B"/>
          </w:tcPr>
          <w:p w14:paraId="636171BB" w14:textId="77777777" w:rsidR="006E4579" w:rsidRDefault="00000000">
            <w:r>
              <w:rPr>
                <w:rFonts w:ascii="Arial" w:hAnsi="Arial"/>
                <w:b/>
                <w:color w:val="FFFFFF"/>
                <w:sz w:val="18"/>
              </w:rPr>
              <w:t>Accounting Method</w:t>
            </w:r>
          </w:p>
        </w:tc>
        <w:tc>
          <w:tcPr>
            <w:tcW w:w="1806" w:type="dxa"/>
            <w:shd w:val="clear" w:color="auto" w:fill="1B3A6B"/>
          </w:tcPr>
          <w:p w14:paraId="2C54F52B" w14:textId="77777777" w:rsidR="006E4579" w:rsidRDefault="00000000">
            <w:r>
              <w:rPr>
                <w:rFonts w:ascii="Arial" w:hAnsi="Arial"/>
                <w:b/>
                <w:color w:val="FFFFFF"/>
                <w:sz w:val="18"/>
              </w:rPr>
              <w:t>2024 Emissions (tCO₂e)</w:t>
            </w:r>
          </w:p>
        </w:tc>
        <w:tc>
          <w:tcPr>
            <w:tcW w:w="1806" w:type="dxa"/>
            <w:shd w:val="clear" w:color="auto" w:fill="1B3A6B"/>
          </w:tcPr>
          <w:p w14:paraId="524E2B1E" w14:textId="77777777" w:rsidR="006E4579" w:rsidRDefault="00000000">
            <w:r>
              <w:rPr>
                <w:rFonts w:ascii="Arial" w:hAnsi="Arial"/>
                <w:b/>
                <w:color w:val="FFFFFF"/>
                <w:sz w:val="18"/>
              </w:rPr>
              <w:t>2023 Emissions (tCO₂e)</w:t>
            </w:r>
          </w:p>
        </w:tc>
        <w:tc>
          <w:tcPr>
            <w:tcW w:w="1806" w:type="dxa"/>
            <w:shd w:val="clear" w:color="auto" w:fill="1B3A6B"/>
          </w:tcPr>
          <w:p w14:paraId="1BD8F617" w14:textId="77777777" w:rsidR="006E4579" w:rsidRDefault="00000000">
            <w:r>
              <w:rPr>
                <w:rFonts w:ascii="Arial" w:hAnsi="Arial"/>
                <w:b/>
                <w:color w:val="FFFFFF"/>
                <w:sz w:val="18"/>
              </w:rPr>
              <w:t>Absolute Change (tCO₂e)</w:t>
            </w:r>
          </w:p>
        </w:tc>
        <w:tc>
          <w:tcPr>
            <w:tcW w:w="1806" w:type="dxa"/>
            <w:shd w:val="clear" w:color="auto" w:fill="1B3A6B"/>
          </w:tcPr>
          <w:p w14:paraId="6D65A22D" w14:textId="77777777" w:rsidR="006E4579" w:rsidRDefault="00000000">
            <w:r>
              <w:rPr>
                <w:rFonts w:ascii="Arial" w:hAnsi="Arial"/>
                <w:b/>
                <w:color w:val="FFFFFF"/>
                <w:sz w:val="18"/>
              </w:rPr>
              <w:t>Change (%)</w:t>
            </w:r>
          </w:p>
        </w:tc>
      </w:tr>
      <w:tr w:rsidR="006E4579" w14:paraId="3D466503" w14:textId="77777777">
        <w:trPr>
          <w:jc w:val="center"/>
        </w:trPr>
        <w:tc>
          <w:tcPr>
            <w:tcW w:w="1806" w:type="dxa"/>
          </w:tcPr>
          <w:p w14:paraId="272DD5E8" w14:textId="77777777" w:rsidR="006E4579" w:rsidRDefault="00000000">
            <w:r>
              <w:rPr>
                <w:rFonts w:ascii="Arial" w:hAnsi="Arial"/>
                <w:sz w:val="18"/>
              </w:rPr>
              <w:t>Location-based</w:t>
            </w:r>
          </w:p>
        </w:tc>
        <w:tc>
          <w:tcPr>
            <w:tcW w:w="1806" w:type="dxa"/>
          </w:tcPr>
          <w:p w14:paraId="2473F8D4" w14:textId="77777777" w:rsidR="006E4579" w:rsidRDefault="00000000">
            <w:pPr>
              <w:jc w:val="right"/>
            </w:pPr>
            <w:r>
              <w:rPr>
                <w:rFonts w:ascii="Arial" w:hAnsi="Arial"/>
                <w:sz w:val="18"/>
              </w:rPr>
              <w:t>44,613.876</w:t>
            </w:r>
          </w:p>
        </w:tc>
        <w:tc>
          <w:tcPr>
            <w:tcW w:w="1806" w:type="dxa"/>
          </w:tcPr>
          <w:p w14:paraId="101DA4CD" w14:textId="77777777" w:rsidR="006E4579" w:rsidRDefault="00000000">
            <w:pPr>
              <w:jc w:val="right"/>
            </w:pPr>
            <w:r>
              <w:rPr>
                <w:rFonts w:ascii="Arial" w:hAnsi="Arial"/>
                <w:sz w:val="18"/>
              </w:rPr>
              <w:t>44,599.440</w:t>
            </w:r>
          </w:p>
        </w:tc>
        <w:tc>
          <w:tcPr>
            <w:tcW w:w="1806" w:type="dxa"/>
          </w:tcPr>
          <w:p w14:paraId="5C480066" w14:textId="77777777" w:rsidR="006E4579" w:rsidRDefault="00000000">
            <w:pPr>
              <w:jc w:val="right"/>
            </w:pPr>
            <w:r>
              <w:rPr>
                <w:rFonts w:ascii="Arial" w:hAnsi="Arial"/>
                <w:sz w:val="18"/>
              </w:rPr>
              <w:t>+14.436</w:t>
            </w:r>
          </w:p>
        </w:tc>
        <w:tc>
          <w:tcPr>
            <w:tcW w:w="1806" w:type="dxa"/>
          </w:tcPr>
          <w:p w14:paraId="51441E2C" w14:textId="77777777" w:rsidR="006E4579" w:rsidRDefault="00000000">
            <w:pPr>
              <w:jc w:val="right"/>
            </w:pPr>
            <w:r>
              <w:rPr>
                <w:rFonts w:ascii="Arial" w:hAnsi="Arial"/>
                <w:sz w:val="18"/>
              </w:rPr>
              <w:t>+0.03%</w:t>
            </w:r>
          </w:p>
        </w:tc>
      </w:tr>
      <w:tr w:rsidR="006E4579" w14:paraId="31F02709" w14:textId="77777777">
        <w:trPr>
          <w:jc w:val="center"/>
        </w:trPr>
        <w:tc>
          <w:tcPr>
            <w:tcW w:w="1806" w:type="dxa"/>
            <w:shd w:val="clear" w:color="auto" w:fill="F2F6FC"/>
          </w:tcPr>
          <w:p w14:paraId="509DF490" w14:textId="77777777" w:rsidR="006E4579" w:rsidRDefault="00000000">
            <w:r>
              <w:rPr>
                <w:rFonts w:ascii="Arial" w:hAnsi="Arial"/>
                <w:sz w:val="18"/>
              </w:rPr>
              <w:t>Market-based</w:t>
            </w:r>
          </w:p>
        </w:tc>
        <w:tc>
          <w:tcPr>
            <w:tcW w:w="1806" w:type="dxa"/>
            <w:shd w:val="clear" w:color="auto" w:fill="F2F6FC"/>
          </w:tcPr>
          <w:p w14:paraId="56BC154C" w14:textId="77777777" w:rsidR="006E4579" w:rsidRDefault="00000000">
            <w:pPr>
              <w:jc w:val="right"/>
            </w:pPr>
            <w:r>
              <w:rPr>
                <w:rFonts w:ascii="Arial" w:hAnsi="Arial"/>
                <w:sz w:val="18"/>
              </w:rPr>
              <w:t>44,612.518</w:t>
            </w:r>
          </w:p>
        </w:tc>
        <w:tc>
          <w:tcPr>
            <w:tcW w:w="1806" w:type="dxa"/>
            <w:shd w:val="clear" w:color="auto" w:fill="F2F6FC"/>
          </w:tcPr>
          <w:p w14:paraId="0889EE69" w14:textId="77777777" w:rsidR="006E4579" w:rsidRDefault="00000000">
            <w:pPr>
              <w:jc w:val="right"/>
            </w:pPr>
            <w:r>
              <w:rPr>
                <w:rFonts w:ascii="Arial" w:hAnsi="Arial"/>
                <w:sz w:val="18"/>
              </w:rPr>
              <w:t>44,598.118</w:t>
            </w:r>
          </w:p>
        </w:tc>
        <w:tc>
          <w:tcPr>
            <w:tcW w:w="1806" w:type="dxa"/>
            <w:shd w:val="clear" w:color="auto" w:fill="F2F6FC"/>
          </w:tcPr>
          <w:p w14:paraId="2E8BF7E7" w14:textId="77777777" w:rsidR="006E4579" w:rsidRDefault="00000000">
            <w:pPr>
              <w:jc w:val="right"/>
            </w:pPr>
            <w:r>
              <w:rPr>
                <w:rFonts w:ascii="Arial" w:hAnsi="Arial"/>
                <w:sz w:val="18"/>
              </w:rPr>
              <w:t>+14.400</w:t>
            </w:r>
          </w:p>
        </w:tc>
        <w:tc>
          <w:tcPr>
            <w:tcW w:w="1806" w:type="dxa"/>
            <w:shd w:val="clear" w:color="auto" w:fill="F2F6FC"/>
          </w:tcPr>
          <w:p w14:paraId="4AB236E1" w14:textId="77777777" w:rsidR="006E4579" w:rsidRDefault="00000000">
            <w:pPr>
              <w:jc w:val="right"/>
            </w:pPr>
            <w:r>
              <w:rPr>
                <w:rFonts w:ascii="Arial" w:hAnsi="Arial"/>
                <w:sz w:val="18"/>
              </w:rPr>
              <w:t>+0.03%</w:t>
            </w:r>
          </w:p>
        </w:tc>
      </w:tr>
      <w:tr w:rsidR="006E4579" w14:paraId="0B965C18" w14:textId="77777777">
        <w:trPr>
          <w:jc w:val="center"/>
        </w:trPr>
        <w:tc>
          <w:tcPr>
            <w:tcW w:w="1806" w:type="dxa"/>
          </w:tcPr>
          <w:p w14:paraId="6516612E" w14:textId="77777777" w:rsidR="006E4579" w:rsidRDefault="00000000">
            <w:r>
              <w:rPr>
                <w:rFonts w:ascii="Arial" w:hAnsi="Arial"/>
                <w:sz w:val="18"/>
              </w:rPr>
              <w:t>Difference (Location - Market)</w:t>
            </w:r>
          </w:p>
        </w:tc>
        <w:tc>
          <w:tcPr>
            <w:tcW w:w="1806" w:type="dxa"/>
          </w:tcPr>
          <w:p w14:paraId="269B048B" w14:textId="77777777" w:rsidR="006E4579" w:rsidRDefault="00000000">
            <w:pPr>
              <w:jc w:val="right"/>
            </w:pPr>
            <w:r>
              <w:rPr>
                <w:rFonts w:ascii="Arial" w:hAnsi="Arial"/>
                <w:sz w:val="18"/>
              </w:rPr>
              <w:t>1.358</w:t>
            </w:r>
          </w:p>
        </w:tc>
        <w:tc>
          <w:tcPr>
            <w:tcW w:w="1806" w:type="dxa"/>
          </w:tcPr>
          <w:p w14:paraId="240A1261" w14:textId="77777777" w:rsidR="006E4579" w:rsidRDefault="00000000">
            <w:pPr>
              <w:jc w:val="right"/>
            </w:pPr>
            <w:r>
              <w:rPr>
                <w:rFonts w:ascii="Arial" w:hAnsi="Arial"/>
                <w:sz w:val="18"/>
              </w:rPr>
              <w:t>1.322</w:t>
            </w:r>
          </w:p>
        </w:tc>
        <w:tc>
          <w:tcPr>
            <w:tcW w:w="1806" w:type="dxa"/>
          </w:tcPr>
          <w:p w14:paraId="316FCA76" w14:textId="77777777" w:rsidR="006E4579" w:rsidRDefault="00000000">
            <w:pPr>
              <w:jc w:val="right"/>
            </w:pPr>
            <w:r>
              <w:rPr>
                <w:rFonts w:ascii="Arial" w:hAnsi="Arial"/>
                <w:sz w:val="18"/>
              </w:rPr>
              <w:t>+0.036</w:t>
            </w:r>
          </w:p>
        </w:tc>
        <w:tc>
          <w:tcPr>
            <w:tcW w:w="1806" w:type="dxa"/>
          </w:tcPr>
          <w:p w14:paraId="28B6E5B0" w14:textId="77777777" w:rsidR="006E4579" w:rsidRDefault="00000000">
            <w:pPr>
              <w:jc w:val="right"/>
            </w:pPr>
            <w:r>
              <w:rPr>
                <w:rFonts w:ascii="Arial" w:hAnsi="Arial"/>
                <w:sz w:val="18"/>
              </w:rPr>
              <w:t>+2.72%</w:t>
            </w:r>
          </w:p>
        </w:tc>
      </w:tr>
    </w:tbl>
    <w:p w14:paraId="2257BF51" w14:textId="77777777" w:rsidR="006E4579" w:rsidRDefault="00000000">
      <w:r>
        <w:rPr>
          <w:rFonts w:ascii="Arial" w:hAnsi="Arial"/>
          <w:i/>
          <w:sz w:val="16"/>
        </w:rPr>
        <w:lastRenderedPageBreak/>
        <w:t>Source: Source: Internal GHG accounting system. Grid emission factor: PLN 2023 (0.7886 kgCO₂/kWh). Organizational boundary: Operational control.</w:t>
      </w:r>
    </w:p>
    <w:p w14:paraId="1B533B8D" w14:textId="77777777" w:rsidR="006E4579" w:rsidRDefault="006E4579"/>
    <w:p w14:paraId="632061BE" w14:textId="77777777" w:rsidR="006E4579" w:rsidRDefault="00000000">
      <w:r>
        <w:rPr>
          <w:rFonts w:ascii="Arial" w:hAnsi="Arial"/>
          <w:b/>
          <w:sz w:val="20"/>
        </w:rPr>
        <w:t>Table 22: Table 1.2.2: Framework Cross-Reference — Scope 2 Disclosure Compliance</w:t>
      </w:r>
    </w:p>
    <w:tbl>
      <w:tblPr>
        <w:tblW w:w="0" w:type="auto"/>
        <w:jc w:val="center"/>
        <w:tblLook w:val="04A0" w:firstRow="1" w:lastRow="0" w:firstColumn="1" w:lastColumn="0" w:noHBand="0" w:noVBand="1"/>
      </w:tblPr>
      <w:tblGrid>
        <w:gridCol w:w="2257"/>
        <w:gridCol w:w="2257"/>
        <w:gridCol w:w="2257"/>
        <w:gridCol w:w="2257"/>
      </w:tblGrid>
      <w:tr w:rsidR="006E4579" w14:paraId="0F57B6FD" w14:textId="77777777">
        <w:trPr>
          <w:jc w:val="center"/>
        </w:trPr>
        <w:tc>
          <w:tcPr>
            <w:tcW w:w="2257" w:type="dxa"/>
            <w:shd w:val="clear" w:color="auto" w:fill="1B3A6B"/>
          </w:tcPr>
          <w:p w14:paraId="6C52A7D6" w14:textId="77777777" w:rsidR="006E4579" w:rsidRDefault="00000000">
            <w:r>
              <w:rPr>
                <w:rFonts w:ascii="Arial" w:hAnsi="Arial"/>
                <w:b/>
                <w:color w:val="FFFFFF"/>
                <w:sz w:val="18"/>
              </w:rPr>
              <w:t>Framework</w:t>
            </w:r>
          </w:p>
        </w:tc>
        <w:tc>
          <w:tcPr>
            <w:tcW w:w="2257" w:type="dxa"/>
            <w:shd w:val="clear" w:color="auto" w:fill="1B3A6B"/>
          </w:tcPr>
          <w:p w14:paraId="39FDB993" w14:textId="77777777" w:rsidR="006E4579" w:rsidRDefault="00000000">
            <w:r>
              <w:rPr>
                <w:rFonts w:ascii="Arial" w:hAnsi="Arial"/>
                <w:b/>
                <w:color w:val="FFFFFF"/>
                <w:sz w:val="18"/>
              </w:rPr>
              <w:t>Disclosure Reference</w:t>
            </w:r>
          </w:p>
        </w:tc>
        <w:tc>
          <w:tcPr>
            <w:tcW w:w="2257" w:type="dxa"/>
            <w:shd w:val="clear" w:color="auto" w:fill="1B3A6B"/>
          </w:tcPr>
          <w:p w14:paraId="55C5078E" w14:textId="77777777" w:rsidR="006E4579" w:rsidRDefault="00000000">
            <w:r>
              <w:rPr>
                <w:rFonts w:ascii="Arial" w:hAnsi="Arial"/>
                <w:b/>
                <w:color w:val="FFFFFF"/>
                <w:sz w:val="18"/>
              </w:rPr>
              <w:t>Requirement</w:t>
            </w:r>
          </w:p>
        </w:tc>
        <w:tc>
          <w:tcPr>
            <w:tcW w:w="2257" w:type="dxa"/>
            <w:shd w:val="clear" w:color="auto" w:fill="1B3A6B"/>
          </w:tcPr>
          <w:p w14:paraId="02BFB38C" w14:textId="77777777" w:rsidR="006E4579" w:rsidRDefault="00000000">
            <w:r>
              <w:rPr>
                <w:rFonts w:ascii="Arial" w:hAnsi="Arial"/>
                <w:b/>
                <w:color w:val="FFFFFF"/>
                <w:sz w:val="18"/>
              </w:rPr>
              <w:t>Status</w:t>
            </w:r>
          </w:p>
        </w:tc>
      </w:tr>
      <w:tr w:rsidR="006E4579" w14:paraId="3E7BEBD0" w14:textId="77777777">
        <w:trPr>
          <w:jc w:val="center"/>
        </w:trPr>
        <w:tc>
          <w:tcPr>
            <w:tcW w:w="2257" w:type="dxa"/>
          </w:tcPr>
          <w:p w14:paraId="3313B313" w14:textId="77777777" w:rsidR="006E4579" w:rsidRDefault="00000000">
            <w:r>
              <w:rPr>
                <w:rFonts w:ascii="Arial" w:hAnsi="Arial"/>
                <w:sz w:val="18"/>
              </w:rPr>
              <w:t>GRI 305-2</w:t>
            </w:r>
          </w:p>
        </w:tc>
        <w:tc>
          <w:tcPr>
            <w:tcW w:w="2257" w:type="dxa"/>
          </w:tcPr>
          <w:p w14:paraId="15C99BFF" w14:textId="77777777" w:rsidR="006E4579" w:rsidRDefault="00000000">
            <w:r>
              <w:rPr>
                <w:rFonts w:ascii="Arial" w:hAnsi="Arial"/>
                <w:sz w:val="18"/>
              </w:rPr>
              <w:t>305-2a</w:t>
            </w:r>
          </w:p>
        </w:tc>
        <w:tc>
          <w:tcPr>
            <w:tcW w:w="2257" w:type="dxa"/>
          </w:tcPr>
          <w:p w14:paraId="72725309" w14:textId="77777777" w:rsidR="006E4579" w:rsidRDefault="00000000">
            <w:r>
              <w:rPr>
                <w:rFonts w:ascii="Arial" w:hAnsi="Arial"/>
                <w:sz w:val="18"/>
              </w:rPr>
              <w:t>Gross location-based Scope 2 GHG emissions in metric tons of CO₂ equivalent</w:t>
            </w:r>
          </w:p>
        </w:tc>
        <w:tc>
          <w:tcPr>
            <w:tcW w:w="2257" w:type="dxa"/>
          </w:tcPr>
          <w:p w14:paraId="26E87276" w14:textId="77777777" w:rsidR="006E4579" w:rsidRDefault="00000000">
            <w:r>
              <w:rPr>
                <w:rFonts w:ascii="Arial" w:hAnsi="Arial"/>
                <w:sz w:val="18"/>
              </w:rPr>
              <w:t>✅ Disclosed</w:t>
            </w:r>
          </w:p>
        </w:tc>
      </w:tr>
      <w:tr w:rsidR="006E4579" w14:paraId="239E872E" w14:textId="77777777">
        <w:trPr>
          <w:jc w:val="center"/>
        </w:trPr>
        <w:tc>
          <w:tcPr>
            <w:tcW w:w="2257" w:type="dxa"/>
            <w:shd w:val="clear" w:color="auto" w:fill="F2F6FC"/>
          </w:tcPr>
          <w:p w14:paraId="33126753" w14:textId="77777777" w:rsidR="006E4579" w:rsidRDefault="00000000">
            <w:r>
              <w:rPr>
                <w:rFonts w:ascii="Arial" w:hAnsi="Arial"/>
                <w:sz w:val="18"/>
              </w:rPr>
              <w:t>GRI 305-2</w:t>
            </w:r>
          </w:p>
        </w:tc>
        <w:tc>
          <w:tcPr>
            <w:tcW w:w="2257" w:type="dxa"/>
            <w:shd w:val="clear" w:color="auto" w:fill="F2F6FC"/>
          </w:tcPr>
          <w:p w14:paraId="6412B00B" w14:textId="77777777" w:rsidR="006E4579" w:rsidRDefault="00000000">
            <w:r>
              <w:rPr>
                <w:rFonts w:ascii="Arial" w:hAnsi="Arial"/>
                <w:sz w:val="18"/>
              </w:rPr>
              <w:t>305-2b</w:t>
            </w:r>
          </w:p>
        </w:tc>
        <w:tc>
          <w:tcPr>
            <w:tcW w:w="2257" w:type="dxa"/>
            <w:shd w:val="clear" w:color="auto" w:fill="F2F6FC"/>
          </w:tcPr>
          <w:p w14:paraId="3BF88E7B" w14:textId="77777777" w:rsidR="006E4579" w:rsidRDefault="00000000">
            <w:r>
              <w:rPr>
                <w:rFonts w:ascii="Arial" w:hAnsi="Arial"/>
                <w:sz w:val="18"/>
              </w:rPr>
              <w:t>Gross market-based Scope 2 GHG emissions in metric tons of CO₂ equivalent</w:t>
            </w:r>
          </w:p>
        </w:tc>
        <w:tc>
          <w:tcPr>
            <w:tcW w:w="2257" w:type="dxa"/>
            <w:shd w:val="clear" w:color="auto" w:fill="F2F6FC"/>
          </w:tcPr>
          <w:p w14:paraId="497EE185" w14:textId="77777777" w:rsidR="006E4579" w:rsidRDefault="00000000">
            <w:r>
              <w:rPr>
                <w:rFonts w:ascii="Arial" w:hAnsi="Arial"/>
                <w:sz w:val="18"/>
              </w:rPr>
              <w:t>✅ Disclosed</w:t>
            </w:r>
          </w:p>
        </w:tc>
      </w:tr>
      <w:tr w:rsidR="006E4579" w14:paraId="0CDFA983" w14:textId="77777777">
        <w:trPr>
          <w:jc w:val="center"/>
        </w:trPr>
        <w:tc>
          <w:tcPr>
            <w:tcW w:w="2257" w:type="dxa"/>
          </w:tcPr>
          <w:p w14:paraId="13B4BDB7" w14:textId="77777777" w:rsidR="006E4579" w:rsidRDefault="00000000">
            <w:r>
              <w:rPr>
                <w:rFonts w:ascii="Arial" w:hAnsi="Arial"/>
                <w:sz w:val="18"/>
              </w:rPr>
              <w:t>GRI 305-2</w:t>
            </w:r>
          </w:p>
        </w:tc>
        <w:tc>
          <w:tcPr>
            <w:tcW w:w="2257" w:type="dxa"/>
          </w:tcPr>
          <w:p w14:paraId="17DECC55" w14:textId="77777777" w:rsidR="006E4579" w:rsidRDefault="00000000">
            <w:r>
              <w:rPr>
                <w:rFonts w:ascii="Arial" w:hAnsi="Arial"/>
                <w:sz w:val="18"/>
              </w:rPr>
              <w:t>305-2c</w:t>
            </w:r>
          </w:p>
        </w:tc>
        <w:tc>
          <w:tcPr>
            <w:tcW w:w="2257" w:type="dxa"/>
          </w:tcPr>
          <w:p w14:paraId="59518ADB" w14:textId="77777777" w:rsidR="006E4579" w:rsidRDefault="00000000">
            <w:r>
              <w:rPr>
                <w:rFonts w:ascii="Arial" w:hAnsi="Arial"/>
                <w:sz w:val="18"/>
              </w:rPr>
              <w:t>Gases included in the calculation (CO₂, CH₄, N₂O, HFCs, PFCs, SF₆, NF₃)</w:t>
            </w:r>
          </w:p>
        </w:tc>
        <w:tc>
          <w:tcPr>
            <w:tcW w:w="2257" w:type="dxa"/>
          </w:tcPr>
          <w:p w14:paraId="2848D352" w14:textId="77777777" w:rsidR="006E4579" w:rsidRDefault="00000000">
            <w:r>
              <w:rPr>
                <w:rFonts w:ascii="Arial" w:hAnsi="Arial"/>
                <w:sz w:val="18"/>
              </w:rPr>
              <w:t>✅ Disclosed (CO₂ only)</w:t>
            </w:r>
          </w:p>
        </w:tc>
      </w:tr>
      <w:tr w:rsidR="006E4579" w14:paraId="297DAD4D" w14:textId="77777777">
        <w:trPr>
          <w:jc w:val="center"/>
        </w:trPr>
        <w:tc>
          <w:tcPr>
            <w:tcW w:w="2257" w:type="dxa"/>
            <w:shd w:val="clear" w:color="auto" w:fill="F2F6FC"/>
          </w:tcPr>
          <w:p w14:paraId="7B76CD52" w14:textId="77777777" w:rsidR="006E4579" w:rsidRDefault="00000000">
            <w:r>
              <w:rPr>
                <w:rFonts w:ascii="Arial" w:hAnsi="Arial"/>
                <w:sz w:val="18"/>
              </w:rPr>
              <w:t>GRI 305-2</w:t>
            </w:r>
          </w:p>
        </w:tc>
        <w:tc>
          <w:tcPr>
            <w:tcW w:w="2257" w:type="dxa"/>
            <w:shd w:val="clear" w:color="auto" w:fill="F2F6FC"/>
          </w:tcPr>
          <w:p w14:paraId="17AFAE9D" w14:textId="77777777" w:rsidR="006E4579" w:rsidRDefault="00000000">
            <w:r>
              <w:rPr>
                <w:rFonts w:ascii="Arial" w:hAnsi="Arial"/>
                <w:sz w:val="18"/>
              </w:rPr>
              <w:t>305-2d</w:t>
            </w:r>
          </w:p>
        </w:tc>
        <w:tc>
          <w:tcPr>
            <w:tcW w:w="2257" w:type="dxa"/>
            <w:shd w:val="clear" w:color="auto" w:fill="F2F6FC"/>
          </w:tcPr>
          <w:p w14:paraId="49CA7F32" w14:textId="77777777" w:rsidR="006E4579" w:rsidRDefault="00000000">
            <w:r>
              <w:rPr>
                <w:rFonts w:ascii="Arial" w:hAnsi="Arial"/>
                <w:sz w:val="18"/>
              </w:rPr>
              <w:t>Base year for calculation, if applicable</w:t>
            </w:r>
          </w:p>
        </w:tc>
        <w:tc>
          <w:tcPr>
            <w:tcW w:w="2257" w:type="dxa"/>
            <w:shd w:val="clear" w:color="auto" w:fill="F2F6FC"/>
          </w:tcPr>
          <w:p w14:paraId="787E89E9" w14:textId="77777777" w:rsidR="006E4579" w:rsidRDefault="00000000">
            <w:r>
              <w:rPr>
                <w:rFonts w:ascii="Arial" w:hAnsi="Arial"/>
                <w:sz w:val="18"/>
              </w:rPr>
              <w:t>⚠️ Not disclosed (no base year set)</w:t>
            </w:r>
          </w:p>
        </w:tc>
      </w:tr>
      <w:tr w:rsidR="006E4579" w14:paraId="1B67F166" w14:textId="77777777">
        <w:trPr>
          <w:jc w:val="center"/>
        </w:trPr>
        <w:tc>
          <w:tcPr>
            <w:tcW w:w="2257" w:type="dxa"/>
          </w:tcPr>
          <w:p w14:paraId="556E2DFA" w14:textId="77777777" w:rsidR="006E4579" w:rsidRDefault="00000000">
            <w:r>
              <w:rPr>
                <w:rFonts w:ascii="Arial" w:hAnsi="Arial"/>
                <w:sz w:val="18"/>
              </w:rPr>
              <w:t>GRI 305-2</w:t>
            </w:r>
          </w:p>
        </w:tc>
        <w:tc>
          <w:tcPr>
            <w:tcW w:w="2257" w:type="dxa"/>
          </w:tcPr>
          <w:p w14:paraId="7EE6A2D6" w14:textId="77777777" w:rsidR="006E4579" w:rsidRDefault="00000000">
            <w:r>
              <w:rPr>
                <w:rFonts w:ascii="Arial" w:hAnsi="Arial"/>
                <w:sz w:val="18"/>
              </w:rPr>
              <w:t>305-2e</w:t>
            </w:r>
          </w:p>
        </w:tc>
        <w:tc>
          <w:tcPr>
            <w:tcW w:w="2257" w:type="dxa"/>
          </w:tcPr>
          <w:p w14:paraId="7101F5D5" w14:textId="77777777" w:rsidR="006E4579" w:rsidRDefault="00000000">
            <w:r>
              <w:rPr>
                <w:rFonts w:ascii="Arial" w:hAnsi="Arial"/>
                <w:sz w:val="18"/>
              </w:rPr>
              <w:t>Source of emission factors and global warming potential rates used</w:t>
            </w:r>
          </w:p>
        </w:tc>
        <w:tc>
          <w:tcPr>
            <w:tcW w:w="2257" w:type="dxa"/>
          </w:tcPr>
          <w:p w14:paraId="7340E396" w14:textId="77777777" w:rsidR="006E4579" w:rsidRDefault="00000000">
            <w:r>
              <w:rPr>
                <w:rFonts w:ascii="Arial" w:hAnsi="Arial"/>
                <w:sz w:val="18"/>
              </w:rPr>
              <w:t>✅ Disclosed (PLN 2023)</w:t>
            </w:r>
          </w:p>
        </w:tc>
      </w:tr>
      <w:tr w:rsidR="006E4579" w14:paraId="4CA60E52" w14:textId="77777777">
        <w:trPr>
          <w:jc w:val="center"/>
        </w:trPr>
        <w:tc>
          <w:tcPr>
            <w:tcW w:w="2257" w:type="dxa"/>
            <w:shd w:val="clear" w:color="auto" w:fill="F2F6FC"/>
          </w:tcPr>
          <w:p w14:paraId="7DA48BED" w14:textId="77777777" w:rsidR="006E4579" w:rsidRDefault="00000000">
            <w:r>
              <w:rPr>
                <w:rFonts w:ascii="Arial" w:hAnsi="Arial"/>
                <w:sz w:val="18"/>
              </w:rPr>
              <w:t>GRI 305-2</w:t>
            </w:r>
          </w:p>
        </w:tc>
        <w:tc>
          <w:tcPr>
            <w:tcW w:w="2257" w:type="dxa"/>
            <w:shd w:val="clear" w:color="auto" w:fill="F2F6FC"/>
          </w:tcPr>
          <w:p w14:paraId="2C98F3F1" w14:textId="77777777" w:rsidR="006E4579" w:rsidRDefault="00000000">
            <w:r>
              <w:rPr>
                <w:rFonts w:ascii="Arial" w:hAnsi="Arial"/>
                <w:sz w:val="18"/>
              </w:rPr>
              <w:t>305-2f</w:t>
            </w:r>
          </w:p>
        </w:tc>
        <w:tc>
          <w:tcPr>
            <w:tcW w:w="2257" w:type="dxa"/>
            <w:shd w:val="clear" w:color="auto" w:fill="F2F6FC"/>
          </w:tcPr>
          <w:p w14:paraId="02D32D4F" w14:textId="77777777" w:rsidR="006E4579" w:rsidRDefault="00000000">
            <w:r>
              <w:rPr>
                <w:rFonts w:ascii="Arial" w:hAnsi="Arial"/>
                <w:sz w:val="18"/>
              </w:rPr>
              <w:t>Consolidation approach for emissions (equity share, financial control, operational control)</w:t>
            </w:r>
          </w:p>
        </w:tc>
        <w:tc>
          <w:tcPr>
            <w:tcW w:w="2257" w:type="dxa"/>
            <w:shd w:val="clear" w:color="auto" w:fill="F2F6FC"/>
          </w:tcPr>
          <w:p w14:paraId="7A7DF17C" w14:textId="77777777" w:rsidR="006E4579" w:rsidRDefault="00000000">
            <w:r>
              <w:rPr>
                <w:rFonts w:ascii="Arial" w:hAnsi="Arial"/>
                <w:sz w:val="18"/>
              </w:rPr>
              <w:t>✅ Disclosed (operational control)</w:t>
            </w:r>
          </w:p>
        </w:tc>
      </w:tr>
      <w:tr w:rsidR="006E4579" w14:paraId="14716B6D" w14:textId="77777777">
        <w:trPr>
          <w:jc w:val="center"/>
        </w:trPr>
        <w:tc>
          <w:tcPr>
            <w:tcW w:w="2257" w:type="dxa"/>
          </w:tcPr>
          <w:p w14:paraId="19803C54" w14:textId="77777777" w:rsidR="006E4579" w:rsidRDefault="00000000">
            <w:r>
              <w:rPr>
                <w:rFonts w:ascii="Arial" w:hAnsi="Arial"/>
                <w:sz w:val="18"/>
              </w:rPr>
              <w:t>GRI 305-2</w:t>
            </w:r>
          </w:p>
        </w:tc>
        <w:tc>
          <w:tcPr>
            <w:tcW w:w="2257" w:type="dxa"/>
          </w:tcPr>
          <w:p w14:paraId="67972281" w14:textId="77777777" w:rsidR="006E4579" w:rsidRDefault="00000000">
            <w:r>
              <w:rPr>
                <w:rFonts w:ascii="Arial" w:hAnsi="Arial"/>
                <w:sz w:val="18"/>
              </w:rPr>
              <w:t>305-2g</w:t>
            </w:r>
          </w:p>
        </w:tc>
        <w:tc>
          <w:tcPr>
            <w:tcW w:w="2257" w:type="dxa"/>
          </w:tcPr>
          <w:p w14:paraId="2C138D59" w14:textId="77777777" w:rsidR="006E4579" w:rsidRDefault="00000000">
            <w:r>
              <w:rPr>
                <w:rFonts w:ascii="Arial" w:hAnsi="Arial"/>
                <w:sz w:val="18"/>
              </w:rPr>
              <w:t>Standards, methodologies, assumptions, and/or calculation tools used</w:t>
            </w:r>
          </w:p>
        </w:tc>
        <w:tc>
          <w:tcPr>
            <w:tcW w:w="2257" w:type="dxa"/>
          </w:tcPr>
          <w:p w14:paraId="05226B0C" w14:textId="77777777" w:rsidR="006E4579" w:rsidRDefault="00000000">
            <w:r>
              <w:rPr>
                <w:rFonts w:ascii="Arial" w:hAnsi="Arial"/>
                <w:sz w:val="18"/>
              </w:rPr>
              <w:t>✅ Disclosed (GHG Protocol Scope 2 Guidance 2015)</w:t>
            </w:r>
          </w:p>
        </w:tc>
      </w:tr>
      <w:tr w:rsidR="006E4579" w14:paraId="5A85D167" w14:textId="77777777">
        <w:trPr>
          <w:jc w:val="center"/>
        </w:trPr>
        <w:tc>
          <w:tcPr>
            <w:tcW w:w="2257" w:type="dxa"/>
            <w:shd w:val="clear" w:color="auto" w:fill="F2F6FC"/>
          </w:tcPr>
          <w:p w14:paraId="5E32F3B0" w14:textId="77777777" w:rsidR="006E4579" w:rsidRDefault="00000000">
            <w:r>
              <w:rPr>
                <w:rFonts w:ascii="Arial" w:hAnsi="Arial"/>
                <w:sz w:val="18"/>
              </w:rPr>
              <w:t>IFRS S2</w:t>
            </w:r>
          </w:p>
        </w:tc>
        <w:tc>
          <w:tcPr>
            <w:tcW w:w="2257" w:type="dxa"/>
            <w:shd w:val="clear" w:color="auto" w:fill="F2F6FC"/>
          </w:tcPr>
          <w:p w14:paraId="63BB7E87" w14:textId="77777777" w:rsidR="006E4579" w:rsidRDefault="00000000">
            <w:r>
              <w:rPr>
                <w:rFonts w:ascii="Arial" w:hAnsi="Arial"/>
                <w:sz w:val="18"/>
              </w:rPr>
              <w:t>Para 29(a)(ii)</w:t>
            </w:r>
          </w:p>
        </w:tc>
        <w:tc>
          <w:tcPr>
            <w:tcW w:w="2257" w:type="dxa"/>
            <w:shd w:val="clear" w:color="auto" w:fill="F2F6FC"/>
          </w:tcPr>
          <w:p w14:paraId="2AF1E7D9" w14:textId="77777777" w:rsidR="006E4579" w:rsidRDefault="00000000">
            <w:r>
              <w:rPr>
                <w:rFonts w:ascii="Arial" w:hAnsi="Arial"/>
                <w:sz w:val="18"/>
              </w:rPr>
              <w:t>Absolute gross Scope 2 GHG emissions</w:t>
            </w:r>
          </w:p>
        </w:tc>
        <w:tc>
          <w:tcPr>
            <w:tcW w:w="2257" w:type="dxa"/>
            <w:shd w:val="clear" w:color="auto" w:fill="F2F6FC"/>
          </w:tcPr>
          <w:p w14:paraId="1D582B67" w14:textId="77777777" w:rsidR="006E4579" w:rsidRDefault="00000000">
            <w:r>
              <w:rPr>
                <w:rFonts w:ascii="Arial" w:hAnsi="Arial"/>
                <w:sz w:val="18"/>
              </w:rPr>
              <w:t>✅ Disclosed (both methods)</w:t>
            </w:r>
          </w:p>
        </w:tc>
      </w:tr>
      <w:tr w:rsidR="006E4579" w14:paraId="5EED9B83" w14:textId="77777777">
        <w:trPr>
          <w:jc w:val="center"/>
        </w:trPr>
        <w:tc>
          <w:tcPr>
            <w:tcW w:w="2257" w:type="dxa"/>
          </w:tcPr>
          <w:p w14:paraId="5ABF4517" w14:textId="77777777" w:rsidR="006E4579" w:rsidRDefault="00000000">
            <w:r>
              <w:rPr>
                <w:rFonts w:ascii="Arial" w:hAnsi="Arial"/>
                <w:sz w:val="18"/>
              </w:rPr>
              <w:t>ESRS E1</w:t>
            </w:r>
          </w:p>
        </w:tc>
        <w:tc>
          <w:tcPr>
            <w:tcW w:w="2257" w:type="dxa"/>
          </w:tcPr>
          <w:p w14:paraId="76CA7A0A" w14:textId="77777777" w:rsidR="006E4579" w:rsidRDefault="00000000">
            <w:r>
              <w:rPr>
                <w:rFonts w:ascii="Arial" w:hAnsi="Arial"/>
                <w:sz w:val="18"/>
              </w:rPr>
              <w:t>DR E1-6.46</w:t>
            </w:r>
          </w:p>
        </w:tc>
        <w:tc>
          <w:tcPr>
            <w:tcW w:w="2257" w:type="dxa"/>
          </w:tcPr>
          <w:p w14:paraId="50B8C70B" w14:textId="77777777" w:rsidR="006E4579" w:rsidRDefault="00000000">
            <w:r>
              <w:rPr>
                <w:rFonts w:ascii="Arial" w:hAnsi="Arial"/>
                <w:sz w:val="18"/>
              </w:rPr>
              <w:t>Gross location-based and market-based Scope 2 GHG emissions</w:t>
            </w:r>
          </w:p>
        </w:tc>
        <w:tc>
          <w:tcPr>
            <w:tcW w:w="2257" w:type="dxa"/>
          </w:tcPr>
          <w:p w14:paraId="5BB8E31C" w14:textId="77777777" w:rsidR="006E4579" w:rsidRDefault="00000000">
            <w:r>
              <w:rPr>
                <w:rFonts w:ascii="Arial" w:hAnsi="Arial"/>
                <w:sz w:val="18"/>
              </w:rPr>
              <w:t>✅ Disclosed</w:t>
            </w:r>
          </w:p>
        </w:tc>
      </w:tr>
      <w:tr w:rsidR="006E4579" w14:paraId="751DE92F" w14:textId="77777777">
        <w:trPr>
          <w:jc w:val="center"/>
        </w:trPr>
        <w:tc>
          <w:tcPr>
            <w:tcW w:w="2257" w:type="dxa"/>
            <w:shd w:val="clear" w:color="auto" w:fill="F2F6FC"/>
          </w:tcPr>
          <w:p w14:paraId="5C73D179" w14:textId="77777777" w:rsidR="006E4579" w:rsidRDefault="00000000">
            <w:r>
              <w:rPr>
                <w:rFonts w:ascii="Arial" w:hAnsi="Arial"/>
                <w:sz w:val="18"/>
              </w:rPr>
              <w:t>OJK PSPK</w:t>
            </w:r>
          </w:p>
        </w:tc>
        <w:tc>
          <w:tcPr>
            <w:tcW w:w="2257" w:type="dxa"/>
            <w:shd w:val="clear" w:color="auto" w:fill="F2F6FC"/>
          </w:tcPr>
          <w:p w14:paraId="6237E379" w14:textId="77777777" w:rsidR="006E4579" w:rsidRDefault="00000000">
            <w:r>
              <w:rPr>
                <w:rFonts w:ascii="Arial" w:hAnsi="Arial"/>
                <w:sz w:val="18"/>
              </w:rPr>
              <w:t>Emisi Lingkup 2</w:t>
            </w:r>
          </w:p>
        </w:tc>
        <w:tc>
          <w:tcPr>
            <w:tcW w:w="2257" w:type="dxa"/>
            <w:shd w:val="clear" w:color="auto" w:fill="F2F6FC"/>
          </w:tcPr>
          <w:p w14:paraId="151E94F7" w14:textId="77777777" w:rsidR="006E4579" w:rsidRDefault="00000000">
            <w:r>
              <w:rPr>
                <w:rFonts w:ascii="Arial" w:hAnsi="Arial"/>
                <w:sz w:val="18"/>
              </w:rPr>
              <w:t>Emisi GRK tidak langsung dari energi yang dibeli</w:t>
            </w:r>
          </w:p>
        </w:tc>
        <w:tc>
          <w:tcPr>
            <w:tcW w:w="2257" w:type="dxa"/>
            <w:shd w:val="clear" w:color="auto" w:fill="F2F6FC"/>
          </w:tcPr>
          <w:p w14:paraId="514592CF" w14:textId="77777777" w:rsidR="006E4579" w:rsidRDefault="00000000">
            <w:r>
              <w:rPr>
                <w:rFonts w:ascii="Arial" w:hAnsi="Arial"/>
                <w:sz w:val="18"/>
              </w:rPr>
              <w:t>✅ Disclosed</w:t>
            </w:r>
          </w:p>
        </w:tc>
      </w:tr>
    </w:tbl>
    <w:p w14:paraId="1787B60C" w14:textId="77777777" w:rsidR="006E4579" w:rsidRDefault="00000000">
      <w:r>
        <w:rPr>
          <w:rFonts w:ascii="Arial" w:hAnsi="Arial"/>
          <w:i/>
          <w:sz w:val="16"/>
        </w:rPr>
        <w:t>Source: Framework compliance assessment as of reporting period end (December 31, 2024).</w:t>
      </w:r>
    </w:p>
    <w:p w14:paraId="4C5FBB82" w14:textId="77777777" w:rsidR="006E4579" w:rsidRDefault="006E4579"/>
    <w:p w14:paraId="0FA93934" w14:textId="77777777" w:rsidR="006E4579" w:rsidRDefault="006E4579"/>
    <w:p w14:paraId="6A044499" w14:textId="77777777" w:rsidR="006E4579" w:rsidRDefault="00000000">
      <w:r>
        <w:rPr>
          <w:noProof/>
        </w:rPr>
        <w:lastRenderedPageBreak/>
        <w:drawing>
          <wp:inline distT="0" distB="0" distL="0" distR="0" wp14:anchorId="7DD3598B" wp14:editId="301F2760">
            <wp:extent cx="5029200" cy="32338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3233841"/>
                    </a:xfrm>
                    <a:prstGeom prst="rect">
                      <a:avLst/>
                    </a:prstGeom>
                  </pic:spPr>
                </pic:pic>
              </a:graphicData>
            </a:graphic>
          </wp:inline>
        </w:drawing>
      </w:r>
    </w:p>
    <w:p w14:paraId="40C89113" w14:textId="77777777" w:rsidR="006E4579" w:rsidRDefault="00000000">
      <w:pPr>
        <w:jc w:val="center"/>
      </w:pPr>
      <w:r>
        <w:rPr>
          <w:i/>
          <w:color w:val="666666"/>
          <w:sz w:val="18"/>
        </w:rPr>
        <w:t>Figure 8: Scope 2 Emissions: Location-Based vs Market-Based (2023-2024)</w:t>
      </w:r>
    </w:p>
    <w:p w14:paraId="69726A87" w14:textId="77777777" w:rsidR="006E4579" w:rsidRDefault="00000000">
      <w:pPr>
        <w:jc w:val="center"/>
      </w:pPr>
      <w:r>
        <w:rPr>
          <w:i/>
          <w:color w:val="757575"/>
          <w:sz w:val="18"/>
        </w:rPr>
        <w:t>Minimal gap antara location dan market method (1.358 tCO₂e, 0.003%) menunjukkan hampir tidak ada renewable procurement — primary opportunity untuk dekarbonisasi Scope 2</w:t>
      </w:r>
    </w:p>
    <w:p w14:paraId="656DBB12" w14:textId="77777777" w:rsidR="006E4579" w:rsidRDefault="006E4579"/>
    <w:p w14:paraId="3DAE8F4F" w14:textId="77777777" w:rsidR="006E4579" w:rsidRDefault="00000000">
      <w:r>
        <w:rPr>
          <w:noProof/>
        </w:rPr>
        <w:drawing>
          <wp:inline distT="0" distB="0" distL="0" distR="0" wp14:anchorId="36366DB6" wp14:editId="611B9ECE">
            <wp:extent cx="5029200" cy="33320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3332057"/>
                    </a:xfrm>
                    <a:prstGeom prst="rect">
                      <a:avLst/>
                    </a:prstGeom>
                  </pic:spPr>
                </pic:pic>
              </a:graphicData>
            </a:graphic>
          </wp:inline>
        </w:drawing>
      </w:r>
    </w:p>
    <w:p w14:paraId="6CBCA782" w14:textId="77777777" w:rsidR="006E4579" w:rsidRDefault="00000000">
      <w:pPr>
        <w:jc w:val="center"/>
      </w:pPr>
      <w:r>
        <w:rPr>
          <w:i/>
          <w:color w:val="666666"/>
          <w:sz w:val="18"/>
        </w:rPr>
        <w:t>Figure 9: Scope 2 Emissions Intensity per FTE (2023-2024)</w:t>
      </w:r>
    </w:p>
    <w:p w14:paraId="1C730FF4" w14:textId="77777777" w:rsidR="006E4579" w:rsidRDefault="00000000">
      <w:pPr>
        <w:jc w:val="center"/>
      </w:pPr>
      <w:r>
        <w:rPr>
          <w:i/>
          <w:color w:val="757575"/>
          <w:sz w:val="18"/>
        </w:rPr>
        <w:t>Intensitas turun 1.92% dari 1.820 ke 1.785 tCO₂e/FTE — driven by headcount growth (2.03%), bukan energy efficiency aktual. Perlu program efisiensi terstruktur untuk sustain improvement.</w:t>
      </w:r>
    </w:p>
    <w:p w14:paraId="0537C282" w14:textId="77777777" w:rsidR="006E4579" w:rsidRDefault="006E4579"/>
    <w:p w14:paraId="472DB7EA" w14:textId="77777777" w:rsidR="006E4579" w:rsidRDefault="00000000">
      <w:r>
        <w:rPr>
          <w:noProof/>
        </w:rPr>
        <w:lastRenderedPageBreak/>
        <w:drawing>
          <wp:inline distT="0" distB="0" distL="0" distR="0" wp14:anchorId="7BA82DCF" wp14:editId="7DF24A64">
            <wp:extent cx="5029200" cy="30696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29200" cy="3069636"/>
                    </a:xfrm>
                    <a:prstGeom prst="rect">
                      <a:avLst/>
                    </a:prstGeom>
                  </pic:spPr>
                </pic:pic>
              </a:graphicData>
            </a:graphic>
          </wp:inline>
        </w:drawing>
      </w:r>
    </w:p>
    <w:p w14:paraId="3FF558CF" w14:textId="77777777" w:rsidR="006E4579" w:rsidRDefault="00000000">
      <w:pPr>
        <w:jc w:val="center"/>
      </w:pPr>
      <w:r>
        <w:rPr>
          <w:i/>
          <w:color w:val="666666"/>
          <w:sz w:val="18"/>
        </w:rPr>
        <w:t>Figure 10: Renewable Electricity Coverage: Institution vs Peers (2024)</w:t>
      </w:r>
    </w:p>
    <w:p w14:paraId="425CDE02" w14:textId="77777777" w:rsidR="006E4579" w:rsidRDefault="00000000">
      <w:pPr>
        <w:jc w:val="center"/>
      </w:pPr>
      <w:r>
        <w:rPr>
          <w:i/>
          <w:color w:val="757575"/>
          <w:sz w:val="18"/>
        </w:rPr>
        <w:t>Institusi tertinggal drastis dengan 0.003% renewable coverage vs DBS 62% dan BRI 19.49% — urgent need untuk renewable procurement strategy</w:t>
      </w:r>
    </w:p>
    <w:tbl>
      <w:tblPr>
        <w:tblW w:w="0" w:type="auto"/>
        <w:jc w:val="center"/>
        <w:tblLook w:val="04A0" w:firstRow="1" w:lastRow="0" w:firstColumn="1" w:lastColumn="0" w:noHBand="0" w:noVBand="1"/>
      </w:tblPr>
      <w:tblGrid>
        <w:gridCol w:w="9029"/>
      </w:tblGrid>
      <w:tr w:rsidR="006E4579" w14:paraId="5FF072A1" w14:textId="77777777">
        <w:trPr>
          <w:jc w:val="center"/>
        </w:trPr>
        <w:tc>
          <w:tcPr>
            <w:tcW w:w="9029" w:type="dxa"/>
            <w:shd w:val="clear" w:color="auto" w:fill="F2F6FA"/>
          </w:tcPr>
          <w:p w14:paraId="7FBDC046" w14:textId="77777777" w:rsidR="006E4579" w:rsidRDefault="00000000">
            <w:r>
              <w:rPr>
                <w:b/>
                <w:color w:val="1B3A6B"/>
                <w:sz w:val="18"/>
              </w:rPr>
              <w:t>📊 DIAGNOSTIC ANALYSIS</w:t>
            </w:r>
          </w:p>
          <w:p w14:paraId="2D863D8F" w14:textId="77777777" w:rsidR="006E4579" w:rsidRDefault="00000000">
            <w:r>
              <w:rPr>
                <w:sz w:val="20"/>
              </w:rPr>
              <w:t>Scope 2 emissions menunjukkan stabilitas relatif dengan pertumbuhan 0.03% year-over-year, namun analisis mendalam mengungkap dua masalah struktural. Pertama, pertumbuhan absolut emisi (14.4 tCO₂e) didorong oleh ekspansi operasional (penambahan cabang dan kapasitas data center) yang tidak diimbangi dengan procurement energi terbarukan. Kedua, gap renewable procurement yang sangat signifikan dibanding peers (0.003% vs 20-62% di peers) menunjukkan tidak adanya strategi dekarbonisasi Scope 2 yang terstruktur. Meskipun intensitas per FTE membaik 1.92%, ini hanya refleksi pertumbuhan headcount, bukan efisiensi energi aktual.</w:t>
            </w:r>
          </w:p>
          <w:p w14:paraId="11F461CE" w14:textId="77777777" w:rsidR="006E4579" w:rsidRDefault="00000000">
            <w:r>
              <w:rPr>
                <w:b/>
                <w:sz w:val="20"/>
              </w:rPr>
              <w:t>Root Causes:</w:t>
            </w:r>
          </w:p>
          <w:p w14:paraId="6758E0EB" w14:textId="77777777" w:rsidR="006E4579" w:rsidRDefault="00000000">
            <w:r>
              <w:rPr>
                <w:sz w:val="18"/>
              </w:rPr>
              <w:t>• Tidak adanya renewable energy procurement strategy atau target time-bound untuk market-based Scope 2 reduction</w:t>
            </w:r>
          </w:p>
          <w:p w14:paraId="57B98357" w14:textId="77777777" w:rsidR="006E4579" w:rsidRDefault="00000000">
            <w:r>
              <w:rPr>
                <w:sz w:val="18"/>
              </w:rPr>
              <w:t>• Ketergantungan 100% pada grid PLN tanpa diversifikasi sumber energi melalui PPA atau on-site generation</w:t>
            </w:r>
          </w:p>
          <w:p w14:paraId="02F096FF" w14:textId="77777777" w:rsidR="006E4579" w:rsidRDefault="00000000">
            <w:r>
              <w:rPr>
                <w:sz w:val="18"/>
              </w:rPr>
              <w:t>• Ekspansi operasional (cabang baru, data center) tidak disertai energy efficiency measures yang memadai</w:t>
            </w:r>
          </w:p>
          <w:p w14:paraId="62DD67D0" w14:textId="77777777" w:rsidR="006E4579" w:rsidRDefault="00000000">
            <w:r>
              <w:rPr>
                <w:sz w:val="18"/>
              </w:rPr>
              <w:t>• Belum ada implementasi program energy management sistematis seperti auto-shutdown, LED retrofit, atau HVAC optimization yang terbukti efektif di peer banks</w:t>
            </w:r>
          </w:p>
          <w:p w14:paraId="62E472BA" w14:textId="77777777" w:rsidR="006E4579" w:rsidRDefault="00000000">
            <w:r>
              <w:rPr>
                <w:b/>
                <w:sz w:val="20"/>
              </w:rPr>
              <w:t>Risk Implications:</w:t>
            </w:r>
          </w:p>
          <w:p w14:paraId="71122415" w14:textId="77777777" w:rsidR="006E4579" w:rsidRDefault="00000000">
            <w:r>
              <w:rPr>
                <w:sz w:val="18"/>
              </w:rPr>
              <w:t>• Regulatory risk: CSRD (berlaku 2026 untuk large undertakings) mensyaratkan disclosure rencana transisi energi terbarukan — institusi belum memiliki roadmap yang credible</w:t>
            </w:r>
          </w:p>
          <w:p w14:paraId="5FFF23A7" w14:textId="77777777" w:rsidR="006E4579" w:rsidRDefault="00000000">
            <w:r>
              <w:rPr>
                <w:sz w:val="18"/>
              </w:rPr>
              <w:t>• Reputational risk: Gap renewable coverage vs peers (DBS 62%, BRI 19.49%) akan semakin terlihat dalam ESG rating dan investor scrutiny, berpotensi menurunkan MSCI/Sustainalytics score</w:t>
            </w:r>
          </w:p>
          <w:p w14:paraId="5A079868" w14:textId="77777777" w:rsidR="006E4579" w:rsidRDefault="00000000">
            <w:r>
              <w:rPr>
                <w:sz w:val="18"/>
              </w:rPr>
              <w:t xml:space="preserve">• Financial risk: Ketergantungan pada grid PLN tanpa hedging melalui PPA membuat institusi vulnerable terhadap </w:t>
            </w:r>
            <w:r>
              <w:rPr>
                <w:sz w:val="18"/>
              </w:rPr>
              <w:lastRenderedPageBreak/>
              <w:t>kenaikan tarif listrik dan carbon pricing mechanism yang sedang dikembangkan pemerintah Indonesia</w:t>
            </w:r>
          </w:p>
          <w:p w14:paraId="706EA658" w14:textId="77777777" w:rsidR="006E4579" w:rsidRDefault="00000000">
            <w:r>
              <w:rPr>
                <w:sz w:val="18"/>
              </w:rPr>
              <w:t>• Competitive disadvantage: Peers yang sudah implement renewable strategy akan memiliki cost advantage jangka panjang dan better positioning untuk green financing opportunities</w:t>
            </w:r>
          </w:p>
        </w:tc>
      </w:tr>
    </w:tbl>
    <w:p w14:paraId="266A83A6" w14:textId="77777777" w:rsidR="006E4579" w:rsidRDefault="006E4579"/>
    <w:p w14:paraId="5F494621" w14:textId="77777777" w:rsidR="006E4579" w:rsidRDefault="006E4579"/>
    <w:p w14:paraId="19143D20" w14:textId="77777777" w:rsidR="006E4579" w:rsidRDefault="00000000">
      <w:r>
        <w:rPr>
          <w:b/>
          <w:color w:val="2E7D32"/>
          <w:sz w:val="24"/>
        </w:rPr>
        <w:t>⚡ Priority Actions</w:t>
      </w:r>
    </w:p>
    <w:p w14:paraId="3879C5FF" w14:textId="77777777" w:rsidR="006E4579" w:rsidRDefault="00000000">
      <w:r>
        <w:rPr>
          <w:b/>
        </w:rPr>
        <w:t>🔴 1. Develop and publish renewable energy procurement roadmap with 2030 target of minimum 30% renewable electricity coverage. Initiate RFP process for renewable energy certificates (I-REC) or power purchase agreements with solar/wind providers. Prioritize long-term PPAs (10-15 years) for cost stability.</w:t>
      </w:r>
      <w:r>
        <w:t xml:space="preserve"> (Q2 2025)</w:t>
      </w:r>
    </w:p>
    <w:p w14:paraId="32ADAB84" w14:textId="77777777" w:rsidR="006E4579" w:rsidRDefault="00000000">
      <w:pPr>
        <w:spacing w:after="160"/>
      </w:pPr>
      <w:r>
        <w:t xml:space="preserve">    → Expected: 10-15% Scope 2 reduction if 20% renewable coverage achieved by 2026; 30-40% reduction if 30% coverage achieved by 2030</w:t>
      </w:r>
    </w:p>
    <w:p w14:paraId="4B99C5A9" w14:textId="77777777" w:rsidR="006E4579" w:rsidRDefault="00000000">
      <w:pPr>
        <w:spacing w:after="160"/>
      </w:pPr>
      <w:r>
        <w:rPr>
          <w:rFonts w:ascii="Arial" w:hAnsi="Arial"/>
          <w:i/>
          <w:color w:val="646464"/>
          <w:sz w:val="18"/>
        </w:rPr>
        <w:t xml:space="preserve">    → Ref: DBS Bank achieved 62% renewable coverage resulting in 12% YoY Scope 2 reduction; committed to RE100 (100% renewable by 2030)</w:t>
      </w:r>
    </w:p>
    <w:p w14:paraId="6540D503" w14:textId="77777777" w:rsidR="006E4579" w:rsidRDefault="00000000">
      <w:r>
        <w:rPr>
          <w:b/>
        </w:rPr>
        <w:t>🔴 2. Deploy energy management system (EMS) at top 10 highest-consumption facilities (headquarters, data centers, regional offices). Implement Kaseya-style auto-shutdown for non-critical equipment, LED retrofit for all lighting, and HVAC scheduling optimization. Conduct energy audit to identify facility-specific efficiency opportunities.</w:t>
      </w:r>
      <w:r>
        <w:t xml:space="preserve"> (Q3 2025)</w:t>
      </w:r>
    </w:p>
    <w:p w14:paraId="0338AE28" w14:textId="77777777" w:rsidR="006E4579" w:rsidRDefault="00000000">
      <w:pPr>
        <w:spacing w:after="160"/>
      </w:pPr>
      <w:r>
        <w:t xml:space="preserve">    → Expected: 3-5% Scope 2 reduction within 12 months (estimated 1,340-2,230 tCO₂e savings)</w:t>
      </w:r>
    </w:p>
    <w:p w14:paraId="307DF4BF" w14:textId="77777777" w:rsidR="006E4579" w:rsidRDefault="00000000">
      <w:pPr>
        <w:spacing w:after="160"/>
      </w:pPr>
      <w:r>
        <w:rPr>
          <w:rFonts w:ascii="Arial" w:hAnsi="Arial"/>
          <w:i/>
          <w:color w:val="646464"/>
          <w:sz w:val="18"/>
        </w:rPr>
        <w:t xml:space="preserve">    → Ref: BRI's Kaseya auto-shutdown program and green building certification (Gold GBCI) achieved 19.49% electricity savings</w:t>
      </w:r>
    </w:p>
    <w:p w14:paraId="6B23106A" w14:textId="77777777" w:rsidR="006E4579" w:rsidRDefault="00000000">
      <w:r>
        <w:rPr>
          <w:b/>
        </w:rPr>
        <w:t>🟡 3. Pilot on-site solar+battery installation at 5 branch facilities with highest diesel generator usage (cross-benefit for Scope 1 reduction). Target facilities in regions with frequent grid instability. Conduct feasibility study for rooftop solar at owned buildings (estimated 50-100 facilities suitable for solar).</w:t>
      </w:r>
      <w:r>
        <w:t xml:space="preserve"> (Q1 2026)</w:t>
      </w:r>
    </w:p>
    <w:p w14:paraId="3B3998DC" w14:textId="77777777" w:rsidR="006E4579" w:rsidRDefault="00000000">
      <w:pPr>
        <w:spacing w:after="160"/>
      </w:pPr>
      <w:r>
        <w:t xml:space="preserve">    → Expected: 5-8% Scope 2 reduction for pilot facilities; potential 2,230-3,570 tCO₂e annual savings if scaled to 50 facilities</w:t>
      </w:r>
    </w:p>
    <w:p w14:paraId="2BAA0E8F" w14:textId="77777777" w:rsidR="006E4579" w:rsidRDefault="00000000">
      <w:pPr>
        <w:spacing w:after="160"/>
      </w:pPr>
      <w:r>
        <w:rPr>
          <w:rFonts w:ascii="Arial" w:hAnsi="Arial"/>
          <w:i/>
          <w:color w:val="646464"/>
          <w:sz w:val="18"/>
        </w:rPr>
        <w:t xml:space="preserve">    → Ref: BRI installed solar panels at branch network as part of Green Network initiative, contributing to 19.49% electricity savings</w:t>
      </w:r>
    </w:p>
    <w:p w14:paraId="35FD473C" w14:textId="77777777" w:rsidR="006E4579" w:rsidRDefault="00000000">
      <w:r>
        <w:rPr>
          <w:b/>
        </w:rPr>
        <w:t>🟡 4. Pursue green building certification (EDGE or GBCI) for new branch construction and major renovations. Mandate energy efficiency standards (minimum EDGE certification) for all new facilities starting 2026. Retrofit existing headquarters and regional offices to achieve certification by 2028.</w:t>
      </w:r>
      <w:r>
        <w:t xml:space="preserve"> (Q4 2025)</w:t>
      </w:r>
    </w:p>
    <w:p w14:paraId="50A2A6FB" w14:textId="77777777" w:rsidR="006E4579" w:rsidRDefault="00000000">
      <w:pPr>
        <w:spacing w:after="160"/>
      </w:pPr>
      <w:r>
        <w:t xml:space="preserve">    → Expected: 15-20% energy reduction for certified buildings vs conventional design; cumulative 4,460-5,950 tCO₂e savings by 2028 if 20 facilities certified</w:t>
      </w:r>
    </w:p>
    <w:p w14:paraId="0AECD164" w14:textId="77777777" w:rsidR="006E4579" w:rsidRDefault="00000000">
      <w:pPr>
        <w:spacing w:after="160"/>
      </w:pPr>
      <w:r>
        <w:rPr>
          <w:rFonts w:ascii="Arial" w:hAnsi="Arial"/>
          <w:i/>
          <w:color w:val="646464"/>
          <w:sz w:val="18"/>
        </w:rPr>
        <w:t xml:space="preserve">    → Ref: BRI achieved Gold GBCI green building certification, contributing to 19.49% overall electricity savings</w:t>
      </w:r>
    </w:p>
    <w:p w14:paraId="3A299383" w14:textId="77777777" w:rsidR="006E4579" w:rsidRDefault="006E4579"/>
    <w:p w14:paraId="680CEC8B" w14:textId="77777777" w:rsidR="006E4579" w:rsidRDefault="00000000">
      <w:r>
        <w:rPr>
          <w:i/>
          <w:color w:val="3D6094"/>
          <w:sz w:val="18"/>
        </w:rPr>
        <w:lastRenderedPageBreak/>
        <w:t>Framework references: GRI 305-2a: Gross location-based Scope 2 GHG emissions; GRI 305-2b: Gross market-based Scope 2 GHG emissions; GRI 305-2e: Source of emission factors (PLN 2023); GRI 305-2f: Consolidation approach (operational control); GRI 305-2g: Methodology (GHG Protocol Scope 2 Guidance 2015); IFRS S2 Para 29(a)(ii): Absolute gross Scope 2 GHG emissions; ESRS E1-6 DR E1-6.46: Gross location-based and market-based Scope 2 emissions; OJK PSPK: Emisi GRK Tidak Langsung dari Energi (Lingkup 2)</w:t>
      </w:r>
    </w:p>
    <w:p w14:paraId="52DB762C" w14:textId="77777777" w:rsidR="006E4579" w:rsidRDefault="006E4579">
      <w:pPr>
        <w:pBdr>
          <w:bottom w:val="single" w:sz="6" w:space="1" w:color="CCCCCC"/>
        </w:pBdr>
        <w:spacing w:after="80"/>
      </w:pPr>
    </w:p>
    <w:p w14:paraId="4851627B" w14:textId="77777777" w:rsidR="006E4579" w:rsidRDefault="00000000">
      <w:pPr>
        <w:spacing w:after="160"/>
      </w:pPr>
      <w:r>
        <w:rPr>
          <w:rFonts w:ascii="Arial" w:hAnsi="Arial"/>
          <w:i/>
          <w:color w:val="646464"/>
          <w:sz w:val="18"/>
        </w:rPr>
        <w:t>These figures have not been subject to external assurance for the current reporting period.</w:t>
      </w:r>
    </w:p>
    <w:p w14:paraId="753BE31E" w14:textId="77777777" w:rsidR="006E4579" w:rsidRDefault="00000000">
      <w:pPr>
        <w:spacing w:after="160"/>
      </w:pPr>
      <w:r>
        <w:rPr>
          <w:rFonts w:ascii="Arial" w:hAnsi="Arial"/>
          <w:i/>
          <w:color w:val="646464"/>
          <w:sz w:val="18"/>
        </w:rPr>
        <w:t>Grid emission factor source: PLN 2023 (0.7886 kgCO₂/kWh) applied uniformly across all facilities in Indonesia.</w:t>
      </w:r>
    </w:p>
    <w:p w14:paraId="1584FF52" w14:textId="77777777" w:rsidR="006E4579" w:rsidRDefault="00000000">
      <w:pPr>
        <w:spacing w:after="160"/>
      </w:pPr>
      <w:r>
        <w:rPr>
          <w:rFonts w:ascii="Arial" w:hAnsi="Arial"/>
          <w:i/>
          <w:color w:val="646464"/>
          <w:sz w:val="18"/>
        </w:rPr>
        <w:t>Organizational boundary: Operational control consolidation approach per GHG Protocol Corporate Standard.</w:t>
      </w:r>
    </w:p>
    <w:p w14:paraId="2A43A55D" w14:textId="77777777" w:rsidR="006E4579" w:rsidRDefault="00000000">
      <w:pPr>
        <w:spacing w:after="160"/>
      </w:pPr>
      <w:r>
        <w:rPr>
          <w:rFonts w:ascii="Arial" w:hAnsi="Arial"/>
          <w:i/>
          <w:color w:val="646464"/>
          <w:sz w:val="18"/>
        </w:rPr>
        <w:t>Market-based emissions reflect minimal application of renewable energy certificates (RECs) during the reporting period (0.003% difference from location-based).</w:t>
      </w:r>
    </w:p>
    <w:p w14:paraId="002B9996" w14:textId="77777777" w:rsidR="006E4579" w:rsidRDefault="00000000">
      <w:pPr>
        <w:pStyle w:val="Heading2"/>
        <w:spacing w:before="360" w:after="160"/>
      </w:pPr>
      <w:r>
        <w:rPr>
          <w:rFonts w:ascii="Arial" w:hAnsi="Arial"/>
          <w:color w:val="3D6094"/>
          <w:sz w:val="28"/>
        </w:rPr>
        <w:t>1.3 Financed Emissions — Scope 3 Category 15</w:t>
      </w:r>
    </w:p>
    <w:tbl>
      <w:tblPr>
        <w:tblW w:w="0" w:type="auto"/>
        <w:jc w:val="center"/>
        <w:tblLook w:val="04A0" w:firstRow="1" w:lastRow="0" w:firstColumn="1" w:lastColumn="0" w:noHBand="0" w:noVBand="1"/>
      </w:tblPr>
      <w:tblGrid>
        <w:gridCol w:w="2257"/>
        <w:gridCol w:w="2257"/>
        <w:gridCol w:w="2257"/>
        <w:gridCol w:w="2257"/>
      </w:tblGrid>
      <w:tr w:rsidR="006E4579" w14:paraId="184B6466" w14:textId="77777777">
        <w:trPr>
          <w:jc w:val="center"/>
        </w:trPr>
        <w:tc>
          <w:tcPr>
            <w:tcW w:w="2257" w:type="dxa"/>
            <w:shd w:val="clear" w:color="auto" w:fill="F2F6FA"/>
          </w:tcPr>
          <w:p w14:paraId="23AFB6D5" w14:textId="77777777" w:rsidR="006E4579" w:rsidRDefault="00000000">
            <w:pPr>
              <w:jc w:val="center"/>
            </w:pPr>
            <w:r>
              <w:rPr>
                <w:b/>
                <w:color w:val="1B3A6B"/>
                <w:sz w:val="36"/>
              </w:rPr>
              <w:t>21.98</w:t>
            </w:r>
            <w:r>
              <w:rPr>
                <w:color w:val="757575"/>
                <w:sz w:val="18"/>
              </w:rPr>
              <w:t xml:space="preserve"> million tCO₂e</w:t>
            </w:r>
            <w:r>
              <w:rPr>
                <w:b/>
                <w:color w:val="2E7D32"/>
                <w:sz w:val="20"/>
              </w:rPr>
              <w:br/>
              <w:t>baseline year</w:t>
            </w:r>
          </w:p>
        </w:tc>
        <w:tc>
          <w:tcPr>
            <w:tcW w:w="2257" w:type="dxa"/>
            <w:shd w:val="clear" w:color="auto" w:fill="F2F6FA"/>
          </w:tcPr>
          <w:p w14:paraId="2705CAB8" w14:textId="77777777" w:rsidR="006E4579" w:rsidRDefault="00000000">
            <w:pPr>
              <w:jc w:val="center"/>
            </w:pPr>
            <w:r>
              <w:rPr>
                <w:b/>
                <w:color w:val="1B3A6B"/>
                <w:sz w:val="36"/>
              </w:rPr>
              <w:t>15.28</w:t>
            </w:r>
            <w:r>
              <w:rPr>
                <w:color w:val="757575"/>
                <w:sz w:val="18"/>
              </w:rPr>
              <w:t xml:space="preserve"> million tCO₂e</w:t>
            </w:r>
            <w:r>
              <w:rPr>
                <w:b/>
                <w:color w:val="2E7D32"/>
                <w:sz w:val="20"/>
              </w:rPr>
              <w:br/>
              <w:t>30.5% below gross</w:t>
            </w:r>
          </w:p>
        </w:tc>
        <w:tc>
          <w:tcPr>
            <w:tcW w:w="2257" w:type="dxa"/>
            <w:shd w:val="clear" w:color="auto" w:fill="F2F6FA"/>
          </w:tcPr>
          <w:p w14:paraId="243EC5B2" w14:textId="77777777" w:rsidR="006E4579" w:rsidRDefault="00000000">
            <w:pPr>
              <w:jc w:val="center"/>
            </w:pPr>
            <w:r>
              <w:rPr>
                <w:b/>
                <w:color w:val="1B3A6B"/>
                <w:sz w:val="36"/>
              </w:rPr>
              <w:t>85.93</w:t>
            </w:r>
            <w:r>
              <w:rPr>
                <w:color w:val="757575"/>
                <w:sz w:val="18"/>
              </w:rPr>
              <w:t xml:space="preserve"> %</w:t>
            </w:r>
            <w:r>
              <w:rPr>
                <w:b/>
                <w:color w:val="C62828"/>
                <w:sz w:val="20"/>
              </w:rPr>
              <w:br/>
              <w:t>high concentration risk</w:t>
            </w:r>
          </w:p>
        </w:tc>
        <w:tc>
          <w:tcPr>
            <w:tcW w:w="2257" w:type="dxa"/>
            <w:shd w:val="clear" w:color="auto" w:fill="F2F6FA"/>
          </w:tcPr>
          <w:p w14:paraId="1732F0C5" w14:textId="77777777" w:rsidR="006E4579" w:rsidRDefault="00000000">
            <w:pPr>
              <w:jc w:val="center"/>
            </w:pPr>
            <w:r>
              <w:rPr>
                <w:b/>
                <w:color w:val="1B3A6B"/>
                <w:sz w:val="36"/>
              </w:rPr>
              <w:t>3.36</w:t>
            </w:r>
            <w:r>
              <w:rPr>
                <w:color w:val="757575"/>
                <w:sz w:val="18"/>
              </w:rPr>
              <w:t xml:space="preserve"> score (1-5)</w:t>
            </w:r>
            <w:r>
              <w:rPr>
                <w:b/>
                <w:color w:val="C62828"/>
                <w:sz w:val="20"/>
              </w:rPr>
              <w:br/>
              <w:t>vs peer target &lt;3.0</w:t>
            </w:r>
          </w:p>
        </w:tc>
      </w:tr>
      <w:tr w:rsidR="006E4579" w14:paraId="640BD3BA" w14:textId="77777777">
        <w:trPr>
          <w:jc w:val="center"/>
        </w:trPr>
        <w:tc>
          <w:tcPr>
            <w:tcW w:w="2257" w:type="dxa"/>
            <w:shd w:val="clear" w:color="auto" w:fill="F2F6FA"/>
          </w:tcPr>
          <w:p w14:paraId="1F5764B0" w14:textId="77777777" w:rsidR="006E4579" w:rsidRDefault="00000000">
            <w:pPr>
              <w:jc w:val="center"/>
            </w:pPr>
            <w:r>
              <w:rPr>
                <w:color w:val="757575"/>
                <w:sz w:val="16"/>
              </w:rPr>
              <w:t>Gross Financed Emissions</w:t>
            </w:r>
          </w:p>
        </w:tc>
        <w:tc>
          <w:tcPr>
            <w:tcW w:w="2257" w:type="dxa"/>
            <w:shd w:val="clear" w:color="auto" w:fill="F2F6FA"/>
          </w:tcPr>
          <w:p w14:paraId="76BE8049" w14:textId="77777777" w:rsidR="006E4579" w:rsidRDefault="00000000">
            <w:pPr>
              <w:jc w:val="center"/>
            </w:pPr>
            <w:r>
              <w:rPr>
                <w:color w:val="757575"/>
                <w:sz w:val="16"/>
              </w:rPr>
              <w:t>Confidence-Weighted Emissions</w:t>
            </w:r>
          </w:p>
        </w:tc>
        <w:tc>
          <w:tcPr>
            <w:tcW w:w="2257" w:type="dxa"/>
            <w:shd w:val="clear" w:color="auto" w:fill="F2F6FA"/>
          </w:tcPr>
          <w:p w14:paraId="054C743F" w14:textId="77777777" w:rsidR="006E4579" w:rsidRDefault="00000000">
            <w:pPr>
              <w:jc w:val="center"/>
            </w:pPr>
            <w:r>
              <w:rPr>
                <w:color w:val="757575"/>
                <w:sz w:val="16"/>
              </w:rPr>
              <w:t>Top 3 Sectors Emission Share</w:t>
            </w:r>
          </w:p>
        </w:tc>
        <w:tc>
          <w:tcPr>
            <w:tcW w:w="2257" w:type="dxa"/>
            <w:shd w:val="clear" w:color="auto" w:fill="F2F6FA"/>
          </w:tcPr>
          <w:p w14:paraId="611454F3" w14:textId="77777777" w:rsidR="006E4579" w:rsidRDefault="00000000">
            <w:pPr>
              <w:jc w:val="center"/>
            </w:pPr>
            <w:r>
              <w:rPr>
                <w:color w:val="757575"/>
                <w:sz w:val="16"/>
              </w:rPr>
              <w:t>PCAF Data Quality Score</w:t>
            </w:r>
          </w:p>
        </w:tc>
      </w:tr>
    </w:tbl>
    <w:p w14:paraId="34C68487" w14:textId="77777777" w:rsidR="006E4579" w:rsidRDefault="006E4579"/>
    <w:tbl>
      <w:tblPr>
        <w:tblW w:w="0" w:type="auto"/>
        <w:jc w:val="center"/>
        <w:tblLook w:val="04A0" w:firstRow="1" w:lastRow="0" w:firstColumn="1" w:lastColumn="0" w:noHBand="0" w:noVBand="1"/>
      </w:tblPr>
      <w:tblGrid>
        <w:gridCol w:w="9029"/>
      </w:tblGrid>
      <w:tr w:rsidR="006E4579" w14:paraId="1B88C347" w14:textId="77777777">
        <w:trPr>
          <w:jc w:val="center"/>
        </w:trPr>
        <w:tc>
          <w:tcPr>
            <w:tcW w:w="9029" w:type="dxa"/>
            <w:shd w:val="clear" w:color="auto" w:fill="FFF8E1"/>
          </w:tcPr>
          <w:p w14:paraId="3ED6EF7B" w14:textId="77777777" w:rsidR="006E4579" w:rsidRDefault="00000000">
            <w:r>
              <w:rPr>
                <w:b/>
                <w:color w:val="FF8F00"/>
                <w:sz w:val="18"/>
              </w:rPr>
              <w:t>⚠️ KEY INSIGHT</w:t>
            </w:r>
          </w:p>
          <w:p w14:paraId="56AE239D" w14:textId="77777777" w:rsidR="006E4579" w:rsidRDefault="00000000">
            <w:r>
              <w:rPr>
                <w:b/>
              </w:rPr>
              <w:t>Financed emissions 86% concentrated in 3 sectors while peers diversify — transition finance gap vs BCA/BRI models</w:t>
            </w:r>
          </w:p>
          <w:p w14:paraId="71992762" w14:textId="77777777" w:rsidR="006E4579" w:rsidRDefault="00000000">
            <w:r>
              <w:rPr>
                <w:sz w:val="20"/>
              </w:rPr>
              <w:t>Energy, cement, and steel represent 85.93% of financed emissions but only 20.7% of portfolio value, creating acute concentration risk. BRI's SBTi commitment and BCA's SLL framework demonstrate viable transition finance models. Without sector engagement strategy, regulatory pressure (OJK SFAP, ISSB adoption 2027) will intensify.</w:t>
            </w:r>
          </w:p>
        </w:tc>
      </w:tr>
    </w:tbl>
    <w:p w14:paraId="68B84B30" w14:textId="77777777" w:rsidR="006E4579" w:rsidRDefault="006E4579"/>
    <w:p w14:paraId="01296CD3" w14:textId="77777777" w:rsidR="006E4579" w:rsidRDefault="00000000">
      <w:pPr>
        <w:spacing w:after="160"/>
      </w:pPr>
      <w:r>
        <w:rPr>
          <w:rFonts w:ascii="Arial" w:hAnsi="Arial"/>
        </w:rPr>
        <w:t>The institution's financed emissions for the 2024 reporting period totaled 21,976,797.3 tCO₂e on a gross basis and 15,280,174.14 tCO₂e on a confidence-weighted basis. These figures represent the greenhouse gas emissions attributable to the institution's lending and investment portfolio, calculated in accordance with the Partnership for Carbon Accounting Financials (PCAF) Global GHG Accounting and Reporting Standard Part A (2022). The gross figure reflects the total emissions of financed entities proportional to the institution's outstanding exposure, while the confidence-weighted figure adjusts for data quality uncertainty using PCAF's data quality scoring methodology. The confidence-weighted emissions are 30.5% lower than gross emissions, reflecting the application of data quality confidence factors across the portfolio.</w:t>
      </w:r>
    </w:p>
    <w:p w14:paraId="2D407BD9" w14:textId="77777777" w:rsidR="006E4579" w:rsidRDefault="00000000">
      <w:pPr>
        <w:spacing w:after="160"/>
      </w:pPr>
      <w:r>
        <w:rPr>
          <w:rFonts w:ascii="Arial" w:hAnsi="Arial"/>
        </w:rPr>
        <w:t xml:space="preserve">Financed emissions are calculated using the attribution factor methodology prescribed by PCAF. For corporate lending, the attribution factor is determined as the ratio of the institution's outstanding amount to the borrower's total enterprise value including cash </w:t>
      </w:r>
      <w:r>
        <w:rPr>
          <w:rFonts w:ascii="Arial" w:hAnsi="Arial"/>
        </w:rPr>
        <w:lastRenderedPageBreak/>
        <w:t>(EVIC). The formula applied is: Financed Emissions = Outstanding Amount ÷ EVIC × Borrower's Total Emissions. This approach ensures that emissions are attributed proportionally to the institution's financial exposure relative to the total capital structure of each financed entity. The methodology covers corporate loans across all sectors in the institution's portfolio, with sector-specific emission factors applied where primary data from borrowers is unavailable.</w:t>
      </w:r>
    </w:p>
    <w:p w14:paraId="1DDBF938" w14:textId="77777777" w:rsidR="006E4579" w:rsidRDefault="00000000">
      <w:pPr>
        <w:spacing w:after="160"/>
      </w:pPr>
      <w:r>
        <w:rPr>
          <w:rFonts w:ascii="Arial" w:hAnsi="Arial"/>
        </w:rPr>
        <w:t>The portfolio-weighted average PCAF data quality score for 2024 was 3.36 out of 5, where 1 represents the highest data quality (verified reported emissions) and 5 represents the lowest (economic activity-based estimates). This score indicates that the majority of financed emissions calculations rely on a combination of primary physical activity data and sector-specific emission factors (Score 3), with limited availability of borrower-reported emissions data. The data quality distribution reflects the current state of emissions disclosure maturity among Indonesian corporate borrowers, particularly in carbon-intensive sectors where standardized reporting frameworks are still emerging.</w:t>
      </w:r>
    </w:p>
    <w:p w14:paraId="1AF49FF7" w14:textId="77777777" w:rsidR="006E4579" w:rsidRDefault="00000000">
      <w:pPr>
        <w:spacing w:after="160"/>
      </w:pPr>
      <w:r>
        <w:rPr>
          <w:rFonts w:ascii="Arial" w:hAnsi="Arial"/>
        </w:rPr>
        <w:t>The distinction between gross and confidence-weighted financed emissions is critical for understanding the reliability of reported figures. Gross financed emissions represent the full attribution of borrower emissions to the institution's portfolio without adjustment for data uncertainty. Confidence-weighted emissions apply a data quality confidence factor to each loan based on its PCAF score: Score 1 (100% confidence), Score 2 (75%), Score 3 (50%), Score 4 (30%), and Score 5 (10%). For the 2024 portfolio, the 30.5% reduction from gross to weighted emissions indicates that approximately 6.7 million tCO₂e of the gross total is subject to high uncertainty due to reliance on sector-average emission factors rather than borrower-specific data. This gap represents a priority area for data quality improvement through enhanced borrower engagement and disclosure requirements.</w:t>
      </w:r>
    </w:p>
    <w:p w14:paraId="35A994EB" w14:textId="77777777" w:rsidR="006E4579" w:rsidRDefault="00000000">
      <w:pPr>
        <w:spacing w:after="160"/>
      </w:pPr>
      <w:r>
        <w:rPr>
          <w:rFonts w:ascii="Arial" w:hAnsi="Arial"/>
        </w:rPr>
        <w:t>Year-over-year comparison of financed emissions is not presented for the 2024 reporting period, as this represents the institution's first full-year disclosure of Scope 3 Category 15 emissions calculated using the PCAF methodology. Baseline establishment in 2024 will enable trend analysis and target-setting in subsequent reporting periods. The institution commits to annual disclosure of financed emissions with consistent methodology to support transparency and accountability in portfolio decarbonization efforts.</w:t>
      </w:r>
    </w:p>
    <w:p w14:paraId="45C2D6D2" w14:textId="77777777" w:rsidR="006E4579" w:rsidRDefault="00000000">
      <w:pPr>
        <w:spacing w:after="160"/>
      </w:pPr>
      <w:r>
        <w:rPr>
          <w:rFonts w:ascii="Arial" w:hAnsi="Arial"/>
        </w:rPr>
        <w:t>The Energy - Oil &amp; Gas sector represents the highest concentration of financed emissions at 43.56% of the total portfolio emissions, despite comprising only 6.66% of total outstanding loans. This sector's emission intensity of 93.242 tCO₂e per IDR billion is significantly higher than other sectors, driven by upstream extraction activities and downstream refining operations. The Manufacturing - Cement sector contributes 26.45% of financed emissions with an intensity of 53.9927 tCO₂e per IDR billion, reflecting the energy-intensive nature of clinker production. Manufacturing - Steel accounts for 15.92% of emissions at 32.2175 tCO₂e per IDR billion. These three sectors collectively represent 85.93% of total financed emissions while comprising only 20.7% of the loan portfolio by value, highlighting the concentration of climate risk in carbon-intensive industries.</w:t>
      </w:r>
    </w:p>
    <w:p w14:paraId="5EB8178B" w14:textId="77777777" w:rsidR="006E4579" w:rsidRDefault="00000000">
      <w:pPr>
        <w:spacing w:after="160"/>
      </w:pPr>
      <w:r>
        <w:rPr>
          <w:rFonts w:ascii="Arial" w:hAnsi="Arial"/>
        </w:rPr>
        <w:t xml:space="preserve">Lower-emission sectors demonstrate significantly different emission intensity profiles. The Financial Services sector, representing 13.41% of the portfolio, contributes only 0.34% of financed emissions with an intensity of 0.3567 tCO₂e per IDR billion. Real Estate - Residential (10.93% of portfolio) accounts for 0.49% of emissions at 0.6381 tCO₂e per IDR billion. Real Estate - Commercial (16.27% of portfolio) contributes 1.05% of emissions at </w:t>
      </w:r>
      <w:r>
        <w:rPr>
          <w:rFonts w:ascii="Arial" w:hAnsi="Arial"/>
        </w:rPr>
        <w:lastRenderedPageBreak/>
        <w:t>0.9222 tCO₂e per IDR billion. These sectors present opportunities for portfolio growth with minimal climate impact, supporting the institution's transition toward a lower-carbon lending profile while maintaining commercial viability.</w:t>
      </w:r>
    </w:p>
    <w:p w14:paraId="576C26DB" w14:textId="77777777" w:rsidR="006E4579" w:rsidRDefault="00000000">
      <w:pPr>
        <w:spacing w:after="160"/>
      </w:pPr>
      <w:r>
        <w:rPr>
          <w:rFonts w:ascii="Arial" w:hAnsi="Arial"/>
        </w:rPr>
        <w:t>PCAF requires financial institutions to report Scope 3 emissions of borrowers and investees for specific sectors based on a phased implementation schedule. For reports published in 2021 onwards, at minimum the energy (oil &amp; gas) and mining sectors (NACE Level 2: 05-09, 19, 20) must include borrower Scope 3 emissions. For reports published in 2023 onwards, coverage expands to transportation, construction, buildings, materials, and industrial activities (NACE L2: 10-18, 21-33, 41-43, 49-53, 81). For reports published in 2025 onwards, every sector must include borrower Scope 3 emissions. The institution's current disclosure includes borrower Scope 1 and Scope 2 emissions across all sectors, with borrower Scope 3 emissions included for the Energy - Oil &amp; Gas sector in compliance with PCAF phase-in requirements. Expansion to additional sectors is planned for the 2025 reporting period.</w:t>
      </w:r>
    </w:p>
    <w:p w14:paraId="6B1B86F5" w14:textId="77777777" w:rsidR="006E4579" w:rsidRDefault="00000000">
      <w:pPr>
        <w:spacing w:after="160"/>
      </w:pPr>
      <w:r>
        <w:rPr>
          <w:rFonts w:ascii="Arial" w:hAnsi="Arial"/>
        </w:rPr>
        <w:t>These figures have not been subject to external assurance for the current reporting period.</w:t>
      </w:r>
    </w:p>
    <w:p w14:paraId="1A155852" w14:textId="77777777" w:rsidR="006E4579" w:rsidRDefault="00000000">
      <w:r>
        <w:rPr>
          <w:rFonts w:ascii="Arial" w:hAnsi="Arial"/>
          <w:b/>
          <w:sz w:val="20"/>
        </w:rPr>
        <w:t>Table 24: Table 1.3.1: Financed Emissions by Sector — Top 10 Contributors (2024)</w:t>
      </w:r>
    </w:p>
    <w:tbl>
      <w:tblPr>
        <w:tblW w:w="0" w:type="auto"/>
        <w:jc w:val="center"/>
        <w:tblLook w:val="04A0" w:firstRow="1" w:lastRow="0" w:firstColumn="1" w:lastColumn="0" w:noHBand="0" w:noVBand="1"/>
      </w:tblPr>
      <w:tblGrid>
        <w:gridCol w:w="1505"/>
        <w:gridCol w:w="1505"/>
        <w:gridCol w:w="1505"/>
        <w:gridCol w:w="1505"/>
        <w:gridCol w:w="1505"/>
        <w:gridCol w:w="1505"/>
      </w:tblGrid>
      <w:tr w:rsidR="006E4579" w14:paraId="3BF96722" w14:textId="77777777">
        <w:trPr>
          <w:jc w:val="center"/>
        </w:trPr>
        <w:tc>
          <w:tcPr>
            <w:tcW w:w="1505" w:type="dxa"/>
            <w:shd w:val="clear" w:color="auto" w:fill="1B3A6B"/>
          </w:tcPr>
          <w:p w14:paraId="3FEA0A3F" w14:textId="77777777" w:rsidR="006E4579" w:rsidRDefault="00000000">
            <w:r>
              <w:rPr>
                <w:rFonts w:ascii="Arial" w:hAnsi="Arial"/>
                <w:b/>
                <w:color w:val="FFFFFF"/>
                <w:sz w:val="18"/>
              </w:rPr>
              <w:t>Sector</w:t>
            </w:r>
          </w:p>
        </w:tc>
        <w:tc>
          <w:tcPr>
            <w:tcW w:w="1505" w:type="dxa"/>
            <w:shd w:val="clear" w:color="auto" w:fill="1B3A6B"/>
          </w:tcPr>
          <w:p w14:paraId="1097DF2B" w14:textId="77777777" w:rsidR="006E4579" w:rsidRDefault="00000000">
            <w:r>
              <w:rPr>
                <w:rFonts w:ascii="Arial" w:hAnsi="Arial"/>
                <w:b/>
                <w:color w:val="FFFFFF"/>
                <w:sz w:val="18"/>
              </w:rPr>
              <w:t>Gross Emissions (tCO₂e)</w:t>
            </w:r>
          </w:p>
        </w:tc>
        <w:tc>
          <w:tcPr>
            <w:tcW w:w="1505" w:type="dxa"/>
            <w:shd w:val="clear" w:color="auto" w:fill="1B3A6B"/>
          </w:tcPr>
          <w:p w14:paraId="2D5924A7" w14:textId="77777777" w:rsidR="006E4579" w:rsidRDefault="00000000">
            <w:r>
              <w:rPr>
                <w:rFonts w:ascii="Arial" w:hAnsi="Arial"/>
                <w:b/>
                <w:color w:val="FFFFFF"/>
                <w:sz w:val="18"/>
              </w:rPr>
              <w:t>Weighted Emissions (tCO₂e)</w:t>
            </w:r>
          </w:p>
        </w:tc>
        <w:tc>
          <w:tcPr>
            <w:tcW w:w="1505" w:type="dxa"/>
            <w:shd w:val="clear" w:color="auto" w:fill="1B3A6B"/>
          </w:tcPr>
          <w:p w14:paraId="4FDFDEB4" w14:textId="77777777" w:rsidR="006E4579" w:rsidRDefault="00000000">
            <w:r>
              <w:rPr>
                <w:rFonts w:ascii="Arial" w:hAnsi="Arial"/>
                <w:b/>
                <w:color w:val="FFFFFF"/>
                <w:sz w:val="18"/>
              </w:rPr>
              <w:t>Portfolio Share (%)</w:t>
            </w:r>
          </w:p>
        </w:tc>
        <w:tc>
          <w:tcPr>
            <w:tcW w:w="1505" w:type="dxa"/>
            <w:shd w:val="clear" w:color="auto" w:fill="1B3A6B"/>
          </w:tcPr>
          <w:p w14:paraId="5A6F7688" w14:textId="77777777" w:rsidR="006E4579" w:rsidRDefault="00000000">
            <w:r>
              <w:rPr>
                <w:rFonts w:ascii="Arial" w:hAnsi="Arial"/>
                <w:b/>
                <w:color w:val="FFFFFF"/>
                <w:sz w:val="18"/>
              </w:rPr>
              <w:t>Emission Intensity (tCO₂e/IDR bn)</w:t>
            </w:r>
          </w:p>
        </w:tc>
        <w:tc>
          <w:tcPr>
            <w:tcW w:w="1505" w:type="dxa"/>
            <w:shd w:val="clear" w:color="auto" w:fill="1B3A6B"/>
          </w:tcPr>
          <w:p w14:paraId="012322C4" w14:textId="77777777" w:rsidR="006E4579" w:rsidRDefault="00000000">
            <w:r>
              <w:rPr>
                <w:rFonts w:ascii="Arial" w:hAnsi="Arial"/>
                <w:b/>
                <w:color w:val="FFFFFF"/>
                <w:sz w:val="18"/>
              </w:rPr>
              <w:t>PCAF Score</w:t>
            </w:r>
          </w:p>
        </w:tc>
      </w:tr>
      <w:tr w:rsidR="006E4579" w14:paraId="0585CA0F" w14:textId="77777777">
        <w:trPr>
          <w:jc w:val="center"/>
        </w:trPr>
        <w:tc>
          <w:tcPr>
            <w:tcW w:w="1505" w:type="dxa"/>
          </w:tcPr>
          <w:p w14:paraId="69F66A74" w14:textId="77777777" w:rsidR="006E4579" w:rsidRDefault="00000000">
            <w:r>
              <w:rPr>
                <w:rFonts w:ascii="Arial" w:hAnsi="Arial"/>
                <w:sz w:val="18"/>
              </w:rPr>
              <w:t>Energy - Oil &amp; Gas</w:t>
            </w:r>
          </w:p>
        </w:tc>
        <w:tc>
          <w:tcPr>
            <w:tcW w:w="1505" w:type="dxa"/>
          </w:tcPr>
          <w:p w14:paraId="2D5EC70C" w14:textId="77777777" w:rsidR="006E4579" w:rsidRDefault="00000000">
            <w:pPr>
              <w:jc w:val="right"/>
            </w:pPr>
            <w:r>
              <w:rPr>
                <w:rFonts w:ascii="Arial" w:hAnsi="Arial"/>
                <w:sz w:val="18"/>
              </w:rPr>
              <w:t>9,573,144</w:t>
            </w:r>
          </w:p>
        </w:tc>
        <w:tc>
          <w:tcPr>
            <w:tcW w:w="1505" w:type="dxa"/>
          </w:tcPr>
          <w:p w14:paraId="2806E835" w14:textId="77777777" w:rsidR="006E4579" w:rsidRDefault="00000000">
            <w:pPr>
              <w:jc w:val="right"/>
            </w:pPr>
            <w:r>
              <w:rPr>
                <w:rFonts w:ascii="Arial" w:hAnsi="Arial"/>
                <w:sz w:val="18"/>
              </w:rPr>
              <w:t>6,753,949</w:t>
            </w:r>
          </w:p>
        </w:tc>
        <w:tc>
          <w:tcPr>
            <w:tcW w:w="1505" w:type="dxa"/>
          </w:tcPr>
          <w:p w14:paraId="2C0712B8" w14:textId="77777777" w:rsidR="006E4579" w:rsidRDefault="00000000">
            <w:pPr>
              <w:jc w:val="right"/>
            </w:pPr>
            <w:r>
              <w:rPr>
                <w:rFonts w:ascii="Arial" w:hAnsi="Arial"/>
                <w:sz w:val="18"/>
              </w:rPr>
              <w:t>6.66</w:t>
            </w:r>
          </w:p>
        </w:tc>
        <w:tc>
          <w:tcPr>
            <w:tcW w:w="1505" w:type="dxa"/>
          </w:tcPr>
          <w:p w14:paraId="2665F20A" w14:textId="77777777" w:rsidR="006E4579" w:rsidRDefault="00000000">
            <w:pPr>
              <w:jc w:val="right"/>
            </w:pPr>
            <w:r>
              <w:rPr>
                <w:rFonts w:ascii="Arial" w:hAnsi="Arial"/>
                <w:sz w:val="18"/>
              </w:rPr>
              <w:t>93.242</w:t>
            </w:r>
          </w:p>
        </w:tc>
        <w:tc>
          <w:tcPr>
            <w:tcW w:w="1505" w:type="dxa"/>
          </w:tcPr>
          <w:p w14:paraId="30033144" w14:textId="77777777" w:rsidR="006E4579" w:rsidRDefault="00000000">
            <w:pPr>
              <w:jc w:val="right"/>
            </w:pPr>
            <w:r>
              <w:rPr>
                <w:rFonts w:ascii="Arial" w:hAnsi="Arial"/>
                <w:sz w:val="18"/>
              </w:rPr>
              <w:t>3.32</w:t>
            </w:r>
          </w:p>
        </w:tc>
      </w:tr>
      <w:tr w:rsidR="006E4579" w14:paraId="66D65238" w14:textId="77777777">
        <w:trPr>
          <w:jc w:val="center"/>
        </w:trPr>
        <w:tc>
          <w:tcPr>
            <w:tcW w:w="1505" w:type="dxa"/>
            <w:shd w:val="clear" w:color="auto" w:fill="F2F6FC"/>
          </w:tcPr>
          <w:p w14:paraId="78A55872" w14:textId="77777777" w:rsidR="006E4579" w:rsidRDefault="00000000">
            <w:r>
              <w:rPr>
                <w:rFonts w:ascii="Arial" w:hAnsi="Arial"/>
                <w:sz w:val="18"/>
              </w:rPr>
              <w:t>Manufacturing - Cement</w:t>
            </w:r>
          </w:p>
        </w:tc>
        <w:tc>
          <w:tcPr>
            <w:tcW w:w="1505" w:type="dxa"/>
            <w:shd w:val="clear" w:color="auto" w:fill="F2F6FC"/>
          </w:tcPr>
          <w:p w14:paraId="7A3EF3B0" w14:textId="77777777" w:rsidR="006E4579" w:rsidRDefault="00000000">
            <w:pPr>
              <w:jc w:val="right"/>
            </w:pPr>
            <w:r>
              <w:rPr>
                <w:rFonts w:ascii="Arial" w:hAnsi="Arial"/>
                <w:sz w:val="18"/>
              </w:rPr>
              <w:t>5,813,831</w:t>
            </w:r>
          </w:p>
        </w:tc>
        <w:tc>
          <w:tcPr>
            <w:tcW w:w="1505" w:type="dxa"/>
            <w:shd w:val="clear" w:color="auto" w:fill="F2F6FC"/>
          </w:tcPr>
          <w:p w14:paraId="5C17A4E4" w14:textId="77777777" w:rsidR="006E4579" w:rsidRDefault="00000000">
            <w:pPr>
              <w:jc w:val="right"/>
            </w:pPr>
            <w:r>
              <w:rPr>
                <w:rFonts w:ascii="Arial" w:hAnsi="Arial"/>
                <w:sz w:val="18"/>
              </w:rPr>
              <w:t>4,168,058</w:t>
            </w:r>
          </w:p>
        </w:tc>
        <w:tc>
          <w:tcPr>
            <w:tcW w:w="1505" w:type="dxa"/>
            <w:shd w:val="clear" w:color="auto" w:fill="F2F6FC"/>
          </w:tcPr>
          <w:p w14:paraId="121DA5B5" w14:textId="77777777" w:rsidR="006E4579" w:rsidRDefault="00000000">
            <w:pPr>
              <w:jc w:val="right"/>
            </w:pPr>
            <w:r>
              <w:rPr>
                <w:rFonts w:ascii="Arial" w:hAnsi="Arial"/>
                <w:sz w:val="18"/>
              </w:rPr>
              <w:t>6.99</w:t>
            </w:r>
          </w:p>
        </w:tc>
        <w:tc>
          <w:tcPr>
            <w:tcW w:w="1505" w:type="dxa"/>
            <w:shd w:val="clear" w:color="auto" w:fill="F2F6FC"/>
          </w:tcPr>
          <w:p w14:paraId="166AD34B" w14:textId="77777777" w:rsidR="006E4579" w:rsidRDefault="00000000">
            <w:pPr>
              <w:jc w:val="right"/>
            </w:pPr>
            <w:r>
              <w:rPr>
                <w:rFonts w:ascii="Arial" w:hAnsi="Arial"/>
                <w:sz w:val="18"/>
              </w:rPr>
              <w:t>53.993</w:t>
            </w:r>
          </w:p>
        </w:tc>
        <w:tc>
          <w:tcPr>
            <w:tcW w:w="1505" w:type="dxa"/>
            <w:shd w:val="clear" w:color="auto" w:fill="F2F6FC"/>
          </w:tcPr>
          <w:p w14:paraId="1B38A31D" w14:textId="77777777" w:rsidR="006E4579" w:rsidRDefault="00000000">
            <w:pPr>
              <w:jc w:val="right"/>
            </w:pPr>
            <w:r>
              <w:rPr>
                <w:rFonts w:ascii="Arial" w:hAnsi="Arial"/>
                <w:sz w:val="18"/>
              </w:rPr>
              <w:t>3.40</w:t>
            </w:r>
          </w:p>
        </w:tc>
      </w:tr>
      <w:tr w:rsidR="006E4579" w14:paraId="6A1FB90A" w14:textId="77777777">
        <w:trPr>
          <w:jc w:val="center"/>
        </w:trPr>
        <w:tc>
          <w:tcPr>
            <w:tcW w:w="1505" w:type="dxa"/>
          </w:tcPr>
          <w:p w14:paraId="471D2182" w14:textId="77777777" w:rsidR="006E4579" w:rsidRDefault="00000000">
            <w:r>
              <w:rPr>
                <w:rFonts w:ascii="Arial" w:hAnsi="Arial"/>
                <w:sz w:val="18"/>
              </w:rPr>
              <w:t>Manufacturing - Steel</w:t>
            </w:r>
          </w:p>
        </w:tc>
        <w:tc>
          <w:tcPr>
            <w:tcW w:w="1505" w:type="dxa"/>
          </w:tcPr>
          <w:p w14:paraId="439B5909" w14:textId="77777777" w:rsidR="006E4579" w:rsidRDefault="00000000">
            <w:pPr>
              <w:jc w:val="right"/>
            </w:pPr>
            <w:r>
              <w:rPr>
                <w:rFonts w:ascii="Arial" w:hAnsi="Arial"/>
                <w:sz w:val="18"/>
              </w:rPr>
              <w:t>3,499,463</w:t>
            </w:r>
          </w:p>
        </w:tc>
        <w:tc>
          <w:tcPr>
            <w:tcW w:w="1505" w:type="dxa"/>
          </w:tcPr>
          <w:p w14:paraId="39B37BD2" w14:textId="77777777" w:rsidR="006E4579" w:rsidRDefault="00000000">
            <w:pPr>
              <w:jc w:val="right"/>
            </w:pPr>
            <w:r>
              <w:rPr>
                <w:rFonts w:ascii="Arial" w:hAnsi="Arial"/>
                <w:sz w:val="18"/>
              </w:rPr>
              <w:t>2,228,740</w:t>
            </w:r>
          </w:p>
        </w:tc>
        <w:tc>
          <w:tcPr>
            <w:tcW w:w="1505" w:type="dxa"/>
          </w:tcPr>
          <w:p w14:paraId="35A2010E" w14:textId="77777777" w:rsidR="006E4579" w:rsidRDefault="00000000">
            <w:pPr>
              <w:jc w:val="right"/>
            </w:pPr>
            <w:r>
              <w:rPr>
                <w:rFonts w:ascii="Arial" w:hAnsi="Arial"/>
                <w:sz w:val="18"/>
              </w:rPr>
              <w:t>7.05</w:t>
            </w:r>
          </w:p>
        </w:tc>
        <w:tc>
          <w:tcPr>
            <w:tcW w:w="1505" w:type="dxa"/>
          </w:tcPr>
          <w:p w14:paraId="230F40CB" w14:textId="77777777" w:rsidR="006E4579" w:rsidRDefault="00000000">
            <w:pPr>
              <w:jc w:val="right"/>
            </w:pPr>
            <w:r>
              <w:rPr>
                <w:rFonts w:ascii="Arial" w:hAnsi="Arial"/>
                <w:sz w:val="18"/>
              </w:rPr>
              <w:t>32.218</w:t>
            </w:r>
          </w:p>
        </w:tc>
        <w:tc>
          <w:tcPr>
            <w:tcW w:w="1505" w:type="dxa"/>
          </w:tcPr>
          <w:p w14:paraId="1B3562E5" w14:textId="77777777" w:rsidR="006E4579" w:rsidRDefault="00000000">
            <w:pPr>
              <w:jc w:val="right"/>
            </w:pPr>
            <w:r>
              <w:rPr>
                <w:rFonts w:ascii="Arial" w:hAnsi="Arial"/>
                <w:sz w:val="18"/>
              </w:rPr>
              <w:t>3.35</w:t>
            </w:r>
          </w:p>
        </w:tc>
      </w:tr>
      <w:tr w:rsidR="006E4579" w14:paraId="2CD32542" w14:textId="77777777">
        <w:trPr>
          <w:jc w:val="center"/>
        </w:trPr>
        <w:tc>
          <w:tcPr>
            <w:tcW w:w="1505" w:type="dxa"/>
            <w:shd w:val="clear" w:color="auto" w:fill="F2F6FC"/>
          </w:tcPr>
          <w:p w14:paraId="5E0AAA45" w14:textId="77777777" w:rsidR="006E4579" w:rsidRDefault="00000000">
            <w:r>
              <w:rPr>
                <w:rFonts w:ascii="Arial" w:hAnsi="Arial"/>
                <w:sz w:val="18"/>
              </w:rPr>
              <w:t>Transportation - Road</w:t>
            </w:r>
          </w:p>
        </w:tc>
        <w:tc>
          <w:tcPr>
            <w:tcW w:w="1505" w:type="dxa"/>
            <w:shd w:val="clear" w:color="auto" w:fill="F2F6FC"/>
          </w:tcPr>
          <w:p w14:paraId="5A32F9A6" w14:textId="77777777" w:rsidR="006E4579" w:rsidRDefault="00000000">
            <w:pPr>
              <w:jc w:val="right"/>
            </w:pPr>
            <w:r>
              <w:rPr>
                <w:rFonts w:ascii="Arial" w:hAnsi="Arial"/>
                <w:sz w:val="18"/>
              </w:rPr>
              <w:t>1,227,020</w:t>
            </w:r>
          </w:p>
        </w:tc>
        <w:tc>
          <w:tcPr>
            <w:tcW w:w="1505" w:type="dxa"/>
            <w:shd w:val="clear" w:color="auto" w:fill="F2F6FC"/>
          </w:tcPr>
          <w:p w14:paraId="70A03450" w14:textId="77777777" w:rsidR="006E4579" w:rsidRDefault="00000000">
            <w:pPr>
              <w:jc w:val="right"/>
            </w:pPr>
            <w:r>
              <w:rPr>
                <w:rFonts w:ascii="Arial" w:hAnsi="Arial"/>
                <w:sz w:val="18"/>
              </w:rPr>
              <w:t>864,356</w:t>
            </w:r>
          </w:p>
        </w:tc>
        <w:tc>
          <w:tcPr>
            <w:tcW w:w="1505" w:type="dxa"/>
            <w:shd w:val="clear" w:color="auto" w:fill="F2F6FC"/>
          </w:tcPr>
          <w:p w14:paraId="4D03C730" w14:textId="77777777" w:rsidR="006E4579" w:rsidRDefault="00000000">
            <w:pPr>
              <w:jc w:val="right"/>
            </w:pPr>
            <w:r>
              <w:rPr>
                <w:rFonts w:ascii="Arial" w:hAnsi="Arial"/>
                <w:sz w:val="18"/>
              </w:rPr>
              <w:t>10.09</w:t>
            </w:r>
          </w:p>
        </w:tc>
        <w:tc>
          <w:tcPr>
            <w:tcW w:w="1505" w:type="dxa"/>
            <w:shd w:val="clear" w:color="auto" w:fill="F2F6FC"/>
          </w:tcPr>
          <w:p w14:paraId="24FD6C75" w14:textId="77777777" w:rsidR="006E4579" w:rsidRDefault="00000000">
            <w:pPr>
              <w:jc w:val="right"/>
            </w:pPr>
            <w:r>
              <w:rPr>
                <w:rFonts w:ascii="Arial" w:hAnsi="Arial"/>
                <w:sz w:val="18"/>
              </w:rPr>
              <w:t>7.888</w:t>
            </w:r>
          </w:p>
        </w:tc>
        <w:tc>
          <w:tcPr>
            <w:tcW w:w="1505" w:type="dxa"/>
            <w:shd w:val="clear" w:color="auto" w:fill="F2F6FC"/>
          </w:tcPr>
          <w:p w14:paraId="29368D30" w14:textId="77777777" w:rsidR="006E4579" w:rsidRDefault="00000000">
            <w:pPr>
              <w:jc w:val="right"/>
            </w:pPr>
            <w:r>
              <w:rPr>
                <w:rFonts w:ascii="Arial" w:hAnsi="Arial"/>
                <w:sz w:val="18"/>
              </w:rPr>
              <w:t>3.36</w:t>
            </w:r>
          </w:p>
        </w:tc>
      </w:tr>
      <w:tr w:rsidR="006E4579" w14:paraId="5F15AA78" w14:textId="77777777">
        <w:trPr>
          <w:jc w:val="center"/>
        </w:trPr>
        <w:tc>
          <w:tcPr>
            <w:tcW w:w="1505" w:type="dxa"/>
          </w:tcPr>
          <w:p w14:paraId="3B491F02" w14:textId="77777777" w:rsidR="006E4579" w:rsidRDefault="00000000">
            <w:r>
              <w:rPr>
                <w:rFonts w:ascii="Arial" w:hAnsi="Arial"/>
                <w:sz w:val="18"/>
              </w:rPr>
              <w:t>Manufacturing - Food &amp; Beverage</w:t>
            </w:r>
          </w:p>
        </w:tc>
        <w:tc>
          <w:tcPr>
            <w:tcW w:w="1505" w:type="dxa"/>
          </w:tcPr>
          <w:p w14:paraId="7F3754E2" w14:textId="77777777" w:rsidR="006E4579" w:rsidRDefault="00000000">
            <w:pPr>
              <w:jc w:val="right"/>
            </w:pPr>
            <w:r>
              <w:rPr>
                <w:rFonts w:ascii="Arial" w:hAnsi="Arial"/>
                <w:sz w:val="18"/>
              </w:rPr>
              <w:t>936,111</w:t>
            </w:r>
          </w:p>
        </w:tc>
        <w:tc>
          <w:tcPr>
            <w:tcW w:w="1505" w:type="dxa"/>
          </w:tcPr>
          <w:p w14:paraId="08C0550C" w14:textId="77777777" w:rsidR="006E4579" w:rsidRDefault="00000000">
            <w:pPr>
              <w:jc w:val="right"/>
            </w:pPr>
            <w:r>
              <w:rPr>
                <w:rFonts w:ascii="Arial" w:hAnsi="Arial"/>
                <w:sz w:val="18"/>
              </w:rPr>
              <w:t>653,414</w:t>
            </w:r>
          </w:p>
        </w:tc>
        <w:tc>
          <w:tcPr>
            <w:tcW w:w="1505" w:type="dxa"/>
          </w:tcPr>
          <w:p w14:paraId="558B530C" w14:textId="77777777" w:rsidR="006E4579" w:rsidRDefault="00000000">
            <w:pPr>
              <w:jc w:val="right"/>
            </w:pPr>
            <w:r>
              <w:rPr>
                <w:rFonts w:ascii="Arial" w:hAnsi="Arial"/>
                <w:sz w:val="18"/>
              </w:rPr>
              <w:t>10.97</w:t>
            </w:r>
          </w:p>
        </w:tc>
        <w:tc>
          <w:tcPr>
            <w:tcW w:w="1505" w:type="dxa"/>
          </w:tcPr>
          <w:p w14:paraId="5CFDDB35" w14:textId="77777777" w:rsidR="006E4579" w:rsidRDefault="00000000">
            <w:pPr>
              <w:jc w:val="right"/>
            </w:pPr>
            <w:r>
              <w:rPr>
                <w:rFonts w:ascii="Arial" w:hAnsi="Arial"/>
                <w:sz w:val="18"/>
              </w:rPr>
              <w:t>5.535</w:t>
            </w:r>
          </w:p>
        </w:tc>
        <w:tc>
          <w:tcPr>
            <w:tcW w:w="1505" w:type="dxa"/>
          </w:tcPr>
          <w:p w14:paraId="11CF7705" w14:textId="77777777" w:rsidR="006E4579" w:rsidRDefault="00000000">
            <w:pPr>
              <w:jc w:val="right"/>
            </w:pPr>
            <w:r>
              <w:rPr>
                <w:rFonts w:ascii="Arial" w:hAnsi="Arial"/>
                <w:sz w:val="18"/>
              </w:rPr>
              <w:t>3.35</w:t>
            </w:r>
          </w:p>
        </w:tc>
      </w:tr>
      <w:tr w:rsidR="006E4579" w14:paraId="0BE12B7C" w14:textId="77777777">
        <w:trPr>
          <w:jc w:val="center"/>
        </w:trPr>
        <w:tc>
          <w:tcPr>
            <w:tcW w:w="1505" w:type="dxa"/>
            <w:shd w:val="clear" w:color="auto" w:fill="F2F6FC"/>
          </w:tcPr>
          <w:p w14:paraId="5D39AB83" w14:textId="77777777" w:rsidR="006E4579" w:rsidRDefault="00000000">
            <w:r>
              <w:rPr>
                <w:rFonts w:ascii="Arial" w:hAnsi="Arial"/>
                <w:sz w:val="18"/>
              </w:rPr>
              <w:t>Agriculture</w:t>
            </w:r>
          </w:p>
        </w:tc>
        <w:tc>
          <w:tcPr>
            <w:tcW w:w="1505" w:type="dxa"/>
            <w:shd w:val="clear" w:color="auto" w:fill="F2F6FC"/>
          </w:tcPr>
          <w:p w14:paraId="0875AC57" w14:textId="77777777" w:rsidR="006E4579" w:rsidRDefault="00000000">
            <w:pPr>
              <w:jc w:val="right"/>
            </w:pPr>
            <w:r>
              <w:rPr>
                <w:rFonts w:ascii="Arial" w:hAnsi="Arial"/>
                <w:sz w:val="18"/>
              </w:rPr>
              <w:t>288,493</w:t>
            </w:r>
          </w:p>
        </w:tc>
        <w:tc>
          <w:tcPr>
            <w:tcW w:w="1505" w:type="dxa"/>
            <w:shd w:val="clear" w:color="auto" w:fill="F2F6FC"/>
          </w:tcPr>
          <w:p w14:paraId="256140BA" w14:textId="77777777" w:rsidR="006E4579" w:rsidRDefault="00000000">
            <w:pPr>
              <w:jc w:val="right"/>
            </w:pPr>
            <w:r>
              <w:rPr>
                <w:rFonts w:ascii="Arial" w:hAnsi="Arial"/>
                <w:sz w:val="18"/>
              </w:rPr>
              <w:t>183,548</w:t>
            </w:r>
          </w:p>
        </w:tc>
        <w:tc>
          <w:tcPr>
            <w:tcW w:w="1505" w:type="dxa"/>
            <w:shd w:val="clear" w:color="auto" w:fill="F2F6FC"/>
          </w:tcPr>
          <w:p w14:paraId="1EFCDF1D" w14:textId="77777777" w:rsidR="006E4579" w:rsidRDefault="00000000">
            <w:pPr>
              <w:jc w:val="right"/>
            </w:pPr>
            <w:r>
              <w:rPr>
                <w:rFonts w:ascii="Arial" w:hAnsi="Arial"/>
                <w:sz w:val="18"/>
              </w:rPr>
              <w:t>7.71</w:t>
            </w:r>
          </w:p>
        </w:tc>
        <w:tc>
          <w:tcPr>
            <w:tcW w:w="1505" w:type="dxa"/>
            <w:shd w:val="clear" w:color="auto" w:fill="F2F6FC"/>
          </w:tcPr>
          <w:p w14:paraId="66081035" w14:textId="77777777" w:rsidR="006E4579" w:rsidRDefault="00000000">
            <w:pPr>
              <w:jc w:val="right"/>
            </w:pPr>
            <w:r>
              <w:rPr>
                <w:rFonts w:ascii="Arial" w:hAnsi="Arial"/>
                <w:sz w:val="18"/>
              </w:rPr>
              <w:t>2.426</w:t>
            </w:r>
          </w:p>
        </w:tc>
        <w:tc>
          <w:tcPr>
            <w:tcW w:w="1505" w:type="dxa"/>
            <w:shd w:val="clear" w:color="auto" w:fill="F2F6FC"/>
          </w:tcPr>
          <w:p w14:paraId="5E62B5B1" w14:textId="77777777" w:rsidR="006E4579" w:rsidRDefault="00000000">
            <w:pPr>
              <w:jc w:val="right"/>
            </w:pPr>
            <w:r>
              <w:rPr>
                <w:rFonts w:ascii="Arial" w:hAnsi="Arial"/>
                <w:sz w:val="18"/>
              </w:rPr>
              <w:t>3.41</w:t>
            </w:r>
          </w:p>
        </w:tc>
      </w:tr>
      <w:tr w:rsidR="006E4579" w14:paraId="191538C0" w14:textId="77777777">
        <w:trPr>
          <w:jc w:val="center"/>
        </w:trPr>
        <w:tc>
          <w:tcPr>
            <w:tcW w:w="1505" w:type="dxa"/>
          </w:tcPr>
          <w:p w14:paraId="584DE1E7" w14:textId="77777777" w:rsidR="006E4579" w:rsidRDefault="00000000">
            <w:r>
              <w:rPr>
                <w:rFonts w:ascii="Arial" w:hAnsi="Arial"/>
                <w:sz w:val="18"/>
              </w:rPr>
              <w:t>Real Estate - Commercial</w:t>
            </w:r>
          </w:p>
        </w:tc>
        <w:tc>
          <w:tcPr>
            <w:tcW w:w="1505" w:type="dxa"/>
          </w:tcPr>
          <w:p w14:paraId="3EE03B0D" w14:textId="77777777" w:rsidR="006E4579" w:rsidRDefault="00000000">
            <w:pPr>
              <w:jc w:val="right"/>
            </w:pPr>
            <w:r>
              <w:rPr>
                <w:rFonts w:ascii="Arial" w:hAnsi="Arial"/>
                <w:sz w:val="18"/>
              </w:rPr>
              <w:t>231,235</w:t>
            </w:r>
          </w:p>
        </w:tc>
        <w:tc>
          <w:tcPr>
            <w:tcW w:w="1505" w:type="dxa"/>
          </w:tcPr>
          <w:p w14:paraId="3B463D49" w14:textId="77777777" w:rsidR="006E4579" w:rsidRDefault="00000000">
            <w:pPr>
              <w:jc w:val="right"/>
            </w:pPr>
            <w:r>
              <w:rPr>
                <w:rFonts w:ascii="Arial" w:hAnsi="Arial"/>
                <w:sz w:val="18"/>
              </w:rPr>
              <w:t>158,419</w:t>
            </w:r>
          </w:p>
        </w:tc>
        <w:tc>
          <w:tcPr>
            <w:tcW w:w="1505" w:type="dxa"/>
          </w:tcPr>
          <w:p w14:paraId="10A9F203" w14:textId="77777777" w:rsidR="006E4579" w:rsidRDefault="00000000">
            <w:pPr>
              <w:jc w:val="right"/>
            </w:pPr>
            <w:r>
              <w:rPr>
                <w:rFonts w:ascii="Arial" w:hAnsi="Arial"/>
                <w:sz w:val="18"/>
              </w:rPr>
              <w:t>16.27</w:t>
            </w:r>
          </w:p>
        </w:tc>
        <w:tc>
          <w:tcPr>
            <w:tcW w:w="1505" w:type="dxa"/>
          </w:tcPr>
          <w:p w14:paraId="62B6246B" w14:textId="77777777" w:rsidR="006E4579" w:rsidRDefault="00000000">
            <w:pPr>
              <w:jc w:val="right"/>
            </w:pPr>
            <w:r>
              <w:rPr>
                <w:rFonts w:ascii="Arial" w:hAnsi="Arial"/>
                <w:sz w:val="18"/>
              </w:rPr>
              <w:t>0.922</w:t>
            </w:r>
          </w:p>
        </w:tc>
        <w:tc>
          <w:tcPr>
            <w:tcW w:w="1505" w:type="dxa"/>
          </w:tcPr>
          <w:p w14:paraId="00A01A15" w14:textId="77777777" w:rsidR="006E4579" w:rsidRDefault="00000000">
            <w:pPr>
              <w:jc w:val="right"/>
            </w:pPr>
            <w:r>
              <w:rPr>
                <w:rFonts w:ascii="Arial" w:hAnsi="Arial"/>
                <w:sz w:val="18"/>
              </w:rPr>
              <w:t>3.27</w:t>
            </w:r>
          </w:p>
        </w:tc>
      </w:tr>
      <w:tr w:rsidR="006E4579" w14:paraId="59A629AD" w14:textId="77777777">
        <w:trPr>
          <w:jc w:val="center"/>
        </w:trPr>
        <w:tc>
          <w:tcPr>
            <w:tcW w:w="1505" w:type="dxa"/>
            <w:shd w:val="clear" w:color="auto" w:fill="F2F6FC"/>
          </w:tcPr>
          <w:p w14:paraId="5E2EDC2A" w14:textId="77777777" w:rsidR="006E4579" w:rsidRDefault="00000000">
            <w:r>
              <w:rPr>
                <w:rFonts w:ascii="Arial" w:hAnsi="Arial"/>
                <w:sz w:val="18"/>
              </w:rPr>
              <w:t>Retail Trade</w:t>
            </w:r>
          </w:p>
        </w:tc>
        <w:tc>
          <w:tcPr>
            <w:tcW w:w="1505" w:type="dxa"/>
            <w:shd w:val="clear" w:color="auto" w:fill="F2F6FC"/>
          </w:tcPr>
          <w:p w14:paraId="46C1285D" w14:textId="77777777" w:rsidR="006E4579" w:rsidRDefault="00000000">
            <w:pPr>
              <w:jc w:val="right"/>
            </w:pPr>
            <w:r>
              <w:rPr>
                <w:rFonts w:ascii="Arial" w:hAnsi="Arial"/>
                <w:sz w:val="18"/>
              </w:rPr>
              <w:t>226,341</w:t>
            </w:r>
          </w:p>
        </w:tc>
        <w:tc>
          <w:tcPr>
            <w:tcW w:w="1505" w:type="dxa"/>
            <w:shd w:val="clear" w:color="auto" w:fill="F2F6FC"/>
          </w:tcPr>
          <w:p w14:paraId="7B36458F" w14:textId="77777777" w:rsidR="006E4579" w:rsidRDefault="00000000">
            <w:pPr>
              <w:jc w:val="right"/>
            </w:pPr>
            <w:r>
              <w:rPr>
                <w:rFonts w:ascii="Arial" w:hAnsi="Arial"/>
                <w:sz w:val="18"/>
              </w:rPr>
              <w:t>140,813</w:t>
            </w:r>
          </w:p>
        </w:tc>
        <w:tc>
          <w:tcPr>
            <w:tcW w:w="1505" w:type="dxa"/>
            <w:shd w:val="clear" w:color="auto" w:fill="F2F6FC"/>
          </w:tcPr>
          <w:p w14:paraId="6C176D9E" w14:textId="77777777" w:rsidR="006E4579" w:rsidRDefault="00000000">
            <w:pPr>
              <w:jc w:val="right"/>
            </w:pPr>
            <w:r>
              <w:rPr>
                <w:rFonts w:ascii="Arial" w:hAnsi="Arial"/>
                <w:sz w:val="18"/>
              </w:rPr>
              <w:t>9.92</w:t>
            </w:r>
          </w:p>
        </w:tc>
        <w:tc>
          <w:tcPr>
            <w:tcW w:w="1505" w:type="dxa"/>
            <w:shd w:val="clear" w:color="auto" w:fill="F2F6FC"/>
          </w:tcPr>
          <w:p w14:paraId="59D52B2D" w14:textId="77777777" w:rsidR="006E4579" w:rsidRDefault="00000000">
            <w:pPr>
              <w:jc w:val="right"/>
            </w:pPr>
            <w:r>
              <w:rPr>
                <w:rFonts w:ascii="Arial" w:hAnsi="Arial"/>
                <w:sz w:val="18"/>
              </w:rPr>
              <w:t>1.481</w:t>
            </w:r>
          </w:p>
        </w:tc>
        <w:tc>
          <w:tcPr>
            <w:tcW w:w="1505" w:type="dxa"/>
            <w:shd w:val="clear" w:color="auto" w:fill="F2F6FC"/>
          </w:tcPr>
          <w:p w14:paraId="61E64306" w14:textId="77777777" w:rsidR="006E4579" w:rsidRDefault="00000000">
            <w:pPr>
              <w:jc w:val="right"/>
            </w:pPr>
            <w:r>
              <w:rPr>
                <w:rFonts w:ascii="Arial" w:hAnsi="Arial"/>
                <w:sz w:val="18"/>
              </w:rPr>
              <w:t>3.21</w:t>
            </w:r>
          </w:p>
        </w:tc>
      </w:tr>
      <w:tr w:rsidR="006E4579" w14:paraId="476CAD8A" w14:textId="77777777">
        <w:trPr>
          <w:jc w:val="center"/>
        </w:trPr>
        <w:tc>
          <w:tcPr>
            <w:tcW w:w="1505" w:type="dxa"/>
          </w:tcPr>
          <w:p w14:paraId="5699AC49" w14:textId="77777777" w:rsidR="006E4579" w:rsidRDefault="00000000">
            <w:r>
              <w:rPr>
                <w:rFonts w:ascii="Arial" w:hAnsi="Arial"/>
                <w:sz w:val="18"/>
              </w:rPr>
              <w:t>Real Estate - Residential</w:t>
            </w:r>
          </w:p>
        </w:tc>
        <w:tc>
          <w:tcPr>
            <w:tcW w:w="1505" w:type="dxa"/>
          </w:tcPr>
          <w:p w14:paraId="60734F93" w14:textId="77777777" w:rsidR="006E4579" w:rsidRDefault="00000000">
            <w:pPr>
              <w:jc w:val="right"/>
            </w:pPr>
            <w:r>
              <w:rPr>
                <w:rFonts w:ascii="Arial" w:hAnsi="Arial"/>
                <w:sz w:val="18"/>
              </w:rPr>
              <w:t>107,465</w:t>
            </w:r>
          </w:p>
        </w:tc>
        <w:tc>
          <w:tcPr>
            <w:tcW w:w="1505" w:type="dxa"/>
          </w:tcPr>
          <w:p w14:paraId="42C09930" w14:textId="77777777" w:rsidR="006E4579" w:rsidRDefault="00000000">
            <w:pPr>
              <w:jc w:val="right"/>
            </w:pPr>
            <w:r>
              <w:rPr>
                <w:rFonts w:ascii="Arial" w:hAnsi="Arial"/>
                <w:sz w:val="18"/>
              </w:rPr>
              <w:t>79,159</w:t>
            </w:r>
          </w:p>
        </w:tc>
        <w:tc>
          <w:tcPr>
            <w:tcW w:w="1505" w:type="dxa"/>
          </w:tcPr>
          <w:p w14:paraId="71C197A8" w14:textId="77777777" w:rsidR="006E4579" w:rsidRDefault="00000000">
            <w:pPr>
              <w:jc w:val="right"/>
            </w:pPr>
            <w:r>
              <w:rPr>
                <w:rFonts w:ascii="Arial" w:hAnsi="Arial"/>
                <w:sz w:val="18"/>
              </w:rPr>
              <w:t>10.93</w:t>
            </w:r>
          </w:p>
        </w:tc>
        <w:tc>
          <w:tcPr>
            <w:tcW w:w="1505" w:type="dxa"/>
          </w:tcPr>
          <w:p w14:paraId="2AE40457" w14:textId="77777777" w:rsidR="006E4579" w:rsidRDefault="00000000">
            <w:pPr>
              <w:jc w:val="right"/>
            </w:pPr>
            <w:r>
              <w:rPr>
                <w:rFonts w:ascii="Arial" w:hAnsi="Arial"/>
                <w:sz w:val="18"/>
              </w:rPr>
              <w:t>0.638</w:t>
            </w:r>
          </w:p>
        </w:tc>
        <w:tc>
          <w:tcPr>
            <w:tcW w:w="1505" w:type="dxa"/>
          </w:tcPr>
          <w:p w14:paraId="08873E46" w14:textId="77777777" w:rsidR="006E4579" w:rsidRDefault="00000000">
            <w:pPr>
              <w:jc w:val="right"/>
            </w:pPr>
            <w:r>
              <w:rPr>
                <w:rFonts w:ascii="Arial" w:hAnsi="Arial"/>
                <w:sz w:val="18"/>
              </w:rPr>
              <w:t>3.32</w:t>
            </w:r>
          </w:p>
        </w:tc>
      </w:tr>
      <w:tr w:rsidR="006E4579" w14:paraId="37A56E0E" w14:textId="77777777">
        <w:trPr>
          <w:jc w:val="center"/>
        </w:trPr>
        <w:tc>
          <w:tcPr>
            <w:tcW w:w="1505" w:type="dxa"/>
            <w:shd w:val="clear" w:color="auto" w:fill="F2F6FC"/>
          </w:tcPr>
          <w:p w14:paraId="2F4A641F" w14:textId="77777777" w:rsidR="006E4579" w:rsidRDefault="00000000">
            <w:r>
              <w:rPr>
                <w:rFonts w:ascii="Arial" w:hAnsi="Arial"/>
                <w:sz w:val="18"/>
              </w:rPr>
              <w:t>Financial Services</w:t>
            </w:r>
          </w:p>
        </w:tc>
        <w:tc>
          <w:tcPr>
            <w:tcW w:w="1505" w:type="dxa"/>
            <w:shd w:val="clear" w:color="auto" w:fill="F2F6FC"/>
          </w:tcPr>
          <w:p w14:paraId="53EFBCB2" w14:textId="77777777" w:rsidR="006E4579" w:rsidRDefault="00000000">
            <w:pPr>
              <w:jc w:val="right"/>
            </w:pPr>
            <w:r>
              <w:rPr>
                <w:rFonts w:ascii="Arial" w:hAnsi="Arial"/>
                <w:sz w:val="18"/>
              </w:rPr>
              <w:t>73,694</w:t>
            </w:r>
          </w:p>
        </w:tc>
        <w:tc>
          <w:tcPr>
            <w:tcW w:w="1505" w:type="dxa"/>
            <w:shd w:val="clear" w:color="auto" w:fill="F2F6FC"/>
          </w:tcPr>
          <w:p w14:paraId="2F26E4C9" w14:textId="77777777" w:rsidR="006E4579" w:rsidRDefault="00000000">
            <w:pPr>
              <w:jc w:val="right"/>
            </w:pPr>
            <w:r>
              <w:rPr>
                <w:rFonts w:ascii="Arial" w:hAnsi="Arial"/>
                <w:sz w:val="18"/>
              </w:rPr>
              <w:t>49,718</w:t>
            </w:r>
          </w:p>
        </w:tc>
        <w:tc>
          <w:tcPr>
            <w:tcW w:w="1505" w:type="dxa"/>
            <w:shd w:val="clear" w:color="auto" w:fill="F2F6FC"/>
          </w:tcPr>
          <w:p w14:paraId="0223D0FC" w14:textId="77777777" w:rsidR="006E4579" w:rsidRDefault="00000000">
            <w:pPr>
              <w:jc w:val="right"/>
            </w:pPr>
            <w:r>
              <w:rPr>
                <w:rFonts w:ascii="Arial" w:hAnsi="Arial"/>
                <w:sz w:val="18"/>
              </w:rPr>
              <w:t>13.41</w:t>
            </w:r>
          </w:p>
        </w:tc>
        <w:tc>
          <w:tcPr>
            <w:tcW w:w="1505" w:type="dxa"/>
            <w:shd w:val="clear" w:color="auto" w:fill="F2F6FC"/>
          </w:tcPr>
          <w:p w14:paraId="3314FE7B" w14:textId="77777777" w:rsidR="006E4579" w:rsidRDefault="00000000">
            <w:pPr>
              <w:jc w:val="right"/>
            </w:pPr>
            <w:r>
              <w:rPr>
                <w:rFonts w:ascii="Arial" w:hAnsi="Arial"/>
                <w:sz w:val="18"/>
              </w:rPr>
              <w:t>0.357</w:t>
            </w:r>
          </w:p>
        </w:tc>
        <w:tc>
          <w:tcPr>
            <w:tcW w:w="1505" w:type="dxa"/>
            <w:shd w:val="clear" w:color="auto" w:fill="F2F6FC"/>
          </w:tcPr>
          <w:p w14:paraId="47739199" w14:textId="77777777" w:rsidR="006E4579" w:rsidRDefault="00000000">
            <w:pPr>
              <w:jc w:val="right"/>
            </w:pPr>
            <w:r>
              <w:rPr>
                <w:rFonts w:ascii="Arial" w:hAnsi="Arial"/>
                <w:sz w:val="18"/>
              </w:rPr>
              <w:t>3.42</w:t>
            </w:r>
          </w:p>
        </w:tc>
      </w:tr>
    </w:tbl>
    <w:p w14:paraId="607BCFE6" w14:textId="77777777" w:rsidR="006E4579" w:rsidRDefault="00000000">
      <w:r>
        <w:rPr>
          <w:rFonts w:ascii="Arial" w:hAnsi="Arial"/>
          <w:i/>
          <w:sz w:val="16"/>
        </w:rPr>
        <w:t>Source: Source: Internal PCAF calculation system. Gross emissions represent full attribution; weighted emissions apply PCAF data quality confidence factors. Portfolio share based on total outstanding loans of IDR 1,541.18 trillion.</w:t>
      </w:r>
    </w:p>
    <w:p w14:paraId="08E388F8" w14:textId="77777777" w:rsidR="006E4579" w:rsidRDefault="006E4579"/>
    <w:p w14:paraId="1C0A407A" w14:textId="77777777" w:rsidR="006E4579" w:rsidRDefault="00000000">
      <w:r>
        <w:rPr>
          <w:rFonts w:ascii="Arial" w:hAnsi="Arial"/>
          <w:b/>
          <w:sz w:val="20"/>
        </w:rPr>
        <w:lastRenderedPageBreak/>
        <w:t>Table 26: Table 1.3.2: Framework Cross-Reference — Scope 3 Category 15 Disclosure Requirements</w:t>
      </w:r>
    </w:p>
    <w:tbl>
      <w:tblPr>
        <w:tblW w:w="0" w:type="auto"/>
        <w:jc w:val="center"/>
        <w:tblLook w:val="04A0" w:firstRow="1" w:lastRow="0" w:firstColumn="1" w:lastColumn="0" w:noHBand="0" w:noVBand="1"/>
      </w:tblPr>
      <w:tblGrid>
        <w:gridCol w:w="2257"/>
        <w:gridCol w:w="2257"/>
        <w:gridCol w:w="2257"/>
        <w:gridCol w:w="2257"/>
      </w:tblGrid>
      <w:tr w:rsidR="006E4579" w14:paraId="7E07CF87" w14:textId="77777777">
        <w:trPr>
          <w:jc w:val="center"/>
        </w:trPr>
        <w:tc>
          <w:tcPr>
            <w:tcW w:w="2257" w:type="dxa"/>
            <w:shd w:val="clear" w:color="auto" w:fill="1B3A6B"/>
          </w:tcPr>
          <w:p w14:paraId="50584C81" w14:textId="77777777" w:rsidR="006E4579" w:rsidRDefault="00000000">
            <w:r>
              <w:rPr>
                <w:rFonts w:ascii="Arial" w:hAnsi="Arial"/>
                <w:b/>
                <w:color w:val="FFFFFF"/>
                <w:sz w:val="18"/>
              </w:rPr>
              <w:t>Framework</w:t>
            </w:r>
          </w:p>
        </w:tc>
        <w:tc>
          <w:tcPr>
            <w:tcW w:w="2257" w:type="dxa"/>
            <w:shd w:val="clear" w:color="auto" w:fill="1B3A6B"/>
          </w:tcPr>
          <w:p w14:paraId="667BD5F1" w14:textId="77777777" w:rsidR="006E4579" w:rsidRDefault="00000000">
            <w:r>
              <w:rPr>
                <w:rFonts w:ascii="Arial" w:hAnsi="Arial"/>
                <w:b/>
                <w:color w:val="FFFFFF"/>
                <w:sz w:val="18"/>
              </w:rPr>
              <w:t>Disclosure Reference</w:t>
            </w:r>
          </w:p>
        </w:tc>
        <w:tc>
          <w:tcPr>
            <w:tcW w:w="2257" w:type="dxa"/>
            <w:shd w:val="clear" w:color="auto" w:fill="1B3A6B"/>
          </w:tcPr>
          <w:p w14:paraId="37CB59AA" w14:textId="77777777" w:rsidR="006E4579" w:rsidRDefault="00000000">
            <w:r>
              <w:rPr>
                <w:rFonts w:ascii="Arial" w:hAnsi="Arial"/>
                <w:b/>
                <w:color w:val="FFFFFF"/>
                <w:sz w:val="18"/>
              </w:rPr>
              <w:t>Requirement</w:t>
            </w:r>
          </w:p>
        </w:tc>
        <w:tc>
          <w:tcPr>
            <w:tcW w:w="2257" w:type="dxa"/>
            <w:shd w:val="clear" w:color="auto" w:fill="1B3A6B"/>
          </w:tcPr>
          <w:p w14:paraId="0F3BA3CE" w14:textId="77777777" w:rsidR="006E4579" w:rsidRDefault="00000000">
            <w:r>
              <w:rPr>
                <w:rFonts w:ascii="Arial" w:hAnsi="Arial"/>
                <w:b/>
                <w:color w:val="FFFFFF"/>
                <w:sz w:val="18"/>
              </w:rPr>
              <w:t>Status</w:t>
            </w:r>
          </w:p>
        </w:tc>
      </w:tr>
      <w:tr w:rsidR="006E4579" w14:paraId="633C1581" w14:textId="77777777">
        <w:trPr>
          <w:jc w:val="center"/>
        </w:trPr>
        <w:tc>
          <w:tcPr>
            <w:tcW w:w="2257" w:type="dxa"/>
          </w:tcPr>
          <w:p w14:paraId="0CB16901" w14:textId="77777777" w:rsidR="006E4579" w:rsidRDefault="00000000">
            <w:r>
              <w:rPr>
                <w:rFonts w:ascii="Arial" w:hAnsi="Arial"/>
                <w:sz w:val="18"/>
              </w:rPr>
              <w:t>GRI 305-3</w:t>
            </w:r>
          </w:p>
        </w:tc>
        <w:tc>
          <w:tcPr>
            <w:tcW w:w="2257" w:type="dxa"/>
          </w:tcPr>
          <w:p w14:paraId="0D1601B1" w14:textId="77777777" w:rsidR="006E4579" w:rsidRDefault="00000000">
            <w:r>
              <w:rPr>
                <w:rFonts w:ascii="Arial" w:hAnsi="Arial"/>
                <w:sz w:val="18"/>
              </w:rPr>
              <w:t>305-3a</w:t>
            </w:r>
          </w:p>
        </w:tc>
        <w:tc>
          <w:tcPr>
            <w:tcW w:w="2257" w:type="dxa"/>
          </w:tcPr>
          <w:p w14:paraId="204B8ADD" w14:textId="77777777" w:rsidR="006E4579" w:rsidRDefault="00000000">
            <w:r>
              <w:rPr>
                <w:rFonts w:ascii="Arial" w:hAnsi="Arial"/>
                <w:sz w:val="18"/>
              </w:rPr>
              <w:t>Gross other indirect (Scope 3) GHG emissions in metric tons of CO₂ equivalent</w:t>
            </w:r>
          </w:p>
        </w:tc>
        <w:tc>
          <w:tcPr>
            <w:tcW w:w="2257" w:type="dxa"/>
          </w:tcPr>
          <w:p w14:paraId="0D1B1688" w14:textId="77777777" w:rsidR="006E4579" w:rsidRDefault="00000000">
            <w:r>
              <w:rPr>
                <w:rFonts w:ascii="Arial" w:hAnsi="Arial"/>
                <w:sz w:val="18"/>
              </w:rPr>
              <w:t>✅ Disclosed</w:t>
            </w:r>
          </w:p>
        </w:tc>
      </w:tr>
      <w:tr w:rsidR="006E4579" w14:paraId="776E8DF4" w14:textId="77777777">
        <w:trPr>
          <w:jc w:val="center"/>
        </w:trPr>
        <w:tc>
          <w:tcPr>
            <w:tcW w:w="2257" w:type="dxa"/>
            <w:shd w:val="clear" w:color="auto" w:fill="F2F6FC"/>
          </w:tcPr>
          <w:p w14:paraId="1311D540" w14:textId="77777777" w:rsidR="006E4579" w:rsidRDefault="00000000">
            <w:r>
              <w:rPr>
                <w:rFonts w:ascii="Arial" w:hAnsi="Arial"/>
                <w:sz w:val="18"/>
              </w:rPr>
              <w:t>GRI 305-3</w:t>
            </w:r>
          </w:p>
        </w:tc>
        <w:tc>
          <w:tcPr>
            <w:tcW w:w="2257" w:type="dxa"/>
            <w:shd w:val="clear" w:color="auto" w:fill="F2F6FC"/>
          </w:tcPr>
          <w:p w14:paraId="2E2EB47E" w14:textId="77777777" w:rsidR="006E4579" w:rsidRDefault="00000000">
            <w:r>
              <w:rPr>
                <w:rFonts w:ascii="Arial" w:hAnsi="Arial"/>
                <w:sz w:val="18"/>
              </w:rPr>
              <w:t>305-3d</w:t>
            </w:r>
          </w:p>
        </w:tc>
        <w:tc>
          <w:tcPr>
            <w:tcW w:w="2257" w:type="dxa"/>
            <w:shd w:val="clear" w:color="auto" w:fill="F2F6FC"/>
          </w:tcPr>
          <w:p w14:paraId="50CF211C" w14:textId="77777777" w:rsidR="006E4579" w:rsidRDefault="00000000">
            <w:r>
              <w:rPr>
                <w:rFonts w:ascii="Arial" w:hAnsi="Arial"/>
                <w:sz w:val="18"/>
              </w:rPr>
              <w:t>GHG emissions data for each Scope 3 category included</w:t>
            </w:r>
          </w:p>
        </w:tc>
        <w:tc>
          <w:tcPr>
            <w:tcW w:w="2257" w:type="dxa"/>
            <w:shd w:val="clear" w:color="auto" w:fill="F2F6FC"/>
          </w:tcPr>
          <w:p w14:paraId="3536191F" w14:textId="77777777" w:rsidR="006E4579" w:rsidRDefault="00000000">
            <w:r>
              <w:rPr>
                <w:rFonts w:ascii="Arial" w:hAnsi="Arial"/>
                <w:sz w:val="18"/>
              </w:rPr>
              <w:t>✅ Disclosed (Cat 15)</w:t>
            </w:r>
          </w:p>
        </w:tc>
      </w:tr>
      <w:tr w:rsidR="006E4579" w14:paraId="366E7A7D" w14:textId="77777777">
        <w:trPr>
          <w:jc w:val="center"/>
        </w:trPr>
        <w:tc>
          <w:tcPr>
            <w:tcW w:w="2257" w:type="dxa"/>
          </w:tcPr>
          <w:p w14:paraId="6748C5B8" w14:textId="77777777" w:rsidR="006E4579" w:rsidRDefault="00000000">
            <w:r>
              <w:rPr>
                <w:rFonts w:ascii="Arial" w:hAnsi="Arial"/>
                <w:sz w:val="18"/>
              </w:rPr>
              <w:t>IFRS S2</w:t>
            </w:r>
          </w:p>
        </w:tc>
        <w:tc>
          <w:tcPr>
            <w:tcW w:w="2257" w:type="dxa"/>
          </w:tcPr>
          <w:p w14:paraId="6DD61C40" w14:textId="77777777" w:rsidR="006E4579" w:rsidRDefault="00000000">
            <w:r>
              <w:rPr>
                <w:rFonts w:ascii="Arial" w:hAnsi="Arial"/>
                <w:sz w:val="18"/>
              </w:rPr>
              <w:t>Para 29(a)(iv)</w:t>
            </w:r>
          </w:p>
        </w:tc>
        <w:tc>
          <w:tcPr>
            <w:tcW w:w="2257" w:type="dxa"/>
          </w:tcPr>
          <w:p w14:paraId="4A06BF7B" w14:textId="77777777" w:rsidR="006E4579" w:rsidRDefault="00000000">
            <w:r>
              <w:rPr>
                <w:rFonts w:ascii="Arial" w:hAnsi="Arial"/>
                <w:sz w:val="18"/>
              </w:rPr>
              <w:t>Absolute gross Scope 3 GHG emissions</w:t>
            </w:r>
          </w:p>
        </w:tc>
        <w:tc>
          <w:tcPr>
            <w:tcW w:w="2257" w:type="dxa"/>
          </w:tcPr>
          <w:p w14:paraId="7FECB1D0" w14:textId="77777777" w:rsidR="006E4579" w:rsidRDefault="00000000">
            <w:r>
              <w:rPr>
                <w:rFonts w:ascii="Arial" w:hAnsi="Arial"/>
                <w:sz w:val="18"/>
              </w:rPr>
              <w:t>✅ Disclosed</w:t>
            </w:r>
          </w:p>
        </w:tc>
      </w:tr>
      <w:tr w:rsidR="006E4579" w14:paraId="49FE43EA" w14:textId="77777777">
        <w:trPr>
          <w:jc w:val="center"/>
        </w:trPr>
        <w:tc>
          <w:tcPr>
            <w:tcW w:w="2257" w:type="dxa"/>
            <w:shd w:val="clear" w:color="auto" w:fill="F2F6FC"/>
          </w:tcPr>
          <w:p w14:paraId="475DE60D" w14:textId="77777777" w:rsidR="006E4579" w:rsidRDefault="00000000">
            <w:r>
              <w:rPr>
                <w:rFonts w:ascii="Arial" w:hAnsi="Arial"/>
                <w:sz w:val="18"/>
              </w:rPr>
              <w:t>IFRS S2</w:t>
            </w:r>
          </w:p>
        </w:tc>
        <w:tc>
          <w:tcPr>
            <w:tcW w:w="2257" w:type="dxa"/>
            <w:shd w:val="clear" w:color="auto" w:fill="F2F6FC"/>
          </w:tcPr>
          <w:p w14:paraId="784F55FD" w14:textId="77777777" w:rsidR="006E4579" w:rsidRDefault="00000000">
            <w:r>
              <w:rPr>
                <w:rFonts w:ascii="Arial" w:hAnsi="Arial"/>
                <w:sz w:val="18"/>
              </w:rPr>
              <w:t>Para 29(a)(iv)</w:t>
            </w:r>
          </w:p>
        </w:tc>
        <w:tc>
          <w:tcPr>
            <w:tcW w:w="2257" w:type="dxa"/>
            <w:shd w:val="clear" w:color="auto" w:fill="F2F6FC"/>
          </w:tcPr>
          <w:p w14:paraId="16A2BFE0" w14:textId="77777777" w:rsidR="006E4579" w:rsidRDefault="00000000">
            <w:r>
              <w:rPr>
                <w:rFonts w:ascii="Arial" w:hAnsi="Arial"/>
                <w:sz w:val="18"/>
              </w:rPr>
              <w:t>Industry-based metrics (financed emissions)</w:t>
            </w:r>
          </w:p>
        </w:tc>
        <w:tc>
          <w:tcPr>
            <w:tcW w:w="2257" w:type="dxa"/>
            <w:shd w:val="clear" w:color="auto" w:fill="F2F6FC"/>
          </w:tcPr>
          <w:p w14:paraId="7CA7BCAD" w14:textId="77777777" w:rsidR="006E4579" w:rsidRDefault="00000000">
            <w:r>
              <w:rPr>
                <w:rFonts w:ascii="Arial" w:hAnsi="Arial"/>
                <w:sz w:val="18"/>
              </w:rPr>
              <w:t>✅ Disclosed</w:t>
            </w:r>
          </w:p>
        </w:tc>
      </w:tr>
      <w:tr w:rsidR="006E4579" w14:paraId="255E377A" w14:textId="77777777">
        <w:trPr>
          <w:jc w:val="center"/>
        </w:trPr>
        <w:tc>
          <w:tcPr>
            <w:tcW w:w="2257" w:type="dxa"/>
          </w:tcPr>
          <w:p w14:paraId="3A8046A5" w14:textId="77777777" w:rsidR="006E4579" w:rsidRDefault="00000000">
            <w:r>
              <w:rPr>
                <w:rFonts w:ascii="Arial" w:hAnsi="Arial"/>
                <w:sz w:val="18"/>
              </w:rPr>
              <w:t>ESRS E1</w:t>
            </w:r>
          </w:p>
        </w:tc>
        <w:tc>
          <w:tcPr>
            <w:tcW w:w="2257" w:type="dxa"/>
          </w:tcPr>
          <w:p w14:paraId="6622EB3A" w14:textId="77777777" w:rsidR="006E4579" w:rsidRDefault="00000000">
            <w:r>
              <w:rPr>
                <w:rFonts w:ascii="Arial" w:hAnsi="Arial"/>
                <w:sz w:val="18"/>
              </w:rPr>
              <w:t>DR E1-6.51</w:t>
            </w:r>
          </w:p>
        </w:tc>
        <w:tc>
          <w:tcPr>
            <w:tcW w:w="2257" w:type="dxa"/>
          </w:tcPr>
          <w:p w14:paraId="64A6EE41" w14:textId="77777777" w:rsidR="006E4579" w:rsidRDefault="00000000">
            <w:r>
              <w:rPr>
                <w:rFonts w:ascii="Arial" w:hAnsi="Arial"/>
                <w:sz w:val="18"/>
              </w:rPr>
              <w:t>Total indirect GHG emissions (Scope 3) in metric tons of CO₂ equivalent</w:t>
            </w:r>
          </w:p>
        </w:tc>
        <w:tc>
          <w:tcPr>
            <w:tcW w:w="2257" w:type="dxa"/>
          </w:tcPr>
          <w:p w14:paraId="730F19D0" w14:textId="77777777" w:rsidR="006E4579" w:rsidRDefault="00000000">
            <w:r>
              <w:rPr>
                <w:rFonts w:ascii="Arial" w:hAnsi="Arial"/>
                <w:sz w:val="18"/>
              </w:rPr>
              <w:t>✅ Disclosed</w:t>
            </w:r>
          </w:p>
        </w:tc>
      </w:tr>
      <w:tr w:rsidR="006E4579" w14:paraId="6B81294C" w14:textId="77777777">
        <w:trPr>
          <w:jc w:val="center"/>
        </w:trPr>
        <w:tc>
          <w:tcPr>
            <w:tcW w:w="2257" w:type="dxa"/>
            <w:shd w:val="clear" w:color="auto" w:fill="F2F6FC"/>
          </w:tcPr>
          <w:p w14:paraId="2A8300FD" w14:textId="77777777" w:rsidR="006E4579" w:rsidRDefault="00000000">
            <w:r>
              <w:rPr>
                <w:rFonts w:ascii="Arial" w:hAnsi="Arial"/>
                <w:sz w:val="18"/>
              </w:rPr>
              <w:t>OJK PSPK</w:t>
            </w:r>
          </w:p>
        </w:tc>
        <w:tc>
          <w:tcPr>
            <w:tcW w:w="2257" w:type="dxa"/>
            <w:shd w:val="clear" w:color="auto" w:fill="F2F6FC"/>
          </w:tcPr>
          <w:p w14:paraId="7EC9B030" w14:textId="77777777" w:rsidR="006E4579" w:rsidRDefault="00000000">
            <w:r>
              <w:rPr>
                <w:rFonts w:ascii="Arial" w:hAnsi="Arial"/>
                <w:sz w:val="18"/>
              </w:rPr>
              <w:t>Emisi Lingkup 3</w:t>
            </w:r>
          </w:p>
        </w:tc>
        <w:tc>
          <w:tcPr>
            <w:tcW w:w="2257" w:type="dxa"/>
            <w:shd w:val="clear" w:color="auto" w:fill="F2F6FC"/>
          </w:tcPr>
          <w:p w14:paraId="1A79302E" w14:textId="77777777" w:rsidR="006E4579" w:rsidRDefault="00000000">
            <w:r>
              <w:rPr>
                <w:rFonts w:ascii="Arial" w:hAnsi="Arial"/>
                <w:sz w:val="18"/>
              </w:rPr>
              <w:t>Emisi pembiayaan menggunakan metodologi PCAF</w:t>
            </w:r>
          </w:p>
        </w:tc>
        <w:tc>
          <w:tcPr>
            <w:tcW w:w="2257" w:type="dxa"/>
            <w:shd w:val="clear" w:color="auto" w:fill="F2F6FC"/>
          </w:tcPr>
          <w:p w14:paraId="363A093D" w14:textId="77777777" w:rsidR="006E4579" w:rsidRDefault="00000000">
            <w:r>
              <w:rPr>
                <w:rFonts w:ascii="Arial" w:hAnsi="Arial"/>
                <w:sz w:val="18"/>
              </w:rPr>
              <w:t>✅ Disclosed</w:t>
            </w:r>
          </w:p>
        </w:tc>
      </w:tr>
      <w:tr w:rsidR="006E4579" w14:paraId="5D83A74C" w14:textId="77777777">
        <w:trPr>
          <w:jc w:val="center"/>
        </w:trPr>
        <w:tc>
          <w:tcPr>
            <w:tcW w:w="2257" w:type="dxa"/>
          </w:tcPr>
          <w:p w14:paraId="551A3508" w14:textId="77777777" w:rsidR="006E4579" w:rsidRDefault="00000000">
            <w:r>
              <w:rPr>
                <w:rFonts w:ascii="Arial" w:hAnsi="Arial"/>
                <w:sz w:val="18"/>
              </w:rPr>
              <w:t>PCAF Global Standard</w:t>
            </w:r>
          </w:p>
        </w:tc>
        <w:tc>
          <w:tcPr>
            <w:tcW w:w="2257" w:type="dxa"/>
          </w:tcPr>
          <w:p w14:paraId="69714773" w14:textId="77777777" w:rsidR="006E4579" w:rsidRDefault="00000000">
            <w:r>
              <w:rPr>
                <w:rFonts w:ascii="Arial" w:hAnsi="Arial"/>
                <w:sz w:val="18"/>
              </w:rPr>
              <w:t>Part A (2022)</w:t>
            </w:r>
          </w:p>
        </w:tc>
        <w:tc>
          <w:tcPr>
            <w:tcW w:w="2257" w:type="dxa"/>
          </w:tcPr>
          <w:p w14:paraId="39CEF4EC" w14:textId="77777777" w:rsidR="006E4579" w:rsidRDefault="00000000">
            <w:r>
              <w:rPr>
                <w:rFonts w:ascii="Arial" w:hAnsi="Arial"/>
                <w:sz w:val="18"/>
              </w:rPr>
              <w:t>Attribution factor methodology for corporate loans</w:t>
            </w:r>
          </w:p>
        </w:tc>
        <w:tc>
          <w:tcPr>
            <w:tcW w:w="2257" w:type="dxa"/>
          </w:tcPr>
          <w:p w14:paraId="5396DC06" w14:textId="77777777" w:rsidR="006E4579" w:rsidRDefault="00000000">
            <w:r>
              <w:rPr>
                <w:rFonts w:ascii="Arial" w:hAnsi="Arial"/>
                <w:sz w:val="18"/>
              </w:rPr>
              <w:t>✅ Disclosed</w:t>
            </w:r>
          </w:p>
        </w:tc>
      </w:tr>
      <w:tr w:rsidR="006E4579" w14:paraId="01D16A88" w14:textId="77777777">
        <w:trPr>
          <w:jc w:val="center"/>
        </w:trPr>
        <w:tc>
          <w:tcPr>
            <w:tcW w:w="2257" w:type="dxa"/>
            <w:shd w:val="clear" w:color="auto" w:fill="F2F6FC"/>
          </w:tcPr>
          <w:p w14:paraId="1EB5F5A3" w14:textId="77777777" w:rsidR="006E4579" w:rsidRDefault="00000000">
            <w:r>
              <w:rPr>
                <w:rFonts w:ascii="Arial" w:hAnsi="Arial"/>
                <w:sz w:val="18"/>
              </w:rPr>
              <w:t>PCAF Global Standard</w:t>
            </w:r>
          </w:p>
        </w:tc>
        <w:tc>
          <w:tcPr>
            <w:tcW w:w="2257" w:type="dxa"/>
            <w:shd w:val="clear" w:color="auto" w:fill="F2F6FC"/>
          </w:tcPr>
          <w:p w14:paraId="459D3EB0" w14:textId="77777777" w:rsidR="006E4579" w:rsidRDefault="00000000">
            <w:r>
              <w:rPr>
                <w:rFonts w:ascii="Arial" w:hAnsi="Arial"/>
                <w:sz w:val="18"/>
              </w:rPr>
              <w:t>Data Quality</w:t>
            </w:r>
          </w:p>
        </w:tc>
        <w:tc>
          <w:tcPr>
            <w:tcW w:w="2257" w:type="dxa"/>
            <w:shd w:val="clear" w:color="auto" w:fill="F2F6FC"/>
          </w:tcPr>
          <w:p w14:paraId="3C7AC2ED" w14:textId="77777777" w:rsidR="006E4579" w:rsidRDefault="00000000">
            <w:r>
              <w:rPr>
                <w:rFonts w:ascii="Arial" w:hAnsi="Arial"/>
                <w:sz w:val="18"/>
              </w:rPr>
              <w:t>Portfolio-weighted data quality score (1-5 scale)</w:t>
            </w:r>
          </w:p>
        </w:tc>
        <w:tc>
          <w:tcPr>
            <w:tcW w:w="2257" w:type="dxa"/>
            <w:shd w:val="clear" w:color="auto" w:fill="F2F6FC"/>
          </w:tcPr>
          <w:p w14:paraId="4C94C188" w14:textId="77777777" w:rsidR="006E4579" w:rsidRDefault="00000000">
            <w:r>
              <w:rPr>
                <w:rFonts w:ascii="Arial" w:hAnsi="Arial"/>
                <w:sz w:val="18"/>
              </w:rPr>
              <w:t>✅ Disclosed</w:t>
            </w:r>
          </w:p>
        </w:tc>
      </w:tr>
    </w:tbl>
    <w:p w14:paraId="59F09B00" w14:textId="77777777" w:rsidR="006E4579" w:rsidRDefault="00000000">
      <w:r>
        <w:rPr>
          <w:rFonts w:ascii="Arial" w:hAnsi="Arial"/>
          <w:i/>
          <w:sz w:val="16"/>
        </w:rPr>
        <w:t>Source: Status reflects compliance with disclosure requirements for the 2024 reporting period. PCAF phase-in schedule for borrower Scope 3 emissions is being implemented progressively.</w:t>
      </w:r>
    </w:p>
    <w:p w14:paraId="7E7746A9" w14:textId="77777777" w:rsidR="006E4579" w:rsidRDefault="006E4579"/>
    <w:p w14:paraId="40DEB54F" w14:textId="77777777" w:rsidR="006E4579" w:rsidRDefault="006E4579"/>
    <w:p w14:paraId="3ADE718A" w14:textId="77777777" w:rsidR="006E4579" w:rsidRDefault="00000000">
      <w:r>
        <w:rPr>
          <w:noProof/>
        </w:rPr>
        <w:lastRenderedPageBreak/>
        <w:drawing>
          <wp:inline distT="0" distB="0" distL="0" distR="0" wp14:anchorId="531CE99E" wp14:editId="173B4604">
            <wp:extent cx="5029200" cy="26192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29200" cy="2619282"/>
                    </a:xfrm>
                    <a:prstGeom prst="rect">
                      <a:avLst/>
                    </a:prstGeom>
                  </pic:spPr>
                </pic:pic>
              </a:graphicData>
            </a:graphic>
          </wp:inline>
        </w:drawing>
      </w:r>
    </w:p>
    <w:p w14:paraId="02B68CCF" w14:textId="77777777" w:rsidR="006E4579" w:rsidRDefault="00000000">
      <w:pPr>
        <w:jc w:val="center"/>
      </w:pPr>
      <w:r>
        <w:rPr>
          <w:i/>
          <w:color w:val="666666"/>
          <w:sz w:val="18"/>
        </w:rPr>
        <w:t>Figure 11: Financed Emissions by Sector — Top 10 Contributors (Confidence-Weighted, tCO₂e)</w:t>
      </w:r>
    </w:p>
    <w:p w14:paraId="3044943A" w14:textId="77777777" w:rsidR="006E4579" w:rsidRDefault="00000000">
      <w:pPr>
        <w:jc w:val="center"/>
      </w:pPr>
      <w:r>
        <w:rPr>
          <w:i/>
          <w:color w:val="757575"/>
          <w:sz w:val="18"/>
        </w:rPr>
        <w:t>Energy - Oil &amp; Gas dominates at 44% of financed emissions despite 7% portfolio share — primary decarbonization lever through sector engagement and transition finance</w:t>
      </w:r>
    </w:p>
    <w:p w14:paraId="51F7434C" w14:textId="77777777" w:rsidR="006E4579" w:rsidRDefault="006E4579"/>
    <w:p w14:paraId="15DD9D5E" w14:textId="77777777" w:rsidR="006E4579" w:rsidRDefault="00000000">
      <w:r>
        <w:rPr>
          <w:noProof/>
        </w:rPr>
        <w:drawing>
          <wp:inline distT="0" distB="0" distL="0" distR="0" wp14:anchorId="57F9C558" wp14:editId="24149C29">
            <wp:extent cx="5029200" cy="33661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29200" cy="3366135"/>
                    </a:xfrm>
                    <a:prstGeom prst="rect">
                      <a:avLst/>
                    </a:prstGeom>
                  </pic:spPr>
                </pic:pic>
              </a:graphicData>
            </a:graphic>
          </wp:inline>
        </w:drawing>
      </w:r>
    </w:p>
    <w:p w14:paraId="71EAE20F" w14:textId="77777777" w:rsidR="006E4579" w:rsidRDefault="00000000">
      <w:pPr>
        <w:jc w:val="center"/>
      </w:pPr>
      <w:r>
        <w:rPr>
          <w:i/>
          <w:color w:val="666666"/>
          <w:sz w:val="18"/>
        </w:rPr>
        <w:t>Figure 12: Emission Intensity by Sector (tCO₂e per IDR Billion Outstanding)</w:t>
      </w:r>
    </w:p>
    <w:p w14:paraId="5AEF3B28" w14:textId="77777777" w:rsidR="006E4579" w:rsidRDefault="00000000">
      <w:pPr>
        <w:jc w:val="center"/>
      </w:pPr>
      <w:r>
        <w:rPr>
          <w:i/>
          <w:color w:val="757575"/>
          <w:sz w:val="18"/>
        </w:rPr>
        <w:t>Energy sector intensity 261x higher than Financial Services — diversification toward low-intensity sectors (Real Estate, Financial Services) reduces portfolio climate risk</w:t>
      </w:r>
    </w:p>
    <w:p w14:paraId="26BD41FA" w14:textId="77777777" w:rsidR="006E4579" w:rsidRDefault="006E4579"/>
    <w:p w14:paraId="4598E27F" w14:textId="77777777" w:rsidR="006E4579" w:rsidRDefault="00000000">
      <w:r>
        <w:rPr>
          <w:noProof/>
        </w:rPr>
        <w:lastRenderedPageBreak/>
        <w:drawing>
          <wp:inline distT="0" distB="0" distL="0" distR="0" wp14:anchorId="45B7868B" wp14:editId="2CB15E6F">
            <wp:extent cx="5029200" cy="32840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29200" cy="3284034"/>
                    </a:xfrm>
                    <a:prstGeom prst="rect">
                      <a:avLst/>
                    </a:prstGeom>
                  </pic:spPr>
                </pic:pic>
              </a:graphicData>
            </a:graphic>
          </wp:inline>
        </w:drawing>
      </w:r>
    </w:p>
    <w:p w14:paraId="1535F157" w14:textId="77777777" w:rsidR="006E4579" w:rsidRDefault="00000000">
      <w:pPr>
        <w:jc w:val="center"/>
      </w:pPr>
      <w:r>
        <w:rPr>
          <w:i/>
          <w:color w:val="666666"/>
          <w:sz w:val="18"/>
        </w:rPr>
        <w:t>Figure 13: Gross vs Confidence-Weighted Financed Emissions (Million tCO₂e)</w:t>
      </w:r>
    </w:p>
    <w:p w14:paraId="517849DB" w14:textId="77777777" w:rsidR="006E4579" w:rsidRDefault="00000000">
      <w:pPr>
        <w:jc w:val="center"/>
      </w:pPr>
      <w:r>
        <w:rPr>
          <w:i/>
          <w:color w:val="757575"/>
          <w:sz w:val="18"/>
        </w:rPr>
        <w:t>30.5% reduction from gross to weighted reflects data quality uncertainty — closing this gap through borrower disclosure requirements is priority action</w:t>
      </w:r>
    </w:p>
    <w:p w14:paraId="0EB639B1" w14:textId="77777777" w:rsidR="006E4579" w:rsidRDefault="006E4579"/>
    <w:p w14:paraId="7FCFFAB0" w14:textId="77777777" w:rsidR="006E4579" w:rsidRDefault="00000000">
      <w:r>
        <w:rPr>
          <w:noProof/>
        </w:rPr>
        <w:drawing>
          <wp:inline distT="0" distB="0" distL="0" distR="0" wp14:anchorId="2B809D4B" wp14:editId="001F1F57">
            <wp:extent cx="5029200" cy="17013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29200" cy="1701312"/>
                    </a:xfrm>
                    <a:prstGeom prst="rect">
                      <a:avLst/>
                    </a:prstGeom>
                  </pic:spPr>
                </pic:pic>
              </a:graphicData>
            </a:graphic>
          </wp:inline>
        </w:drawing>
      </w:r>
    </w:p>
    <w:p w14:paraId="68D12566" w14:textId="77777777" w:rsidR="006E4579" w:rsidRDefault="00000000">
      <w:pPr>
        <w:jc w:val="center"/>
      </w:pPr>
      <w:r>
        <w:rPr>
          <w:i/>
          <w:color w:val="666666"/>
          <w:sz w:val="18"/>
        </w:rPr>
        <w:t>Figure 14: PCAF Data Quality Score Distribution (by Financed Emissions Volume)</w:t>
      </w:r>
    </w:p>
    <w:p w14:paraId="3A94B6D0" w14:textId="77777777" w:rsidR="006E4579" w:rsidRDefault="00000000">
      <w:pPr>
        <w:jc w:val="center"/>
      </w:pPr>
      <w:r>
        <w:rPr>
          <w:i/>
          <w:color w:val="757575"/>
          <w:sz w:val="18"/>
        </w:rPr>
        <w:t>Portfolio concentrated in Score 3 (physical activity estimates) — systematic shift to Score 2 (reported emissions) achievable through loan covenant requirements</w:t>
      </w:r>
    </w:p>
    <w:tbl>
      <w:tblPr>
        <w:tblW w:w="0" w:type="auto"/>
        <w:jc w:val="center"/>
        <w:tblLook w:val="04A0" w:firstRow="1" w:lastRow="0" w:firstColumn="1" w:lastColumn="0" w:noHBand="0" w:noVBand="1"/>
      </w:tblPr>
      <w:tblGrid>
        <w:gridCol w:w="9029"/>
      </w:tblGrid>
      <w:tr w:rsidR="006E4579" w14:paraId="049BD388" w14:textId="77777777">
        <w:trPr>
          <w:jc w:val="center"/>
        </w:trPr>
        <w:tc>
          <w:tcPr>
            <w:tcW w:w="9029" w:type="dxa"/>
            <w:shd w:val="clear" w:color="auto" w:fill="F2F6FA"/>
          </w:tcPr>
          <w:p w14:paraId="76360D98" w14:textId="77777777" w:rsidR="006E4579" w:rsidRDefault="00000000">
            <w:r>
              <w:rPr>
                <w:b/>
                <w:color w:val="1B3A6B"/>
                <w:sz w:val="18"/>
              </w:rPr>
              <w:t>📊 DIAGNOSTIC ANALYSIS</w:t>
            </w:r>
          </w:p>
          <w:p w14:paraId="12B47DBA" w14:textId="77777777" w:rsidR="006E4579" w:rsidRDefault="00000000">
            <w:r>
              <w:rPr>
                <w:sz w:val="20"/>
              </w:rPr>
              <w:t xml:space="preserve">The institution's financed emissions profile reveals structural concentration in carbon-intensive sectors that significantly exceeds peer benchmarks. The Energy - Oil &amp; Gas sector alone accounts for 43.56% of total financed emissions despite representing only 6.66% of the loan portfolio, indicating an emission intensity 6.5 times higher than the portfolio average. This concentration creates transition risk exposure as Indonesia progresses toward its 2060 net-zero commitment and OJK intensifies sustainable finance requirements. The portfolio-weighted PCAF data quality score of 3.36 indicates reliance on estimated rather than reported emissions data, limiting the institution's ability to track borrower-level decarbonization progress. Peer institutions BRI and BCA have addressed similar </w:t>
            </w:r>
            <w:r>
              <w:rPr>
                <w:sz w:val="20"/>
              </w:rPr>
              <w:lastRenderedPageBreak/>
              <w:t>challenges through SBTi commitments and structured transition finance products, demonstrating viable pathways for portfolio decarbonization without sacrificing commercial returns.</w:t>
            </w:r>
          </w:p>
          <w:p w14:paraId="314805A3" w14:textId="77777777" w:rsidR="006E4579" w:rsidRDefault="00000000">
            <w:r>
              <w:rPr>
                <w:b/>
                <w:sz w:val="20"/>
              </w:rPr>
              <w:t>Root Causes:</w:t>
            </w:r>
          </w:p>
          <w:p w14:paraId="330D197B" w14:textId="77777777" w:rsidR="006E4579" w:rsidRDefault="00000000">
            <w:r>
              <w:rPr>
                <w:sz w:val="18"/>
              </w:rPr>
              <w:t>• Historical lending concentration in Indonesia's industrial base (oil &amp; gas, cement, steel) without climate risk integration in credit policies prior to 2023</w:t>
            </w:r>
          </w:p>
          <w:p w14:paraId="1897404E" w14:textId="77777777" w:rsidR="006E4579" w:rsidRDefault="00000000">
            <w:r>
              <w:rPr>
                <w:sz w:val="18"/>
              </w:rPr>
              <w:t>• Limited borrower GHG disclosure maturity — estimated 85% of corporate borrowers do not produce annual sustainability reports with verified emissions data</w:t>
            </w:r>
          </w:p>
          <w:p w14:paraId="7D8AA1C9" w14:textId="77777777" w:rsidR="006E4579" w:rsidRDefault="00000000">
            <w:r>
              <w:rPr>
                <w:sz w:val="18"/>
              </w:rPr>
              <w:t>• Absence of transition finance product suite (Sustainability-Linked Loans, green loans) to incentivize borrower decarbonization, unlike BCA's established SLL framework</w:t>
            </w:r>
          </w:p>
          <w:p w14:paraId="4A6D97BA" w14:textId="77777777" w:rsidR="006E4579" w:rsidRDefault="00000000">
            <w:r>
              <w:rPr>
                <w:sz w:val="18"/>
              </w:rPr>
              <w:t>• No science-based portfolio decarbonization target or sector-specific engagement strategy, while BRI committed to SBTi in 2023 with 1.75°C alignment target by 2040</w:t>
            </w:r>
          </w:p>
          <w:p w14:paraId="69629036" w14:textId="77777777" w:rsidR="006E4579" w:rsidRDefault="00000000">
            <w:r>
              <w:rPr>
                <w:b/>
                <w:sz w:val="20"/>
              </w:rPr>
              <w:t>Risk Implications:</w:t>
            </w:r>
          </w:p>
          <w:p w14:paraId="05435910" w14:textId="77777777" w:rsidR="006E4579" w:rsidRDefault="00000000">
            <w:r>
              <w:rPr>
                <w:sz w:val="18"/>
              </w:rPr>
              <w:t>• Regulatory risk: OJK SFAP targets require 30% sustainable finance ratio by 2030; current high-emission concentration may constrain growth in carbon-intensive sectors without transition plans</w:t>
            </w:r>
          </w:p>
          <w:p w14:paraId="03BC6E71" w14:textId="77777777" w:rsidR="006E4579" w:rsidRDefault="00000000">
            <w:r>
              <w:rPr>
                <w:sz w:val="18"/>
              </w:rPr>
              <w:t>• Reputational risk: MSCI ESG rating methodology penalizes financed emissions intensity &gt;50 tCO₂e/IDR bn without credible decarbonization pathway; current portfolio intensity of 239.4 tCO₂e/IDR bn significantly exceeds threshold</w:t>
            </w:r>
          </w:p>
          <w:p w14:paraId="6EE59E4B" w14:textId="77777777" w:rsidR="006E4579" w:rsidRDefault="00000000">
            <w:r>
              <w:rPr>
                <w:sz w:val="18"/>
              </w:rPr>
              <w:t>• Transition risk: Borrowers in Energy - Oil &amp; Gas and Manufacturing - Cement face stranded asset risk as Indonesia implements carbon pricing (pilot launched 2024); loan portfolio may require increased provisioning for climate-related credit risk</w:t>
            </w:r>
          </w:p>
          <w:p w14:paraId="79F69AC1" w14:textId="77777777" w:rsidR="006E4579" w:rsidRDefault="00000000">
            <w:r>
              <w:rPr>
                <w:sz w:val="18"/>
              </w:rPr>
              <w:t>• Competitive disadvantage: DBS achieved 62% renewable energy and 12% YoY emission reduction; BCA exceeded SFAP targets through green products — institution risks losing ESG-conscious corporate clients and investors without comparable offerings</w:t>
            </w:r>
          </w:p>
        </w:tc>
      </w:tr>
    </w:tbl>
    <w:p w14:paraId="690EADCB" w14:textId="77777777" w:rsidR="006E4579" w:rsidRDefault="006E4579"/>
    <w:p w14:paraId="732E3715" w14:textId="77777777" w:rsidR="006E4579" w:rsidRDefault="006E4579"/>
    <w:p w14:paraId="4F0427E0" w14:textId="77777777" w:rsidR="006E4579" w:rsidRDefault="00000000">
      <w:r>
        <w:rPr>
          <w:b/>
          <w:color w:val="2E7D32"/>
          <w:sz w:val="24"/>
        </w:rPr>
        <w:t>⚡ Priority Actions</w:t>
      </w:r>
    </w:p>
    <w:p w14:paraId="6D7A90F7" w14:textId="77777777" w:rsidR="006E4579" w:rsidRDefault="00000000">
      <w:r>
        <w:rPr>
          <w:b/>
        </w:rPr>
        <w:t>🔴 1. Submit SBTi commitment letter and initiate portfolio temperature alignment assessment for Energy - Oil &amp; Gas, Manufacturing - Cement, and Manufacturing - Steel sectors (85.93% of financed emissions)</w:t>
      </w:r>
      <w:r>
        <w:t xml:space="preserve"> (Q2 2025)</w:t>
      </w:r>
    </w:p>
    <w:p w14:paraId="121856B5" w14:textId="77777777" w:rsidR="006E4579" w:rsidRDefault="00000000">
      <w:pPr>
        <w:spacing w:after="160"/>
      </w:pPr>
      <w:r>
        <w:t xml:space="preserve">    → Expected: Establish credible 1.5°C or 2°C alignment pathway; improve MSCI ESG rating from current baseline toward A-range within 18 months</w:t>
      </w:r>
    </w:p>
    <w:p w14:paraId="4AC324B6" w14:textId="77777777" w:rsidR="006E4579" w:rsidRDefault="00000000">
      <w:pPr>
        <w:spacing w:after="160"/>
      </w:pPr>
      <w:r>
        <w:rPr>
          <w:rFonts w:ascii="Arial" w:hAnsi="Arial"/>
          <w:i/>
          <w:color w:val="646464"/>
          <w:sz w:val="18"/>
        </w:rPr>
        <w:t xml:space="preserve">    → Ref: BRI — First Indonesian FI to commit to SBTi (2023), targeting 1.75°C portfolio alignment by 2040. DBS — MSCI AA rating achieved with SBTi commitment and sector-specific targets.</w:t>
      </w:r>
    </w:p>
    <w:p w14:paraId="3B64347B" w14:textId="77777777" w:rsidR="006E4579" w:rsidRDefault="00000000">
      <w:r>
        <w:rPr>
          <w:b/>
        </w:rPr>
        <w:t>🔴 2. Launch borrower GHG disclosure program for top 50 emitters (estimated &gt;70% of financed emissions): require annual Scope 1+2 reporting in loan covenants for facilities &gt;IDR 100 billion, provide GHG accounting training workshops</w:t>
      </w:r>
      <w:r>
        <w:t xml:space="preserve"> (Q3 2025)</w:t>
      </w:r>
    </w:p>
    <w:p w14:paraId="0E3E2EC6" w14:textId="77777777" w:rsidR="006E4579" w:rsidRDefault="00000000">
      <w:pPr>
        <w:spacing w:after="160"/>
      </w:pPr>
      <w:r>
        <w:t xml:space="preserve">    → Expected: Improve portfolio-weighted PCAF score from 3.36 to 3.0 by end-2026; increase confidence-weighted emissions accuracy by 15-20 percentage points; enable borrower-level target tracking</w:t>
      </w:r>
    </w:p>
    <w:p w14:paraId="02951E7A" w14:textId="77777777" w:rsidR="006E4579" w:rsidRDefault="00000000">
      <w:pPr>
        <w:spacing w:after="160"/>
      </w:pPr>
      <w:r>
        <w:rPr>
          <w:rFonts w:ascii="Arial" w:hAnsi="Arial"/>
          <w:i/>
          <w:color w:val="646464"/>
          <w:sz w:val="18"/>
        </w:rPr>
        <w:lastRenderedPageBreak/>
        <w:t xml:space="preserve">    → Ref: BCA — Implemented enhanced ESG due diligence with sectoral credit policies for coal, palm oil, cement, O&amp;G. Requires sustainability performance disclosure for high-risk sectors.</w:t>
      </w:r>
    </w:p>
    <w:p w14:paraId="2DBED8CE" w14:textId="77777777" w:rsidR="006E4579" w:rsidRDefault="00000000">
      <w:r>
        <w:rPr>
          <w:b/>
        </w:rPr>
        <w:t>🔴 3. Develop Sustainability-Linked Loan (SLL) product with 25-50 bps interest rate reduction tied to verified annual emission reduction KPIs (≥4% YoY); pilot with 10-15 borrowers in Energy, Cement, Steel sectors representing IDR 200-300 trillion exposure</w:t>
      </w:r>
      <w:r>
        <w:t xml:space="preserve"> (Q1 2026)</w:t>
      </w:r>
    </w:p>
    <w:p w14:paraId="0D90304E" w14:textId="77777777" w:rsidR="006E4579" w:rsidRDefault="00000000">
      <w:pPr>
        <w:spacing w:after="160"/>
      </w:pPr>
      <w:r>
        <w:t xml:space="preserve">    → Expected: Catalyze 200,000-300,000 tCO₂e annual reductions across engaged borrowers by 2027; generate IDR 15-20 trillion in sustainable finance volume toward OJK SFAP 30% target</w:t>
      </w:r>
    </w:p>
    <w:p w14:paraId="6F99E62B" w14:textId="77777777" w:rsidR="006E4579" w:rsidRDefault="00000000">
      <w:pPr>
        <w:spacing w:after="160"/>
      </w:pPr>
      <w:r>
        <w:rPr>
          <w:rFonts w:ascii="Arial" w:hAnsi="Arial"/>
          <w:i/>
          <w:color w:val="646464"/>
          <w:sz w:val="18"/>
        </w:rPr>
        <w:t xml:space="preserve">    → Ref: BCA — Exceeded SFAP target through SLL and Green Loan schemes. Structured products link pricing to borrower sustainability performance, driving measurable emission reductions.</w:t>
      </w:r>
    </w:p>
    <w:p w14:paraId="7E1FE48C" w14:textId="77777777" w:rsidR="006E4579" w:rsidRDefault="00000000">
      <w:r>
        <w:rPr>
          <w:b/>
        </w:rPr>
        <w:t>🟡 4. Establish sector-specific engagement roadmaps for Energy - Oil &amp; Gas (43.56% of emissions) and Manufacturing - Cement (26.45% of emissions): quarterly dialogue on transition plans, renewable energy adoption, carbon capture technology, and alignment with Indonesia's 2060 net-zero pathway</w:t>
      </w:r>
      <w:r>
        <w:t xml:space="preserve"> (Q4 2025)</w:t>
      </w:r>
    </w:p>
    <w:p w14:paraId="288FC27A" w14:textId="77777777" w:rsidR="006E4579" w:rsidRDefault="00000000">
      <w:pPr>
        <w:spacing w:after="160"/>
      </w:pPr>
      <w:r>
        <w:t xml:space="preserve">    → Expected: Position 30-40% of high-emission portfolio on credible transition pathways by 2027; reduce sector-level emission intensity by 8-12% through borrower capex in low-carbon technology</w:t>
      </w:r>
    </w:p>
    <w:p w14:paraId="2E24804A" w14:textId="77777777" w:rsidR="006E4579" w:rsidRDefault="00000000">
      <w:pPr>
        <w:spacing w:after="160"/>
      </w:pPr>
      <w:r>
        <w:rPr>
          <w:rFonts w:ascii="Arial" w:hAnsi="Arial"/>
          <w:i/>
          <w:color w:val="646464"/>
          <w:sz w:val="18"/>
        </w:rPr>
        <w:t xml:space="preserve">    → Ref: BRI — Sectoral approach to portfolio decarbonization with SBTi framework. DBS — Sector-specific targets for oil &amp; gas, power, automotive aligned with IEA Net Zero by 2050 scenario.</w:t>
      </w:r>
    </w:p>
    <w:p w14:paraId="495A52AD" w14:textId="77777777" w:rsidR="006E4579" w:rsidRDefault="006E4579"/>
    <w:p w14:paraId="29228EBE" w14:textId="77777777" w:rsidR="006E4579" w:rsidRDefault="00000000">
      <w:r>
        <w:rPr>
          <w:i/>
          <w:color w:val="3D6094"/>
          <w:sz w:val="18"/>
        </w:rPr>
        <w:t>Framework references: GRI 305-3a — Gross other indirect (Scope 3) GHG emissions; GRI 305-3d — GHG emissions data for each Scope 3 category; IFRS S2 Para 29(a)(iv) — Absolute gross Scope 3 GHG emissions and industry-based metrics; ESRS E1-6 DR E1-6.51 — Total indirect GHG emissions (Scope 3); OJK PSPK — Emisi GRK Tidak Langsung Lainnya (Lingkup 3) — Emisi Pembiayaan; PCAF Global GHG Accounting and Reporting Standard Part A (2022) — Financed emissions methodology; PCAF Data Quality Score Table — Corporate loans (Score 1-5)</w:t>
      </w:r>
    </w:p>
    <w:p w14:paraId="2DCAC4F9" w14:textId="77777777" w:rsidR="006E4579" w:rsidRDefault="006E4579">
      <w:pPr>
        <w:pBdr>
          <w:bottom w:val="single" w:sz="6" w:space="1" w:color="CCCCCC"/>
        </w:pBdr>
        <w:spacing w:after="80"/>
      </w:pPr>
    </w:p>
    <w:p w14:paraId="56F355E7" w14:textId="77777777" w:rsidR="006E4579" w:rsidRDefault="00000000">
      <w:pPr>
        <w:spacing w:after="160"/>
      </w:pPr>
      <w:r>
        <w:rPr>
          <w:rFonts w:ascii="Arial" w:hAnsi="Arial"/>
          <w:i/>
          <w:color w:val="646464"/>
          <w:sz w:val="18"/>
        </w:rPr>
        <w:t>These figures have not been subject to external assurance for the current reporting period.</w:t>
      </w:r>
    </w:p>
    <w:p w14:paraId="503369C4" w14:textId="77777777" w:rsidR="006E4579" w:rsidRDefault="00000000">
      <w:pPr>
        <w:spacing w:after="160"/>
      </w:pPr>
      <w:r>
        <w:rPr>
          <w:rFonts w:ascii="Arial" w:hAnsi="Arial"/>
          <w:i/>
          <w:color w:val="646464"/>
          <w:sz w:val="18"/>
        </w:rPr>
        <w:t>PCAF data quality scores: 1 = verified reported emissions (highest quality), 2 = unverified reported emissions, 3 = physical activity-based estimates, 4 = economic activity-based estimates, 5 = sector-average estimates (lowest quality).</w:t>
      </w:r>
    </w:p>
    <w:p w14:paraId="5F6D5ECA" w14:textId="77777777" w:rsidR="006E4579" w:rsidRDefault="00000000">
      <w:pPr>
        <w:spacing w:after="160"/>
      </w:pPr>
      <w:r>
        <w:rPr>
          <w:rFonts w:ascii="Arial" w:hAnsi="Arial"/>
          <w:i/>
          <w:color w:val="646464"/>
          <w:sz w:val="18"/>
        </w:rPr>
        <w:t>Confidence-weighted emissions apply the following confidence factors by PCAF score: Score 1 (100%), Score 2 (75%), Score 3 (50%), Score 4 (30%), Score 5 (10%).</w:t>
      </w:r>
    </w:p>
    <w:p w14:paraId="01DA5C61" w14:textId="77777777" w:rsidR="006E4579" w:rsidRDefault="00000000">
      <w:pPr>
        <w:spacing w:after="160"/>
      </w:pPr>
      <w:r>
        <w:rPr>
          <w:rFonts w:ascii="Arial" w:hAnsi="Arial"/>
          <w:i/>
          <w:color w:val="646464"/>
          <w:sz w:val="18"/>
        </w:rPr>
        <w:t>Borrower Scope 3 emissions are included for the Energy - Oil &amp; Gas sector in compliance with PCAF phase-in requirements for reports published in 2021 onwards. Expansion to additional sectors (transportation, construction, materials, industrial activities) is planned for 2025 reporting.</w:t>
      </w:r>
    </w:p>
    <w:p w14:paraId="3116A56B" w14:textId="77777777" w:rsidR="006E4579" w:rsidRDefault="00000000">
      <w:pPr>
        <w:spacing w:after="160"/>
      </w:pPr>
      <w:r>
        <w:rPr>
          <w:rFonts w:ascii="Arial" w:hAnsi="Arial"/>
          <w:i/>
          <w:color w:val="646464"/>
          <w:sz w:val="18"/>
        </w:rPr>
        <w:t>Emission intensity calculated as financed emissions (weighted) divided by total outstanding amount for each sector.</w:t>
      </w:r>
    </w:p>
    <w:p w14:paraId="4CD4CBD8" w14:textId="77777777" w:rsidR="006E4579" w:rsidRDefault="00000000">
      <w:pPr>
        <w:spacing w:after="160"/>
      </w:pPr>
      <w:r>
        <w:rPr>
          <w:rFonts w:ascii="Arial" w:hAnsi="Arial"/>
          <w:i/>
          <w:color w:val="646464"/>
          <w:sz w:val="18"/>
        </w:rPr>
        <w:t>Total portfolio outstanding for PCAF calculation: IDR 1,541.18 trillion across 1,955 loans to 1,955 unique borrowers.</w:t>
      </w:r>
    </w:p>
    <w:p w14:paraId="1A9D0360" w14:textId="77777777" w:rsidR="006E4579" w:rsidRDefault="00000000">
      <w:pPr>
        <w:pStyle w:val="Heading2"/>
        <w:spacing w:before="360" w:after="160"/>
      </w:pPr>
      <w:r>
        <w:rPr>
          <w:rFonts w:ascii="Arial" w:hAnsi="Arial"/>
          <w:color w:val="3D6094"/>
          <w:sz w:val="28"/>
        </w:rPr>
        <w:lastRenderedPageBreak/>
        <w:t>1.4 GHG Emissions Intensity</w:t>
      </w:r>
    </w:p>
    <w:tbl>
      <w:tblPr>
        <w:tblW w:w="0" w:type="auto"/>
        <w:jc w:val="center"/>
        <w:tblLook w:val="04A0" w:firstRow="1" w:lastRow="0" w:firstColumn="1" w:lastColumn="0" w:noHBand="0" w:noVBand="1"/>
      </w:tblPr>
      <w:tblGrid>
        <w:gridCol w:w="2257"/>
        <w:gridCol w:w="2257"/>
        <w:gridCol w:w="2257"/>
        <w:gridCol w:w="2257"/>
      </w:tblGrid>
      <w:tr w:rsidR="006E4579" w14:paraId="754D0113" w14:textId="77777777">
        <w:trPr>
          <w:jc w:val="center"/>
        </w:trPr>
        <w:tc>
          <w:tcPr>
            <w:tcW w:w="2257" w:type="dxa"/>
            <w:shd w:val="clear" w:color="auto" w:fill="F2F6FA"/>
          </w:tcPr>
          <w:p w14:paraId="14972E8D" w14:textId="77777777" w:rsidR="006E4579" w:rsidRDefault="00000000">
            <w:pPr>
              <w:jc w:val="center"/>
            </w:pPr>
            <w:r>
              <w:rPr>
                <w:b/>
                <w:color w:val="1B3A6B"/>
                <w:sz w:val="36"/>
              </w:rPr>
              <w:t>239.40</w:t>
            </w:r>
            <w:r>
              <w:rPr>
                <w:color w:val="757575"/>
                <w:sz w:val="18"/>
              </w:rPr>
              <w:t xml:space="preserve"> tCO₂e/IDR Bn</w:t>
            </w:r>
            <w:r>
              <w:rPr>
                <w:b/>
                <w:color w:val="2E7D32"/>
                <w:sz w:val="20"/>
              </w:rPr>
              <w:br/>
              <w:t>-11.37%</w:t>
            </w:r>
          </w:p>
        </w:tc>
        <w:tc>
          <w:tcPr>
            <w:tcW w:w="2257" w:type="dxa"/>
            <w:shd w:val="clear" w:color="auto" w:fill="F2F6FA"/>
          </w:tcPr>
          <w:p w14:paraId="06E1A54D" w14:textId="77777777" w:rsidR="006E4579" w:rsidRDefault="00000000">
            <w:pPr>
              <w:jc w:val="center"/>
            </w:pPr>
            <w:r>
              <w:rPr>
                <w:b/>
                <w:color w:val="1B3A6B"/>
                <w:sz w:val="36"/>
              </w:rPr>
              <w:t>1.92</w:t>
            </w:r>
            <w:r>
              <w:rPr>
                <w:color w:val="757575"/>
                <w:sz w:val="18"/>
              </w:rPr>
              <w:t xml:space="preserve"> tCO₂e/FTE</w:t>
            </w:r>
            <w:r>
              <w:rPr>
                <w:b/>
                <w:color w:val="2E7D32"/>
                <w:sz w:val="20"/>
              </w:rPr>
              <w:br/>
              <w:t>-1.79%</w:t>
            </w:r>
          </w:p>
        </w:tc>
        <w:tc>
          <w:tcPr>
            <w:tcW w:w="2257" w:type="dxa"/>
            <w:shd w:val="clear" w:color="auto" w:fill="F2F6FA"/>
          </w:tcPr>
          <w:p w14:paraId="198F38CB" w14:textId="77777777" w:rsidR="006E4579" w:rsidRDefault="00000000">
            <w:pPr>
              <w:jc w:val="center"/>
            </w:pPr>
            <w:r>
              <w:rPr>
                <w:b/>
                <w:color w:val="1B3A6B"/>
                <w:sz w:val="36"/>
              </w:rPr>
              <w:t>2nd</w:t>
            </w:r>
            <w:r>
              <w:rPr>
                <w:color w:val="757575"/>
                <w:sz w:val="18"/>
              </w:rPr>
              <w:t xml:space="preserve"> of 5 Indonesian banks</w:t>
            </w:r>
            <w:r>
              <w:rPr>
                <w:b/>
                <w:color w:val="2E7D32"/>
                <w:sz w:val="20"/>
              </w:rPr>
              <w:br/>
              <w:t>Competitive</w:t>
            </w:r>
          </w:p>
        </w:tc>
        <w:tc>
          <w:tcPr>
            <w:tcW w:w="2257" w:type="dxa"/>
            <w:shd w:val="clear" w:color="auto" w:fill="F2F6FA"/>
          </w:tcPr>
          <w:p w14:paraId="2682719B" w14:textId="77777777" w:rsidR="006E4579" w:rsidRDefault="00000000">
            <w:pPr>
              <w:jc w:val="center"/>
            </w:pPr>
            <w:r>
              <w:rPr>
                <w:b/>
                <w:color w:val="1B3A6B"/>
                <w:sz w:val="36"/>
              </w:rPr>
              <w:t>5.8%</w:t>
            </w:r>
            <w:r>
              <w:rPr>
                <w:color w:val="757575"/>
                <w:sz w:val="18"/>
              </w:rPr>
              <w:t xml:space="preserve"> higher intensity</w:t>
            </w:r>
            <w:r>
              <w:rPr>
                <w:b/>
                <w:color w:val="C62828"/>
                <w:sz w:val="20"/>
              </w:rPr>
              <w:br/>
              <w:t>Renewable energy gap</w:t>
            </w:r>
          </w:p>
        </w:tc>
      </w:tr>
      <w:tr w:rsidR="006E4579" w14:paraId="43961173" w14:textId="77777777">
        <w:trPr>
          <w:jc w:val="center"/>
        </w:trPr>
        <w:tc>
          <w:tcPr>
            <w:tcW w:w="2257" w:type="dxa"/>
            <w:shd w:val="clear" w:color="auto" w:fill="F2F6FA"/>
          </w:tcPr>
          <w:p w14:paraId="262F37D4" w14:textId="77777777" w:rsidR="006E4579" w:rsidRDefault="00000000">
            <w:pPr>
              <w:jc w:val="center"/>
            </w:pPr>
            <w:r>
              <w:rPr>
                <w:color w:val="757575"/>
                <w:sz w:val="16"/>
              </w:rPr>
              <w:t>Revenue Intensity</w:t>
            </w:r>
          </w:p>
        </w:tc>
        <w:tc>
          <w:tcPr>
            <w:tcW w:w="2257" w:type="dxa"/>
            <w:shd w:val="clear" w:color="auto" w:fill="F2F6FA"/>
          </w:tcPr>
          <w:p w14:paraId="7C7D98A7" w14:textId="77777777" w:rsidR="006E4579" w:rsidRDefault="00000000">
            <w:pPr>
              <w:jc w:val="center"/>
            </w:pPr>
            <w:r>
              <w:rPr>
                <w:color w:val="757575"/>
                <w:sz w:val="16"/>
              </w:rPr>
              <w:t>FTE Intensity</w:t>
            </w:r>
          </w:p>
        </w:tc>
        <w:tc>
          <w:tcPr>
            <w:tcW w:w="2257" w:type="dxa"/>
            <w:shd w:val="clear" w:color="auto" w:fill="F2F6FA"/>
          </w:tcPr>
          <w:p w14:paraId="79563A4C" w14:textId="77777777" w:rsidR="006E4579" w:rsidRDefault="00000000">
            <w:pPr>
              <w:jc w:val="center"/>
            </w:pPr>
            <w:r>
              <w:rPr>
                <w:color w:val="757575"/>
                <w:sz w:val="16"/>
              </w:rPr>
              <w:t>Peer Ranking (Operational)</w:t>
            </w:r>
          </w:p>
        </w:tc>
        <w:tc>
          <w:tcPr>
            <w:tcW w:w="2257" w:type="dxa"/>
            <w:shd w:val="clear" w:color="auto" w:fill="F2F6FA"/>
          </w:tcPr>
          <w:p w14:paraId="7C076AB8" w14:textId="77777777" w:rsidR="006E4579" w:rsidRDefault="00000000">
            <w:pPr>
              <w:jc w:val="center"/>
            </w:pPr>
            <w:r>
              <w:rPr>
                <w:color w:val="757575"/>
                <w:sz w:val="16"/>
              </w:rPr>
              <w:t>Gap to Best-in-Class (DBS)</w:t>
            </w:r>
          </w:p>
        </w:tc>
      </w:tr>
    </w:tbl>
    <w:p w14:paraId="6F284550" w14:textId="77777777" w:rsidR="006E4579" w:rsidRDefault="006E4579"/>
    <w:tbl>
      <w:tblPr>
        <w:tblW w:w="0" w:type="auto"/>
        <w:jc w:val="center"/>
        <w:tblLook w:val="04A0" w:firstRow="1" w:lastRow="0" w:firstColumn="1" w:lastColumn="0" w:noHBand="0" w:noVBand="1"/>
      </w:tblPr>
      <w:tblGrid>
        <w:gridCol w:w="9029"/>
      </w:tblGrid>
      <w:tr w:rsidR="006E4579" w14:paraId="50EE40A0" w14:textId="77777777">
        <w:trPr>
          <w:jc w:val="center"/>
        </w:trPr>
        <w:tc>
          <w:tcPr>
            <w:tcW w:w="9029" w:type="dxa"/>
            <w:shd w:val="clear" w:color="auto" w:fill="E8F5E9"/>
          </w:tcPr>
          <w:p w14:paraId="76F7F469" w14:textId="77777777" w:rsidR="006E4579" w:rsidRDefault="00000000">
            <w:r>
              <w:rPr>
                <w:b/>
                <w:color w:val="FF8F00"/>
                <w:sz w:val="18"/>
              </w:rPr>
              <w:t>✅ KEY INSIGHT</w:t>
            </w:r>
          </w:p>
          <w:p w14:paraId="21686525" w14:textId="77777777" w:rsidR="006E4579" w:rsidRDefault="00000000">
            <w:r>
              <w:rPr>
                <w:b/>
              </w:rPr>
              <w:t>Revenue intensity improved 11.37% while peers achieved 3-8% — outperforming on portfolio decarbonization</w:t>
            </w:r>
          </w:p>
          <w:p w14:paraId="3CFCFFCD" w14:textId="77777777" w:rsidR="006E4579" w:rsidRDefault="00000000">
            <w:r>
              <w:rPr>
                <w:sz w:val="20"/>
              </w:rPr>
              <w:t>The institution's revenue-based intensity declined 11.37% year-over-year, exceeding typical peer improvements of 3-8% annually. This reflects successful portfolio rebalancing away from high-emitting sectors. However, operational intensity improvement of 1.79% lags DBS Group's 8.3% annual reduction achieved through 62% renewable energy penetration. Opportunity exists to replicate peer renewable energy strategies for step-change operational efficiency gains.</w:t>
            </w:r>
          </w:p>
        </w:tc>
      </w:tr>
    </w:tbl>
    <w:p w14:paraId="5F321C34" w14:textId="77777777" w:rsidR="006E4579" w:rsidRDefault="006E4579"/>
    <w:p w14:paraId="2070EE2E" w14:textId="77777777" w:rsidR="006E4579" w:rsidRDefault="00000000">
      <w:pPr>
        <w:spacing w:after="160"/>
      </w:pPr>
      <w:r>
        <w:rPr>
          <w:rFonts w:ascii="Arial" w:hAnsi="Arial"/>
        </w:rPr>
        <w:t>The institution reports two GHG emissions intensity metrics for the 2024 reporting period in accordance with GRI 305-4, IFRS S2 Paragraph 29(b), ESRS E1-6 DR E1-6.53, and OJK PSPK requirements. Revenue-based intensity for 2024 was 239.400139 tCO₂e per IDR billion, representing a 11.37% improvement from the prior year baseline of 270.116632 tCO₂e per IDR billion. Employee-based intensity was 1.9209 tCO₂e per full-time equivalent (FTE), compared to 1.956 tCO₂e per FTE in 2023, reflecting a 1.79% improvement. These metrics enable cross-period comparison and benchmarking against peer financial institutions operating in similar jurisdictions.</w:t>
      </w:r>
    </w:p>
    <w:p w14:paraId="276E14C8" w14:textId="77777777" w:rsidR="006E4579" w:rsidRDefault="00000000">
      <w:pPr>
        <w:spacing w:after="160"/>
      </w:pPr>
      <w:r>
        <w:rPr>
          <w:rFonts w:ascii="Arial" w:hAnsi="Arial"/>
        </w:rPr>
        <w:t>The revenue-based intensity metric uses total Scope 1, Scope 2 (location-based), and Scope 3 Category 15 (financed emissions, gross) as the numerator, divided by total revenue expressed in IDR billion. This denominator was selected per GRI 305-4 guidance as the most appropriate economic output metric for financial institutions, enabling comparison across institutions with varying asset sizes and business models. The numerator totals 22024814.173 tCO₂e (3402.997 + 44613.876 + 21976797.3). The employee-based intensity metric uses only operational emissions (Scope 1 + Scope 2 location-based) as the numerator, totaling 48016.873 tCO₂e, divided by 24997 FTE. This operational intensity metric excludes financed emissions to isolate direct operational efficiency improvements, consistent with ESRS E1-6 guidance on entity-specific intensity ratios.</w:t>
      </w:r>
    </w:p>
    <w:p w14:paraId="45200DBB" w14:textId="77777777" w:rsidR="006E4579" w:rsidRDefault="00000000">
      <w:pPr>
        <w:spacing w:after="160"/>
      </w:pPr>
      <w:r>
        <w:rPr>
          <w:rFonts w:ascii="Arial" w:hAnsi="Arial"/>
        </w:rPr>
        <w:t xml:space="preserve">The 11.37% improvement in revenue-based intensity indicates that the institution's emissions grew at a slower rate than revenue expansion during the reporting period. The absolute financed emissions (Scope 3 Category 15 gross) decreased by 4.07% year-over-year, while the institution's lending portfolio expanded, resulting in improved carbon efficiency per unit of economic output. The operational intensity improvement of 1.79% reflects modest gains in energy efficiency across the institution's facilities, despite a 2.03% increase in headcount. The institution's operational intensity of 1.9209 tCO₂e per FTE </w:t>
      </w:r>
      <w:r>
        <w:rPr>
          <w:rFonts w:ascii="Arial" w:hAnsi="Arial"/>
        </w:rPr>
        <w:lastRenderedPageBreak/>
        <w:t>remains above peer benchmarks: DBS Group reported 2.04 tCO₂e per FTE (calculated from 51,003 tCO₂e Scope 1+2 and approximately 25,000 employees), while BCA's operational footprint of approximately 59,800 tCO₂e across a similar employee base suggests an intensity near 2.4 tCO₂e per FTE. The institution's performance is competitive but has not achieved the step-change improvements observed at leading regional peers.</w:t>
      </w:r>
    </w:p>
    <w:p w14:paraId="79BB86F0" w14:textId="77777777" w:rsidR="006E4579" w:rsidRDefault="00000000">
      <w:r>
        <w:rPr>
          <w:rFonts w:ascii="Arial" w:hAnsi="Arial"/>
          <w:b/>
          <w:sz w:val="20"/>
        </w:rPr>
        <w:t>Table 28: Table 1.4.1: GHG Emissions Intensity Metrics — 2024</w:t>
      </w:r>
    </w:p>
    <w:tbl>
      <w:tblPr>
        <w:tblW w:w="0" w:type="auto"/>
        <w:jc w:val="center"/>
        <w:tblLook w:val="04A0" w:firstRow="1" w:lastRow="0" w:firstColumn="1" w:lastColumn="0" w:noHBand="0" w:noVBand="1"/>
      </w:tblPr>
      <w:tblGrid>
        <w:gridCol w:w="1806"/>
        <w:gridCol w:w="1806"/>
        <w:gridCol w:w="1806"/>
        <w:gridCol w:w="1806"/>
        <w:gridCol w:w="1806"/>
      </w:tblGrid>
      <w:tr w:rsidR="006E4579" w14:paraId="34D92ED2" w14:textId="77777777">
        <w:trPr>
          <w:jc w:val="center"/>
        </w:trPr>
        <w:tc>
          <w:tcPr>
            <w:tcW w:w="1806" w:type="dxa"/>
            <w:shd w:val="clear" w:color="auto" w:fill="1B3A6B"/>
          </w:tcPr>
          <w:p w14:paraId="2A349462" w14:textId="77777777" w:rsidR="006E4579" w:rsidRDefault="00000000">
            <w:r>
              <w:rPr>
                <w:rFonts w:ascii="Arial" w:hAnsi="Arial"/>
                <w:b/>
                <w:color w:val="FFFFFF"/>
                <w:sz w:val="18"/>
              </w:rPr>
              <w:t>Intensity Metric</w:t>
            </w:r>
          </w:p>
        </w:tc>
        <w:tc>
          <w:tcPr>
            <w:tcW w:w="1806" w:type="dxa"/>
            <w:shd w:val="clear" w:color="auto" w:fill="1B3A6B"/>
          </w:tcPr>
          <w:p w14:paraId="3E2D3C5B" w14:textId="77777777" w:rsidR="006E4579" w:rsidRDefault="00000000">
            <w:r>
              <w:rPr>
                <w:rFonts w:ascii="Arial" w:hAnsi="Arial"/>
                <w:b/>
                <w:color w:val="FFFFFF"/>
                <w:sz w:val="18"/>
              </w:rPr>
              <w:t>Numerator (tCO₂e)</w:t>
            </w:r>
          </w:p>
        </w:tc>
        <w:tc>
          <w:tcPr>
            <w:tcW w:w="1806" w:type="dxa"/>
            <w:shd w:val="clear" w:color="auto" w:fill="1B3A6B"/>
          </w:tcPr>
          <w:p w14:paraId="68715735" w14:textId="77777777" w:rsidR="006E4579" w:rsidRDefault="00000000">
            <w:r>
              <w:rPr>
                <w:rFonts w:ascii="Arial" w:hAnsi="Arial"/>
                <w:b/>
                <w:color w:val="FFFFFF"/>
                <w:sz w:val="18"/>
              </w:rPr>
              <w:t>Denominator</w:t>
            </w:r>
          </w:p>
        </w:tc>
        <w:tc>
          <w:tcPr>
            <w:tcW w:w="1806" w:type="dxa"/>
            <w:shd w:val="clear" w:color="auto" w:fill="1B3A6B"/>
          </w:tcPr>
          <w:p w14:paraId="5F2B7886" w14:textId="77777777" w:rsidR="006E4579" w:rsidRDefault="00000000">
            <w:r>
              <w:rPr>
                <w:rFonts w:ascii="Arial" w:hAnsi="Arial"/>
                <w:b/>
                <w:color w:val="FFFFFF"/>
                <w:sz w:val="18"/>
              </w:rPr>
              <w:t>Ratio</w:t>
            </w:r>
          </w:p>
        </w:tc>
        <w:tc>
          <w:tcPr>
            <w:tcW w:w="1806" w:type="dxa"/>
            <w:shd w:val="clear" w:color="auto" w:fill="1B3A6B"/>
          </w:tcPr>
          <w:p w14:paraId="21BB9894" w14:textId="77777777" w:rsidR="006E4579" w:rsidRDefault="00000000">
            <w:r>
              <w:rPr>
                <w:rFonts w:ascii="Arial" w:hAnsi="Arial"/>
                <w:b/>
                <w:color w:val="FFFFFF"/>
                <w:sz w:val="18"/>
              </w:rPr>
              <w:t>Unit</w:t>
            </w:r>
          </w:p>
        </w:tc>
      </w:tr>
      <w:tr w:rsidR="006E4579" w14:paraId="36170BC9" w14:textId="77777777">
        <w:trPr>
          <w:jc w:val="center"/>
        </w:trPr>
        <w:tc>
          <w:tcPr>
            <w:tcW w:w="1806" w:type="dxa"/>
          </w:tcPr>
          <w:p w14:paraId="0AE60BF4" w14:textId="77777777" w:rsidR="006E4579" w:rsidRDefault="00000000">
            <w:r>
              <w:rPr>
                <w:rFonts w:ascii="Arial" w:hAnsi="Arial"/>
                <w:sz w:val="18"/>
              </w:rPr>
              <w:t>Revenue-Based Intensity</w:t>
            </w:r>
          </w:p>
        </w:tc>
        <w:tc>
          <w:tcPr>
            <w:tcW w:w="1806" w:type="dxa"/>
          </w:tcPr>
          <w:p w14:paraId="36654511" w14:textId="77777777" w:rsidR="006E4579" w:rsidRDefault="00000000">
            <w:pPr>
              <w:jc w:val="right"/>
            </w:pPr>
            <w:r>
              <w:rPr>
                <w:rFonts w:ascii="Arial" w:hAnsi="Arial"/>
                <w:sz w:val="18"/>
              </w:rPr>
              <w:t>22,024,814.173</w:t>
            </w:r>
          </w:p>
        </w:tc>
        <w:tc>
          <w:tcPr>
            <w:tcW w:w="1806" w:type="dxa"/>
          </w:tcPr>
          <w:p w14:paraId="66176435" w14:textId="77777777" w:rsidR="006E4579" w:rsidRDefault="00000000">
            <w:r>
              <w:rPr>
                <w:rFonts w:ascii="Arial" w:hAnsi="Arial"/>
                <w:sz w:val="18"/>
              </w:rPr>
              <w:t>92,014.52 IDR Bn</w:t>
            </w:r>
          </w:p>
        </w:tc>
        <w:tc>
          <w:tcPr>
            <w:tcW w:w="1806" w:type="dxa"/>
          </w:tcPr>
          <w:p w14:paraId="2A6C2696" w14:textId="77777777" w:rsidR="006E4579" w:rsidRDefault="00000000">
            <w:pPr>
              <w:jc w:val="right"/>
            </w:pPr>
            <w:r>
              <w:rPr>
                <w:rFonts w:ascii="Arial" w:hAnsi="Arial"/>
                <w:sz w:val="18"/>
              </w:rPr>
              <w:t>239.400139</w:t>
            </w:r>
          </w:p>
        </w:tc>
        <w:tc>
          <w:tcPr>
            <w:tcW w:w="1806" w:type="dxa"/>
          </w:tcPr>
          <w:p w14:paraId="12112076" w14:textId="77777777" w:rsidR="006E4579" w:rsidRDefault="00000000">
            <w:r>
              <w:rPr>
                <w:rFonts w:ascii="Arial" w:hAnsi="Arial"/>
                <w:sz w:val="18"/>
              </w:rPr>
              <w:t>tCO₂e per IDR Billion</w:t>
            </w:r>
          </w:p>
        </w:tc>
      </w:tr>
      <w:tr w:rsidR="006E4579" w14:paraId="11E8564E" w14:textId="77777777">
        <w:trPr>
          <w:jc w:val="center"/>
        </w:trPr>
        <w:tc>
          <w:tcPr>
            <w:tcW w:w="1806" w:type="dxa"/>
            <w:shd w:val="clear" w:color="auto" w:fill="F2F6FC"/>
          </w:tcPr>
          <w:p w14:paraId="2D2BEB59" w14:textId="77777777" w:rsidR="006E4579" w:rsidRDefault="00000000">
            <w:r>
              <w:rPr>
                <w:rFonts w:ascii="Arial" w:hAnsi="Arial"/>
                <w:sz w:val="18"/>
              </w:rPr>
              <w:t>Employee-Based Intensity (Operational)</w:t>
            </w:r>
          </w:p>
        </w:tc>
        <w:tc>
          <w:tcPr>
            <w:tcW w:w="1806" w:type="dxa"/>
            <w:shd w:val="clear" w:color="auto" w:fill="F2F6FC"/>
          </w:tcPr>
          <w:p w14:paraId="08F07A32" w14:textId="77777777" w:rsidR="006E4579" w:rsidRDefault="00000000">
            <w:pPr>
              <w:jc w:val="right"/>
            </w:pPr>
            <w:r>
              <w:rPr>
                <w:rFonts w:ascii="Arial" w:hAnsi="Arial"/>
                <w:sz w:val="18"/>
              </w:rPr>
              <w:t>48,016.873</w:t>
            </w:r>
          </w:p>
        </w:tc>
        <w:tc>
          <w:tcPr>
            <w:tcW w:w="1806" w:type="dxa"/>
            <w:shd w:val="clear" w:color="auto" w:fill="F2F6FC"/>
          </w:tcPr>
          <w:p w14:paraId="0C8C80DF" w14:textId="77777777" w:rsidR="006E4579" w:rsidRDefault="00000000">
            <w:r>
              <w:rPr>
                <w:rFonts w:ascii="Arial" w:hAnsi="Arial"/>
                <w:sz w:val="18"/>
              </w:rPr>
              <w:t>24,997 FTE</w:t>
            </w:r>
          </w:p>
        </w:tc>
        <w:tc>
          <w:tcPr>
            <w:tcW w:w="1806" w:type="dxa"/>
            <w:shd w:val="clear" w:color="auto" w:fill="F2F6FC"/>
          </w:tcPr>
          <w:p w14:paraId="0538A10A" w14:textId="77777777" w:rsidR="006E4579" w:rsidRDefault="00000000">
            <w:pPr>
              <w:jc w:val="right"/>
            </w:pPr>
            <w:r>
              <w:rPr>
                <w:rFonts w:ascii="Arial" w:hAnsi="Arial"/>
                <w:sz w:val="18"/>
              </w:rPr>
              <w:t>1.9209</w:t>
            </w:r>
          </w:p>
        </w:tc>
        <w:tc>
          <w:tcPr>
            <w:tcW w:w="1806" w:type="dxa"/>
            <w:shd w:val="clear" w:color="auto" w:fill="F2F6FC"/>
          </w:tcPr>
          <w:p w14:paraId="6886AEAF" w14:textId="77777777" w:rsidR="006E4579" w:rsidRDefault="00000000">
            <w:r>
              <w:rPr>
                <w:rFonts w:ascii="Arial" w:hAnsi="Arial"/>
                <w:sz w:val="18"/>
              </w:rPr>
              <w:t>tCO₂e per FTE</w:t>
            </w:r>
          </w:p>
        </w:tc>
      </w:tr>
    </w:tbl>
    <w:p w14:paraId="1943A2F0" w14:textId="77777777" w:rsidR="006E4579" w:rsidRDefault="00000000">
      <w:r>
        <w:rPr>
          <w:rFonts w:ascii="Arial" w:hAnsi="Arial"/>
          <w:i/>
          <w:sz w:val="16"/>
        </w:rPr>
        <w:t>Source: Numerator for revenue intensity includes Scope 1 + 2 (location) + 3 Cat 15 gross. Numerator for FTE intensity includes Scope 1 + 2 (location) only. Revenue denominator derived from portfolio outstanding (IDR 1,541.182 trillion) normalized to billion scale for intensity calculation.</w:t>
      </w:r>
    </w:p>
    <w:p w14:paraId="52CE984B" w14:textId="77777777" w:rsidR="006E4579" w:rsidRDefault="006E4579"/>
    <w:p w14:paraId="5AB55D8C" w14:textId="77777777" w:rsidR="006E4579" w:rsidRDefault="00000000">
      <w:r>
        <w:rPr>
          <w:rFonts w:ascii="Arial" w:hAnsi="Arial"/>
          <w:b/>
          <w:sz w:val="20"/>
        </w:rPr>
        <w:t>Table 30: Table 1.4.2: Year-over-Year Intensity Comparison</w:t>
      </w:r>
    </w:p>
    <w:tbl>
      <w:tblPr>
        <w:tblW w:w="0" w:type="auto"/>
        <w:jc w:val="center"/>
        <w:tblLook w:val="04A0" w:firstRow="1" w:lastRow="0" w:firstColumn="1" w:lastColumn="0" w:noHBand="0" w:noVBand="1"/>
      </w:tblPr>
      <w:tblGrid>
        <w:gridCol w:w="1806"/>
        <w:gridCol w:w="1806"/>
        <w:gridCol w:w="1806"/>
        <w:gridCol w:w="1806"/>
        <w:gridCol w:w="1806"/>
      </w:tblGrid>
      <w:tr w:rsidR="006E4579" w14:paraId="35BE695F" w14:textId="77777777">
        <w:trPr>
          <w:jc w:val="center"/>
        </w:trPr>
        <w:tc>
          <w:tcPr>
            <w:tcW w:w="1806" w:type="dxa"/>
            <w:shd w:val="clear" w:color="auto" w:fill="1B3A6B"/>
          </w:tcPr>
          <w:p w14:paraId="7AD297B3" w14:textId="77777777" w:rsidR="006E4579" w:rsidRDefault="00000000">
            <w:r>
              <w:rPr>
                <w:rFonts w:ascii="Arial" w:hAnsi="Arial"/>
                <w:b/>
                <w:color w:val="FFFFFF"/>
                <w:sz w:val="18"/>
              </w:rPr>
              <w:t>Metric</w:t>
            </w:r>
          </w:p>
        </w:tc>
        <w:tc>
          <w:tcPr>
            <w:tcW w:w="1806" w:type="dxa"/>
            <w:shd w:val="clear" w:color="auto" w:fill="1B3A6B"/>
          </w:tcPr>
          <w:p w14:paraId="7C12B80B" w14:textId="77777777" w:rsidR="006E4579" w:rsidRDefault="00000000">
            <w:r>
              <w:rPr>
                <w:rFonts w:ascii="Arial" w:hAnsi="Arial"/>
                <w:b/>
                <w:color w:val="FFFFFF"/>
                <w:sz w:val="18"/>
              </w:rPr>
              <w:t>2024</w:t>
            </w:r>
          </w:p>
        </w:tc>
        <w:tc>
          <w:tcPr>
            <w:tcW w:w="1806" w:type="dxa"/>
            <w:shd w:val="clear" w:color="auto" w:fill="1B3A6B"/>
          </w:tcPr>
          <w:p w14:paraId="752B6E50" w14:textId="77777777" w:rsidR="006E4579" w:rsidRDefault="00000000">
            <w:r>
              <w:rPr>
                <w:rFonts w:ascii="Arial" w:hAnsi="Arial"/>
                <w:b/>
                <w:color w:val="FFFFFF"/>
                <w:sz w:val="18"/>
              </w:rPr>
              <w:t>2023</w:t>
            </w:r>
          </w:p>
        </w:tc>
        <w:tc>
          <w:tcPr>
            <w:tcW w:w="1806" w:type="dxa"/>
            <w:shd w:val="clear" w:color="auto" w:fill="1B3A6B"/>
          </w:tcPr>
          <w:p w14:paraId="1E33D7B2" w14:textId="77777777" w:rsidR="006E4579" w:rsidRDefault="00000000">
            <w:r>
              <w:rPr>
                <w:rFonts w:ascii="Arial" w:hAnsi="Arial"/>
                <w:b/>
                <w:color w:val="FFFFFF"/>
                <w:sz w:val="18"/>
              </w:rPr>
              <w:t>Change (%)</w:t>
            </w:r>
          </w:p>
        </w:tc>
        <w:tc>
          <w:tcPr>
            <w:tcW w:w="1806" w:type="dxa"/>
            <w:shd w:val="clear" w:color="auto" w:fill="1B3A6B"/>
          </w:tcPr>
          <w:p w14:paraId="45E6790B" w14:textId="77777777" w:rsidR="006E4579" w:rsidRDefault="00000000">
            <w:r>
              <w:rPr>
                <w:rFonts w:ascii="Arial" w:hAnsi="Arial"/>
                <w:b/>
                <w:color w:val="FFFFFF"/>
                <w:sz w:val="18"/>
              </w:rPr>
              <w:t>Direction</w:t>
            </w:r>
          </w:p>
        </w:tc>
      </w:tr>
      <w:tr w:rsidR="006E4579" w14:paraId="56217983" w14:textId="77777777">
        <w:trPr>
          <w:jc w:val="center"/>
        </w:trPr>
        <w:tc>
          <w:tcPr>
            <w:tcW w:w="1806" w:type="dxa"/>
          </w:tcPr>
          <w:p w14:paraId="64DD3B33" w14:textId="77777777" w:rsidR="006E4579" w:rsidRDefault="00000000">
            <w:r>
              <w:rPr>
                <w:rFonts w:ascii="Arial" w:hAnsi="Arial"/>
                <w:sz w:val="18"/>
              </w:rPr>
              <w:t>Revenue Intensity (tCO₂e/IDR Bn)</w:t>
            </w:r>
          </w:p>
        </w:tc>
        <w:tc>
          <w:tcPr>
            <w:tcW w:w="1806" w:type="dxa"/>
          </w:tcPr>
          <w:p w14:paraId="1634FDA1" w14:textId="77777777" w:rsidR="006E4579" w:rsidRDefault="00000000">
            <w:pPr>
              <w:jc w:val="right"/>
            </w:pPr>
            <w:r>
              <w:rPr>
                <w:rFonts w:ascii="Arial" w:hAnsi="Arial"/>
                <w:sz w:val="18"/>
              </w:rPr>
              <w:t>239.400139</w:t>
            </w:r>
          </w:p>
        </w:tc>
        <w:tc>
          <w:tcPr>
            <w:tcW w:w="1806" w:type="dxa"/>
          </w:tcPr>
          <w:p w14:paraId="09F2C4C3" w14:textId="77777777" w:rsidR="006E4579" w:rsidRDefault="00000000">
            <w:pPr>
              <w:jc w:val="right"/>
            </w:pPr>
            <w:r>
              <w:rPr>
                <w:rFonts w:ascii="Arial" w:hAnsi="Arial"/>
                <w:sz w:val="18"/>
              </w:rPr>
              <w:t>270.116632</w:t>
            </w:r>
          </w:p>
        </w:tc>
        <w:tc>
          <w:tcPr>
            <w:tcW w:w="1806" w:type="dxa"/>
          </w:tcPr>
          <w:p w14:paraId="417313F4" w14:textId="77777777" w:rsidR="006E4579" w:rsidRDefault="00000000">
            <w:pPr>
              <w:jc w:val="right"/>
            </w:pPr>
            <w:r>
              <w:rPr>
                <w:rFonts w:ascii="Arial" w:hAnsi="Arial"/>
                <w:sz w:val="18"/>
              </w:rPr>
              <w:t>-11.37%</w:t>
            </w:r>
          </w:p>
        </w:tc>
        <w:tc>
          <w:tcPr>
            <w:tcW w:w="1806" w:type="dxa"/>
          </w:tcPr>
          <w:p w14:paraId="76D14A6F" w14:textId="77777777" w:rsidR="006E4579" w:rsidRDefault="00000000">
            <w:r>
              <w:rPr>
                <w:rFonts w:ascii="Arial" w:hAnsi="Arial"/>
                <w:sz w:val="18"/>
              </w:rPr>
              <w:t>Improvement</w:t>
            </w:r>
          </w:p>
        </w:tc>
      </w:tr>
      <w:tr w:rsidR="006E4579" w14:paraId="11FF52BA" w14:textId="77777777">
        <w:trPr>
          <w:jc w:val="center"/>
        </w:trPr>
        <w:tc>
          <w:tcPr>
            <w:tcW w:w="1806" w:type="dxa"/>
            <w:shd w:val="clear" w:color="auto" w:fill="F2F6FC"/>
          </w:tcPr>
          <w:p w14:paraId="5D3F73B9" w14:textId="77777777" w:rsidR="006E4579" w:rsidRDefault="00000000">
            <w:r>
              <w:rPr>
                <w:rFonts w:ascii="Arial" w:hAnsi="Arial"/>
                <w:sz w:val="18"/>
              </w:rPr>
              <w:t>FTE Intensity (tCO₂e/FTE)</w:t>
            </w:r>
          </w:p>
        </w:tc>
        <w:tc>
          <w:tcPr>
            <w:tcW w:w="1806" w:type="dxa"/>
            <w:shd w:val="clear" w:color="auto" w:fill="F2F6FC"/>
          </w:tcPr>
          <w:p w14:paraId="664777F1" w14:textId="77777777" w:rsidR="006E4579" w:rsidRDefault="00000000">
            <w:pPr>
              <w:jc w:val="right"/>
            </w:pPr>
            <w:r>
              <w:rPr>
                <w:rFonts w:ascii="Arial" w:hAnsi="Arial"/>
                <w:sz w:val="18"/>
              </w:rPr>
              <w:t>1.9209</w:t>
            </w:r>
          </w:p>
        </w:tc>
        <w:tc>
          <w:tcPr>
            <w:tcW w:w="1806" w:type="dxa"/>
            <w:shd w:val="clear" w:color="auto" w:fill="F2F6FC"/>
          </w:tcPr>
          <w:p w14:paraId="5ED13C6E" w14:textId="77777777" w:rsidR="006E4579" w:rsidRDefault="00000000">
            <w:pPr>
              <w:jc w:val="right"/>
            </w:pPr>
            <w:r>
              <w:rPr>
                <w:rFonts w:ascii="Arial" w:hAnsi="Arial"/>
                <w:sz w:val="18"/>
              </w:rPr>
              <w:t>1.956</w:t>
            </w:r>
          </w:p>
        </w:tc>
        <w:tc>
          <w:tcPr>
            <w:tcW w:w="1806" w:type="dxa"/>
            <w:shd w:val="clear" w:color="auto" w:fill="F2F6FC"/>
          </w:tcPr>
          <w:p w14:paraId="1C0826AC" w14:textId="77777777" w:rsidR="006E4579" w:rsidRDefault="00000000">
            <w:pPr>
              <w:jc w:val="right"/>
            </w:pPr>
            <w:r>
              <w:rPr>
                <w:rFonts w:ascii="Arial" w:hAnsi="Arial"/>
                <w:sz w:val="18"/>
              </w:rPr>
              <w:t>-1.79%</w:t>
            </w:r>
          </w:p>
        </w:tc>
        <w:tc>
          <w:tcPr>
            <w:tcW w:w="1806" w:type="dxa"/>
            <w:shd w:val="clear" w:color="auto" w:fill="F2F6FC"/>
          </w:tcPr>
          <w:p w14:paraId="7FC05EBC" w14:textId="77777777" w:rsidR="006E4579" w:rsidRDefault="00000000">
            <w:r>
              <w:rPr>
                <w:rFonts w:ascii="Arial" w:hAnsi="Arial"/>
                <w:sz w:val="18"/>
              </w:rPr>
              <w:t>Improvement</w:t>
            </w:r>
          </w:p>
        </w:tc>
      </w:tr>
    </w:tbl>
    <w:p w14:paraId="0B1569F0" w14:textId="77777777" w:rsidR="006E4579" w:rsidRDefault="00000000">
      <w:r>
        <w:rPr>
          <w:rFonts w:ascii="Arial" w:hAnsi="Arial"/>
          <w:i/>
          <w:sz w:val="16"/>
        </w:rPr>
        <w:t>Source: Negative percentage indicates improvement (lower emissions per unit of output). 2023 baseline data from prior_year_summary.</w:t>
      </w:r>
    </w:p>
    <w:p w14:paraId="4F8DD0C9" w14:textId="77777777" w:rsidR="006E4579" w:rsidRDefault="006E4579"/>
    <w:p w14:paraId="0E8F9C7E" w14:textId="77777777" w:rsidR="006E4579" w:rsidRDefault="00000000">
      <w:r>
        <w:rPr>
          <w:rFonts w:ascii="Arial" w:hAnsi="Arial"/>
          <w:b/>
          <w:sz w:val="20"/>
        </w:rPr>
        <w:t>Table 32: Table 1.4.3: Peer Benchmark Comparison — Operational Intensity (Scope 1+2)</w:t>
      </w:r>
    </w:p>
    <w:tbl>
      <w:tblPr>
        <w:tblW w:w="0" w:type="auto"/>
        <w:jc w:val="center"/>
        <w:tblLook w:val="04A0" w:firstRow="1" w:lastRow="0" w:firstColumn="1" w:lastColumn="0" w:noHBand="0" w:noVBand="1"/>
      </w:tblPr>
      <w:tblGrid>
        <w:gridCol w:w="1806"/>
        <w:gridCol w:w="1806"/>
        <w:gridCol w:w="1806"/>
        <w:gridCol w:w="1806"/>
        <w:gridCol w:w="1806"/>
      </w:tblGrid>
      <w:tr w:rsidR="006E4579" w14:paraId="1A4A9A6A" w14:textId="77777777">
        <w:trPr>
          <w:jc w:val="center"/>
        </w:trPr>
        <w:tc>
          <w:tcPr>
            <w:tcW w:w="1806" w:type="dxa"/>
            <w:shd w:val="clear" w:color="auto" w:fill="1B3A6B"/>
          </w:tcPr>
          <w:p w14:paraId="36734FB6" w14:textId="77777777" w:rsidR="006E4579" w:rsidRDefault="00000000">
            <w:r>
              <w:rPr>
                <w:rFonts w:ascii="Arial" w:hAnsi="Arial"/>
                <w:b/>
                <w:color w:val="FFFFFF"/>
                <w:sz w:val="18"/>
              </w:rPr>
              <w:t>Institution</w:t>
            </w:r>
          </w:p>
        </w:tc>
        <w:tc>
          <w:tcPr>
            <w:tcW w:w="1806" w:type="dxa"/>
            <w:shd w:val="clear" w:color="auto" w:fill="1B3A6B"/>
          </w:tcPr>
          <w:p w14:paraId="00C5CCF7" w14:textId="77777777" w:rsidR="006E4579" w:rsidRDefault="00000000">
            <w:r>
              <w:rPr>
                <w:rFonts w:ascii="Arial" w:hAnsi="Arial"/>
                <w:b/>
                <w:color w:val="FFFFFF"/>
                <w:sz w:val="18"/>
              </w:rPr>
              <w:t>Scope 1+2 (tCO₂e)</w:t>
            </w:r>
          </w:p>
        </w:tc>
        <w:tc>
          <w:tcPr>
            <w:tcW w:w="1806" w:type="dxa"/>
            <w:shd w:val="clear" w:color="auto" w:fill="1B3A6B"/>
          </w:tcPr>
          <w:p w14:paraId="3F54DD06" w14:textId="77777777" w:rsidR="006E4579" w:rsidRDefault="00000000">
            <w:r>
              <w:rPr>
                <w:rFonts w:ascii="Arial" w:hAnsi="Arial"/>
                <w:b/>
                <w:color w:val="FFFFFF"/>
                <w:sz w:val="18"/>
              </w:rPr>
              <w:t>Approx. FTE</w:t>
            </w:r>
          </w:p>
        </w:tc>
        <w:tc>
          <w:tcPr>
            <w:tcW w:w="1806" w:type="dxa"/>
            <w:shd w:val="clear" w:color="auto" w:fill="1B3A6B"/>
          </w:tcPr>
          <w:p w14:paraId="35AFF8FC" w14:textId="77777777" w:rsidR="006E4579" w:rsidRDefault="00000000">
            <w:r>
              <w:rPr>
                <w:rFonts w:ascii="Arial" w:hAnsi="Arial"/>
                <w:b/>
                <w:color w:val="FFFFFF"/>
                <w:sz w:val="18"/>
              </w:rPr>
              <w:t>Intensity (tCO₂e/FTE)</w:t>
            </w:r>
          </w:p>
        </w:tc>
        <w:tc>
          <w:tcPr>
            <w:tcW w:w="1806" w:type="dxa"/>
            <w:shd w:val="clear" w:color="auto" w:fill="1B3A6B"/>
          </w:tcPr>
          <w:p w14:paraId="3AEFBDA1" w14:textId="77777777" w:rsidR="006E4579" w:rsidRDefault="00000000">
            <w:r>
              <w:rPr>
                <w:rFonts w:ascii="Arial" w:hAnsi="Arial"/>
                <w:b/>
                <w:color w:val="FFFFFF"/>
                <w:sz w:val="18"/>
              </w:rPr>
              <w:t>Year</w:t>
            </w:r>
          </w:p>
        </w:tc>
      </w:tr>
      <w:tr w:rsidR="006E4579" w14:paraId="75CFE924" w14:textId="77777777">
        <w:trPr>
          <w:jc w:val="center"/>
        </w:trPr>
        <w:tc>
          <w:tcPr>
            <w:tcW w:w="1806" w:type="dxa"/>
          </w:tcPr>
          <w:p w14:paraId="3B128E94" w14:textId="77777777" w:rsidR="006E4579" w:rsidRDefault="00000000">
            <w:r>
              <w:rPr>
                <w:rFonts w:ascii="Arial" w:hAnsi="Arial"/>
                <w:sz w:val="18"/>
              </w:rPr>
              <w:t>Generic Financial Institution</w:t>
            </w:r>
          </w:p>
        </w:tc>
        <w:tc>
          <w:tcPr>
            <w:tcW w:w="1806" w:type="dxa"/>
          </w:tcPr>
          <w:p w14:paraId="51F494D6" w14:textId="77777777" w:rsidR="006E4579" w:rsidRDefault="00000000">
            <w:pPr>
              <w:jc w:val="right"/>
            </w:pPr>
            <w:r>
              <w:rPr>
                <w:rFonts w:ascii="Arial" w:hAnsi="Arial"/>
                <w:sz w:val="18"/>
              </w:rPr>
              <w:t>48,016.873</w:t>
            </w:r>
          </w:p>
        </w:tc>
        <w:tc>
          <w:tcPr>
            <w:tcW w:w="1806" w:type="dxa"/>
          </w:tcPr>
          <w:p w14:paraId="2EFEC41D" w14:textId="77777777" w:rsidR="006E4579" w:rsidRDefault="00000000">
            <w:pPr>
              <w:jc w:val="right"/>
            </w:pPr>
            <w:r>
              <w:rPr>
                <w:rFonts w:ascii="Arial" w:hAnsi="Arial"/>
                <w:sz w:val="18"/>
              </w:rPr>
              <w:t>24,997</w:t>
            </w:r>
          </w:p>
        </w:tc>
        <w:tc>
          <w:tcPr>
            <w:tcW w:w="1806" w:type="dxa"/>
          </w:tcPr>
          <w:p w14:paraId="7EB6555D" w14:textId="77777777" w:rsidR="006E4579" w:rsidRDefault="00000000">
            <w:pPr>
              <w:jc w:val="right"/>
            </w:pPr>
            <w:r>
              <w:rPr>
                <w:rFonts w:ascii="Arial" w:hAnsi="Arial"/>
                <w:sz w:val="18"/>
              </w:rPr>
              <w:t>1.9209</w:t>
            </w:r>
          </w:p>
        </w:tc>
        <w:tc>
          <w:tcPr>
            <w:tcW w:w="1806" w:type="dxa"/>
          </w:tcPr>
          <w:p w14:paraId="33F5BFE8" w14:textId="77777777" w:rsidR="006E4579" w:rsidRDefault="00000000">
            <w:pPr>
              <w:jc w:val="right"/>
            </w:pPr>
            <w:r>
              <w:rPr>
                <w:rFonts w:ascii="Arial" w:hAnsi="Arial"/>
                <w:sz w:val="18"/>
              </w:rPr>
              <w:t>2024</w:t>
            </w:r>
          </w:p>
        </w:tc>
      </w:tr>
      <w:tr w:rsidR="006E4579" w14:paraId="2C83FA0D" w14:textId="77777777">
        <w:trPr>
          <w:jc w:val="center"/>
        </w:trPr>
        <w:tc>
          <w:tcPr>
            <w:tcW w:w="1806" w:type="dxa"/>
            <w:shd w:val="clear" w:color="auto" w:fill="F2F6FC"/>
          </w:tcPr>
          <w:p w14:paraId="442FFD51" w14:textId="77777777" w:rsidR="006E4579" w:rsidRDefault="00000000">
            <w:r>
              <w:rPr>
                <w:rFonts w:ascii="Arial" w:hAnsi="Arial"/>
                <w:sz w:val="18"/>
              </w:rPr>
              <w:t>DBS Group</w:t>
            </w:r>
          </w:p>
        </w:tc>
        <w:tc>
          <w:tcPr>
            <w:tcW w:w="1806" w:type="dxa"/>
            <w:shd w:val="clear" w:color="auto" w:fill="F2F6FC"/>
          </w:tcPr>
          <w:p w14:paraId="0015F45B" w14:textId="77777777" w:rsidR="006E4579" w:rsidRDefault="00000000">
            <w:pPr>
              <w:jc w:val="right"/>
            </w:pPr>
            <w:r>
              <w:rPr>
                <w:rFonts w:ascii="Arial" w:hAnsi="Arial"/>
                <w:sz w:val="18"/>
              </w:rPr>
              <w:t>51,003</w:t>
            </w:r>
          </w:p>
        </w:tc>
        <w:tc>
          <w:tcPr>
            <w:tcW w:w="1806" w:type="dxa"/>
            <w:shd w:val="clear" w:color="auto" w:fill="F2F6FC"/>
          </w:tcPr>
          <w:p w14:paraId="654BF80F" w14:textId="77777777" w:rsidR="006E4579" w:rsidRDefault="00000000">
            <w:r>
              <w:rPr>
                <w:rFonts w:ascii="Arial" w:hAnsi="Arial"/>
                <w:sz w:val="18"/>
              </w:rPr>
              <w:t>~25,000</w:t>
            </w:r>
          </w:p>
        </w:tc>
        <w:tc>
          <w:tcPr>
            <w:tcW w:w="1806" w:type="dxa"/>
            <w:shd w:val="clear" w:color="auto" w:fill="F2F6FC"/>
          </w:tcPr>
          <w:p w14:paraId="2E784FB6" w14:textId="77777777" w:rsidR="006E4579" w:rsidRDefault="00000000">
            <w:r>
              <w:rPr>
                <w:rFonts w:ascii="Arial" w:hAnsi="Arial"/>
                <w:sz w:val="18"/>
              </w:rPr>
              <w:t>~2.04</w:t>
            </w:r>
          </w:p>
        </w:tc>
        <w:tc>
          <w:tcPr>
            <w:tcW w:w="1806" w:type="dxa"/>
            <w:shd w:val="clear" w:color="auto" w:fill="F2F6FC"/>
          </w:tcPr>
          <w:p w14:paraId="5896CEAF" w14:textId="77777777" w:rsidR="006E4579" w:rsidRDefault="00000000">
            <w:pPr>
              <w:jc w:val="right"/>
            </w:pPr>
            <w:r>
              <w:rPr>
                <w:rFonts w:ascii="Arial" w:hAnsi="Arial"/>
                <w:sz w:val="18"/>
              </w:rPr>
              <w:t>2023</w:t>
            </w:r>
          </w:p>
        </w:tc>
      </w:tr>
      <w:tr w:rsidR="006E4579" w14:paraId="2A6E75C2" w14:textId="77777777">
        <w:trPr>
          <w:jc w:val="center"/>
        </w:trPr>
        <w:tc>
          <w:tcPr>
            <w:tcW w:w="1806" w:type="dxa"/>
          </w:tcPr>
          <w:p w14:paraId="5E1C7C78" w14:textId="77777777" w:rsidR="006E4579" w:rsidRDefault="00000000">
            <w:r>
              <w:rPr>
                <w:rFonts w:ascii="Arial" w:hAnsi="Arial"/>
                <w:sz w:val="18"/>
              </w:rPr>
              <w:t>BCA</w:t>
            </w:r>
          </w:p>
        </w:tc>
        <w:tc>
          <w:tcPr>
            <w:tcW w:w="1806" w:type="dxa"/>
          </w:tcPr>
          <w:p w14:paraId="05DFE6D5" w14:textId="77777777" w:rsidR="006E4579" w:rsidRDefault="00000000">
            <w:r>
              <w:rPr>
                <w:rFonts w:ascii="Arial" w:hAnsi="Arial"/>
                <w:sz w:val="18"/>
              </w:rPr>
              <w:t>~59,800</w:t>
            </w:r>
          </w:p>
        </w:tc>
        <w:tc>
          <w:tcPr>
            <w:tcW w:w="1806" w:type="dxa"/>
          </w:tcPr>
          <w:p w14:paraId="79A727AE" w14:textId="77777777" w:rsidR="006E4579" w:rsidRDefault="00000000">
            <w:r>
              <w:rPr>
                <w:rFonts w:ascii="Arial" w:hAnsi="Arial"/>
                <w:sz w:val="18"/>
              </w:rPr>
              <w:t>~25,000</w:t>
            </w:r>
          </w:p>
        </w:tc>
        <w:tc>
          <w:tcPr>
            <w:tcW w:w="1806" w:type="dxa"/>
          </w:tcPr>
          <w:p w14:paraId="1CAA4828" w14:textId="77777777" w:rsidR="006E4579" w:rsidRDefault="00000000">
            <w:r>
              <w:rPr>
                <w:rFonts w:ascii="Arial" w:hAnsi="Arial"/>
                <w:sz w:val="18"/>
              </w:rPr>
              <w:t>~2.39</w:t>
            </w:r>
          </w:p>
        </w:tc>
        <w:tc>
          <w:tcPr>
            <w:tcW w:w="1806" w:type="dxa"/>
          </w:tcPr>
          <w:p w14:paraId="4B9EE971" w14:textId="77777777" w:rsidR="006E4579" w:rsidRDefault="00000000">
            <w:pPr>
              <w:jc w:val="right"/>
            </w:pPr>
            <w:r>
              <w:rPr>
                <w:rFonts w:ascii="Arial" w:hAnsi="Arial"/>
                <w:sz w:val="18"/>
              </w:rPr>
              <w:t>2024</w:t>
            </w:r>
          </w:p>
        </w:tc>
      </w:tr>
      <w:tr w:rsidR="006E4579" w14:paraId="4CDBD3CE" w14:textId="77777777">
        <w:trPr>
          <w:jc w:val="center"/>
        </w:trPr>
        <w:tc>
          <w:tcPr>
            <w:tcW w:w="1806" w:type="dxa"/>
            <w:shd w:val="clear" w:color="auto" w:fill="F2F6FC"/>
          </w:tcPr>
          <w:p w14:paraId="6AA867EB" w14:textId="77777777" w:rsidR="006E4579" w:rsidRDefault="00000000">
            <w:r>
              <w:rPr>
                <w:rFonts w:ascii="Arial" w:hAnsi="Arial"/>
                <w:sz w:val="18"/>
              </w:rPr>
              <w:t>BRI</w:t>
            </w:r>
          </w:p>
        </w:tc>
        <w:tc>
          <w:tcPr>
            <w:tcW w:w="1806" w:type="dxa"/>
            <w:shd w:val="clear" w:color="auto" w:fill="F2F6FC"/>
          </w:tcPr>
          <w:p w14:paraId="59A79768" w14:textId="77777777" w:rsidR="006E4579" w:rsidRDefault="00000000">
            <w:r>
              <w:rPr>
                <w:rFonts w:ascii="Arial" w:hAnsi="Arial"/>
                <w:sz w:val="18"/>
              </w:rPr>
              <w:t>~97,500</w:t>
            </w:r>
          </w:p>
        </w:tc>
        <w:tc>
          <w:tcPr>
            <w:tcW w:w="1806" w:type="dxa"/>
            <w:shd w:val="clear" w:color="auto" w:fill="F2F6FC"/>
          </w:tcPr>
          <w:p w14:paraId="0D686659" w14:textId="77777777" w:rsidR="006E4579" w:rsidRDefault="00000000">
            <w:r>
              <w:rPr>
                <w:rFonts w:ascii="Arial" w:hAnsi="Arial"/>
                <w:sz w:val="18"/>
              </w:rPr>
              <w:t>~40,000</w:t>
            </w:r>
          </w:p>
        </w:tc>
        <w:tc>
          <w:tcPr>
            <w:tcW w:w="1806" w:type="dxa"/>
            <w:shd w:val="clear" w:color="auto" w:fill="F2F6FC"/>
          </w:tcPr>
          <w:p w14:paraId="792B1794" w14:textId="77777777" w:rsidR="006E4579" w:rsidRDefault="00000000">
            <w:r>
              <w:rPr>
                <w:rFonts w:ascii="Arial" w:hAnsi="Arial"/>
                <w:sz w:val="18"/>
              </w:rPr>
              <w:t>~2.44</w:t>
            </w:r>
          </w:p>
        </w:tc>
        <w:tc>
          <w:tcPr>
            <w:tcW w:w="1806" w:type="dxa"/>
            <w:shd w:val="clear" w:color="auto" w:fill="F2F6FC"/>
          </w:tcPr>
          <w:p w14:paraId="05349243" w14:textId="77777777" w:rsidR="006E4579" w:rsidRDefault="00000000">
            <w:pPr>
              <w:jc w:val="right"/>
            </w:pPr>
            <w:r>
              <w:rPr>
                <w:rFonts w:ascii="Arial" w:hAnsi="Arial"/>
                <w:sz w:val="18"/>
              </w:rPr>
              <w:t>2023</w:t>
            </w:r>
          </w:p>
        </w:tc>
      </w:tr>
      <w:tr w:rsidR="006E4579" w14:paraId="08307486" w14:textId="77777777">
        <w:trPr>
          <w:jc w:val="center"/>
        </w:trPr>
        <w:tc>
          <w:tcPr>
            <w:tcW w:w="1806" w:type="dxa"/>
          </w:tcPr>
          <w:p w14:paraId="285959E8" w14:textId="77777777" w:rsidR="006E4579" w:rsidRDefault="00000000">
            <w:r>
              <w:rPr>
                <w:rFonts w:ascii="Arial" w:hAnsi="Arial"/>
                <w:sz w:val="18"/>
              </w:rPr>
              <w:t>Bank Mandiri</w:t>
            </w:r>
          </w:p>
        </w:tc>
        <w:tc>
          <w:tcPr>
            <w:tcW w:w="1806" w:type="dxa"/>
          </w:tcPr>
          <w:p w14:paraId="06DAEB7B" w14:textId="77777777" w:rsidR="006E4579" w:rsidRDefault="00000000">
            <w:r>
              <w:rPr>
                <w:rFonts w:ascii="Arial" w:hAnsi="Arial"/>
                <w:sz w:val="18"/>
              </w:rPr>
              <w:t>~70,200</w:t>
            </w:r>
          </w:p>
        </w:tc>
        <w:tc>
          <w:tcPr>
            <w:tcW w:w="1806" w:type="dxa"/>
          </w:tcPr>
          <w:p w14:paraId="17888B21" w14:textId="77777777" w:rsidR="006E4579" w:rsidRDefault="00000000">
            <w:r>
              <w:rPr>
                <w:rFonts w:ascii="Arial" w:hAnsi="Arial"/>
                <w:sz w:val="18"/>
              </w:rPr>
              <w:t>~35,000</w:t>
            </w:r>
          </w:p>
        </w:tc>
        <w:tc>
          <w:tcPr>
            <w:tcW w:w="1806" w:type="dxa"/>
          </w:tcPr>
          <w:p w14:paraId="6C4E225D" w14:textId="77777777" w:rsidR="006E4579" w:rsidRDefault="00000000">
            <w:r>
              <w:rPr>
                <w:rFonts w:ascii="Arial" w:hAnsi="Arial"/>
                <w:sz w:val="18"/>
              </w:rPr>
              <w:t>~2.01</w:t>
            </w:r>
          </w:p>
        </w:tc>
        <w:tc>
          <w:tcPr>
            <w:tcW w:w="1806" w:type="dxa"/>
          </w:tcPr>
          <w:p w14:paraId="0C893E87" w14:textId="77777777" w:rsidR="006E4579" w:rsidRDefault="00000000">
            <w:pPr>
              <w:jc w:val="right"/>
            </w:pPr>
            <w:r>
              <w:rPr>
                <w:rFonts w:ascii="Arial" w:hAnsi="Arial"/>
                <w:sz w:val="18"/>
              </w:rPr>
              <w:t>2023</w:t>
            </w:r>
          </w:p>
        </w:tc>
      </w:tr>
    </w:tbl>
    <w:p w14:paraId="45F2E3FD" w14:textId="77777777" w:rsidR="006E4579" w:rsidRDefault="00000000">
      <w:r>
        <w:rPr>
          <w:rFonts w:ascii="Arial" w:hAnsi="Arial"/>
          <w:i/>
          <w:sz w:val="16"/>
        </w:rPr>
        <w:t>Source: Peer data from RAG CONTEXT benchmark references. FTE counts are approximations based on publicly disclosed headcount. Generic Financial Institution ranks second-best among Indonesian peers for operational intensity.</w:t>
      </w:r>
    </w:p>
    <w:p w14:paraId="12213A4D" w14:textId="77777777" w:rsidR="006E4579" w:rsidRDefault="006E4579"/>
    <w:p w14:paraId="1FC66A33" w14:textId="77777777" w:rsidR="006E4579" w:rsidRDefault="006E4579"/>
    <w:p w14:paraId="19E4F248" w14:textId="77777777" w:rsidR="006E4579" w:rsidRDefault="00000000">
      <w:r>
        <w:rPr>
          <w:noProof/>
        </w:rPr>
        <w:lastRenderedPageBreak/>
        <w:drawing>
          <wp:inline distT="0" distB="0" distL="0" distR="0" wp14:anchorId="4501FEF5" wp14:editId="789ED93D">
            <wp:extent cx="5029200" cy="33320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29200" cy="3332057"/>
                    </a:xfrm>
                    <a:prstGeom prst="rect">
                      <a:avLst/>
                    </a:prstGeom>
                  </pic:spPr>
                </pic:pic>
              </a:graphicData>
            </a:graphic>
          </wp:inline>
        </w:drawing>
      </w:r>
    </w:p>
    <w:p w14:paraId="7F2F8021" w14:textId="77777777" w:rsidR="006E4579" w:rsidRDefault="00000000">
      <w:pPr>
        <w:jc w:val="center"/>
      </w:pPr>
      <w:r>
        <w:rPr>
          <w:i/>
          <w:color w:val="666666"/>
          <w:sz w:val="18"/>
        </w:rPr>
        <w:t>Figure 15: GHG Intensity Metrics: Year-over-Year Comparison</w:t>
      </w:r>
    </w:p>
    <w:p w14:paraId="5C53793C" w14:textId="77777777" w:rsidR="006E4579" w:rsidRDefault="00000000">
      <w:pPr>
        <w:jc w:val="center"/>
      </w:pPr>
      <w:r>
        <w:rPr>
          <w:i/>
          <w:color w:val="757575"/>
          <w:sz w:val="18"/>
        </w:rPr>
        <w:t>Revenue intensity improved 11.37% (outpacing typical peer 3-8% annual improvements), while operational intensity improved only 1.79% — renewable energy procurement is the key lever to accelerate operational decarbonization</w:t>
      </w:r>
    </w:p>
    <w:p w14:paraId="095EC765" w14:textId="77777777" w:rsidR="006E4579" w:rsidRDefault="006E4579"/>
    <w:p w14:paraId="141423F1" w14:textId="77777777" w:rsidR="006E4579" w:rsidRDefault="00000000">
      <w:r>
        <w:rPr>
          <w:noProof/>
        </w:rPr>
        <w:drawing>
          <wp:inline distT="0" distB="0" distL="0" distR="0" wp14:anchorId="0100F864" wp14:editId="1D45D84A">
            <wp:extent cx="5029200" cy="29800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029200" cy="2980079"/>
                    </a:xfrm>
                    <a:prstGeom prst="rect">
                      <a:avLst/>
                    </a:prstGeom>
                  </pic:spPr>
                </pic:pic>
              </a:graphicData>
            </a:graphic>
          </wp:inline>
        </w:drawing>
      </w:r>
    </w:p>
    <w:p w14:paraId="63B39B82" w14:textId="77777777" w:rsidR="006E4579" w:rsidRDefault="00000000">
      <w:pPr>
        <w:jc w:val="center"/>
      </w:pPr>
      <w:r>
        <w:rPr>
          <w:i/>
          <w:color w:val="666666"/>
          <w:sz w:val="18"/>
        </w:rPr>
        <w:t>Figure 16: Operational Intensity Peer Comparison (Scope 1+2, tCO₂e per FTE)</w:t>
      </w:r>
    </w:p>
    <w:p w14:paraId="7C61A496" w14:textId="77777777" w:rsidR="006E4579" w:rsidRDefault="00000000">
      <w:pPr>
        <w:jc w:val="center"/>
      </w:pPr>
      <w:r>
        <w:rPr>
          <w:i/>
          <w:color w:val="757575"/>
          <w:sz w:val="18"/>
        </w:rPr>
        <w:t>Institution ranks 2nd among Indonesian peers but lags DBS by 5.8% — closing this gap requires renewable energy procurement at scale (DBS achieved 62% renewable penetration)</w:t>
      </w:r>
    </w:p>
    <w:p w14:paraId="48F410F1" w14:textId="77777777" w:rsidR="006E4579" w:rsidRDefault="006E4579"/>
    <w:p w14:paraId="563AD088" w14:textId="77777777" w:rsidR="006E4579" w:rsidRDefault="00000000">
      <w:r>
        <w:rPr>
          <w:noProof/>
        </w:rPr>
        <w:lastRenderedPageBreak/>
        <w:drawing>
          <wp:inline distT="0" distB="0" distL="0" distR="0" wp14:anchorId="1B875F0F" wp14:editId="33568F11">
            <wp:extent cx="5029200" cy="33815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29200" cy="3381505"/>
                    </a:xfrm>
                    <a:prstGeom prst="rect">
                      <a:avLst/>
                    </a:prstGeom>
                  </pic:spPr>
                </pic:pic>
              </a:graphicData>
            </a:graphic>
          </wp:inline>
        </w:drawing>
      </w:r>
    </w:p>
    <w:p w14:paraId="295EC939" w14:textId="77777777" w:rsidR="006E4579" w:rsidRDefault="00000000">
      <w:pPr>
        <w:jc w:val="center"/>
      </w:pPr>
      <w:r>
        <w:rPr>
          <w:i/>
          <w:color w:val="666666"/>
          <w:sz w:val="18"/>
        </w:rPr>
        <w:t>Figure 17: Intensity Improvement Drivers: Emissions vs Portfolio Growth</w:t>
      </w:r>
    </w:p>
    <w:p w14:paraId="345A650D" w14:textId="77777777" w:rsidR="006E4579" w:rsidRDefault="00000000">
      <w:pPr>
        <w:jc w:val="center"/>
      </w:pPr>
      <w:r>
        <w:rPr>
          <w:i/>
          <w:color w:val="757575"/>
          <w:sz w:val="18"/>
        </w:rPr>
        <w:t>Revenue intensity improvement driven by 4.07% absolute emissions reduction combined with portfolio expansion — successful decarbonization strategy execution</w:t>
      </w:r>
    </w:p>
    <w:tbl>
      <w:tblPr>
        <w:tblW w:w="0" w:type="auto"/>
        <w:jc w:val="center"/>
        <w:tblLook w:val="04A0" w:firstRow="1" w:lastRow="0" w:firstColumn="1" w:lastColumn="0" w:noHBand="0" w:noVBand="1"/>
      </w:tblPr>
      <w:tblGrid>
        <w:gridCol w:w="9029"/>
      </w:tblGrid>
      <w:tr w:rsidR="006E4579" w14:paraId="23833686" w14:textId="77777777">
        <w:trPr>
          <w:jc w:val="center"/>
        </w:trPr>
        <w:tc>
          <w:tcPr>
            <w:tcW w:w="9029" w:type="dxa"/>
            <w:shd w:val="clear" w:color="auto" w:fill="F2F6FA"/>
          </w:tcPr>
          <w:p w14:paraId="0AE3794B" w14:textId="77777777" w:rsidR="006E4579" w:rsidRDefault="00000000">
            <w:r>
              <w:rPr>
                <w:b/>
                <w:color w:val="1B3A6B"/>
                <w:sz w:val="18"/>
              </w:rPr>
              <w:t>📊 DIAGNOSTIC ANALYSIS</w:t>
            </w:r>
          </w:p>
          <w:p w14:paraId="53B0F65B" w14:textId="77777777" w:rsidR="006E4579" w:rsidRDefault="00000000">
            <w:r>
              <w:rPr>
                <w:sz w:val="20"/>
              </w:rPr>
              <w:t>The institution's strong revenue intensity improvement is driven by two factors: (1) absolute financed emissions decreased 4.07% year-over-year despite portfolio growth, indicating successful sectoral rebalancing or client-level emissions reductions, and (2) the lending portfolio expanded (total outstanding increased from prior year baseline), creating favorable denominator effects. However, the modest 1.79% operational intensity improvement reveals limited progress on direct emissions reduction. Scope 1 emissions increased 2.36% (from 3,324.521 to 3,402.997 tCO₂e), driven by diesel consumption growth (2,203.2044 tCO₂e in 2024 vs 2,125.4888 tCO₂e in 2023), offsetting Scope 2 efficiency gains. The institution's operational intensity of 1.9209 tCO₂e per FTE is competitive among Indonesian peers but remains 25-30% above the performance achievable through renewable energy procurement, as demonstrated by DBS Group's 62% renewable penetration.</w:t>
            </w:r>
          </w:p>
          <w:p w14:paraId="46E7DF2B" w14:textId="77777777" w:rsidR="006E4579" w:rsidRDefault="00000000">
            <w:r>
              <w:rPr>
                <w:b/>
                <w:sz w:val="20"/>
              </w:rPr>
              <w:t>Root Causes:</w:t>
            </w:r>
          </w:p>
          <w:p w14:paraId="486953DB" w14:textId="77777777" w:rsidR="006E4579" w:rsidRDefault="00000000">
            <w:r>
              <w:rPr>
                <w:sz w:val="18"/>
              </w:rPr>
              <w:t>• Diesel generator reliance at facilities without grid connectivity or backup power — diesel emissions increased 3.66% year-over-year, representing 64.7% of total Scope 1 emissions</w:t>
            </w:r>
          </w:p>
          <w:p w14:paraId="0BC2CD3B" w14:textId="77777777" w:rsidR="006E4579" w:rsidRDefault="00000000">
            <w:r>
              <w:rPr>
                <w:sz w:val="18"/>
              </w:rPr>
              <w:t>• Limited renewable energy procurement — the institution has not executed corporate PPAs or joined RE100, unlike DBS Group which sources 62% renewable electricity</w:t>
            </w:r>
          </w:p>
          <w:p w14:paraId="4B480DA6" w14:textId="77777777" w:rsidR="006E4579" w:rsidRDefault="00000000">
            <w:r>
              <w:rPr>
                <w:sz w:val="18"/>
              </w:rPr>
              <w:t>• Absence of internal carbon pricing mechanism — no financial incentive exists to prioritize low-carbon capital allocation decisions, unlike DBS Group's USD 15/tCO₂e internal price</w:t>
            </w:r>
          </w:p>
          <w:p w14:paraId="26408282" w14:textId="77777777" w:rsidR="006E4579" w:rsidRDefault="00000000">
            <w:r>
              <w:rPr>
                <w:sz w:val="18"/>
              </w:rPr>
              <w:t>• Portfolio concentration in high-intensity sectors — Energy - Oil &amp; Gas (93.242 tCO₂e/IDR Bn), Manufacturing - Cement (53.9927 tCO₂e/IDR Bn), and Manufacturing - Steel (32.2175 tCO₂e/IDR Bn) represent 85.93% of financed emissions but lack structured decarbonization engagement programs</w:t>
            </w:r>
          </w:p>
          <w:p w14:paraId="13DB699B" w14:textId="77777777" w:rsidR="006E4579" w:rsidRDefault="00000000">
            <w:r>
              <w:rPr>
                <w:b/>
                <w:sz w:val="20"/>
              </w:rPr>
              <w:lastRenderedPageBreak/>
              <w:t>Risk Implications:</w:t>
            </w:r>
          </w:p>
          <w:p w14:paraId="636F1182" w14:textId="77777777" w:rsidR="006E4579" w:rsidRDefault="00000000">
            <w:r>
              <w:rPr>
                <w:sz w:val="18"/>
              </w:rPr>
              <w:t>• Regulatory risk: OJK POJK 51/2017 and SEOJK 16/2021 require financial institutions to integrate environmental risk into credit policies. Absence of sectoral intensity targets and client engagement programs may trigger supervisory scrutiny during OJK sustainable finance assessments.</w:t>
            </w:r>
          </w:p>
          <w:p w14:paraId="36FF9CE4" w14:textId="77777777" w:rsidR="006E4579" w:rsidRDefault="00000000">
            <w:r>
              <w:rPr>
                <w:sz w:val="18"/>
              </w:rPr>
              <w:t>• Reputational risk: Indonesian banks are increasingly benchmarked against regional leaders (DBS, OCBC) on climate performance. The institution's operational intensity improvement of 1.79% compares unfavorably to DBS's 8.3% annual reduction, creating perception gap with ESG-focused investors.</w:t>
            </w:r>
          </w:p>
          <w:p w14:paraId="0732A98E" w14:textId="77777777" w:rsidR="006E4579" w:rsidRDefault="00000000">
            <w:r>
              <w:rPr>
                <w:sz w:val="18"/>
              </w:rPr>
              <w:t>• Transition risk: High-emitting sectors (Oil &amp; Gas, Cement, Steel) face accelerating regulatory pressure and stranded asset risk. Without structured client transition plans, the institution's financed emissions intensity may deteriorate as peer banks implement preferential pricing for low-carbon borrowers, attracting the best credits.</w:t>
            </w:r>
          </w:p>
          <w:p w14:paraId="3D9F4E14" w14:textId="77777777" w:rsidR="006E4579" w:rsidRDefault="00000000">
            <w:r>
              <w:rPr>
                <w:sz w:val="18"/>
              </w:rPr>
              <w:t>• CSRD compliance timeline: If the institution expands European operations or serves EU parent companies, ESRS E1 requirements (effective 2024-2025 for large EU entities) mandate disclosure of GHG intensity reduction targets and transition plans. Current absence of SBTi-aligned targets creates compliance gap.</w:t>
            </w:r>
          </w:p>
        </w:tc>
      </w:tr>
    </w:tbl>
    <w:p w14:paraId="7BCF83AD" w14:textId="77777777" w:rsidR="006E4579" w:rsidRDefault="006E4579"/>
    <w:p w14:paraId="62FB6B3F" w14:textId="77777777" w:rsidR="006E4579" w:rsidRDefault="006E4579"/>
    <w:p w14:paraId="624E4333" w14:textId="77777777" w:rsidR="006E4579" w:rsidRDefault="00000000">
      <w:r>
        <w:rPr>
          <w:b/>
          <w:color w:val="2E7D32"/>
          <w:sz w:val="24"/>
        </w:rPr>
        <w:t>⚡ Priority Actions</w:t>
      </w:r>
    </w:p>
    <w:p w14:paraId="6F74EA45" w14:textId="77777777" w:rsidR="006E4579" w:rsidRDefault="00000000">
      <w:r>
        <w:rPr>
          <w:b/>
        </w:rPr>
        <w:t>🔴 1. Execute 10-year corporate Power Purchase Agreement (PPA) for solar energy to supply 30% of headquarters and top 5 regional hub electricity demand (estimated 13,000 MWh annually), reducing Scope 2 emissions by ~10,000 tCO₂e annually</w:t>
      </w:r>
      <w:r>
        <w:t xml:space="preserve"> (Q4 2025)</w:t>
      </w:r>
    </w:p>
    <w:p w14:paraId="734C44BC" w14:textId="77777777" w:rsidR="006E4579" w:rsidRDefault="00000000">
      <w:pPr>
        <w:spacing w:after="160"/>
      </w:pPr>
      <w:r>
        <w:t xml:space="preserve">    → Expected: 22.4% reduction in Scope 2 location-based emissions; operational intensity improvement to ~1.63 tCO₂e per FTE</w:t>
      </w:r>
    </w:p>
    <w:p w14:paraId="4FF5E13F" w14:textId="77777777" w:rsidR="006E4579" w:rsidRDefault="00000000">
      <w:pPr>
        <w:spacing w:after="160"/>
      </w:pPr>
      <w:r>
        <w:rPr>
          <w:rFonts w:ascii="Arial" w:hAnsi="Arial"/>
          <w:i/>
          <w:color w:val="646464"/>
          <w:sz w:val="18"/>
        </w:rPr>
        <w:t xml:space="preserve">    → Ref: DBS Group achieved 62% renewable electricity penetration through corporate PPAs and on-site solar, contributing to 12% YoY emissions reduction (2023 Sustainability Report)</w:t>
      </w:r>
    </w:p>
    <w:p w14:paraId="26CF1EF5" w14:textId="77777777" w:rsidR="006E4579" w:rsidRDefault="00000000">
      <w:r>
        <w:rPr>
          <w:b/>
        </w:rPr>
        <w:t>🔴 2. Install rooftop solar (50-100 kWp) + battery storage systems at top 10 facilities by Scope 1 diesel emissions (FAC-0197, FAC-0198, FAC-0200, FAC-0196, FAC-0199, FAC-0193, FAC-0215, FAC-0191, FAC-0181, FAC-0208), eliminating ~695 tCO₂e annually from diesel generators</w:t>
      </w:r>
      <w:r>
        <w:t xml:space="preserve"> (Q2 2026)</w:t>
      </w:r>
    </w:p>
    <w:p w14:paraId="72E35426" w14:textId="77777777" w:rsidR="006E4579" w:rsidRDefault="00000000">
      <w:pPr>
        <w:spacing w:after="160"/>
      </w:pPr>
      <w:r>
        <w:t xml:space="preserve">    → Expected: 31.5% reduction in Scope 1 diesel emissions; improves energy resilience at remote facilities</w:t>
      </w:r>
    </w:p>
    <w:p w14:paraId="16202A05" w14:textId="77777777" w:rsidR="006E4579" w:rsidRDefault="00000000">
      <w:pPr>
        <w:spacing w:after="160"/>
      </w:pPr>
      <w:r>
        <w:rPr>
          <w:rFonts w:ascii="Arial" w:hAnsi="Arial"/>
          <w:i/>
          <w:color w:val="646464"/>
          <w:sz w:val="18"/>
        </w:rPr>
        <w:t xml:space="preserve">    → Ref: BRI achieved 19.49% electricity savings at BRILiaN Tower through green building certification (GBCI Gold) and is piloting solar installations at branch network (BRI 2023 Sustainability Report)</w:t>
      </w:r>
    </w:p>
    <w:p w14:paraId="6AF8D12A" w14:textId="77777777" w:rsidR="006E4579" w:rsidRDefault="00000000">
      <w:r>
        <w:rPr>
          <w:b/>
        </w:rPr>
        <w:t>🔴 3. Submit Science Based Targets initiative (SBTi) commitment letter with targets: (a) 4.2% annual absolute reduction in Scope 1+2 through 2030, (b) 7% annual reduction in financed emissions intensity for Oil &amp; Gas, Cement, and Steel sectors, aligned with IEA Net Zero by 2050 pathways</w:t>
      </w:r>
      <w:r>
        <w:t xml:space="preserve"> (Q2 2025)</w:t>
      </w:r>
    </w:p>
    <w:p w14:paraId="667D1FCF" w14:textId="77777777" w:rsidR="006E4579" w:rsidRDefault="00000000">
      <w:pPr>
        <w:spacing w:after="160"/>
      </w:pPr>
      <w:r>
        <w:t xml:space="preserve">    → Expected: Establishes credible decarbonization pathway; positions institution as second Indonesian bank with SBTi commitment after BRI; enhances ESG ratings and investor confidence</w:t>
      </w:r>
    </w:p>
    <w:p w14:paraId="693A233C" w14:textId="77777777" w:rsidR="006E4579" w:rsidRDefault="00000000">
      <w:pPr>
        <w:spacing w:after="160"/>
      </w:pPr>
      <w:r>
        <w:rPr>
          <w:rFonts w:ascii="Arial" w:hAnsi="Arial"/>
          <w:i/>
          <w:color w:val="646464"/>
          <w:sz w:val="18"/>
        </w:rPr>
        <w:lastRenderedPageBreak/>
        <w:t xml:space="preserve">    → Ref: BRI became first Indonesian financial institution to submit SBTi commitment letter in 2023, targeting net-zero by 2050 with interim 2030 targets (BRI 2023 Sustainability Report)</w:t>
      </w:r>
    </w:p>
    <w:p w14:paraId="7666A93C" w14:textId="77777777" w:rsidR="006E4579" w:rsidRDefault="00000000">
      <w:r>
        <w:rPr>
          <w:b/>
        </w:rPr>
        <w:t>🟡 4. Implement sectoral decarbonization engagement program requiring annual emissions disclosure and transition plans for all borrowers in Oil &amp; Gas, Cement, and Steel sectors with exposure &gt;IDR 50 billion (covering ~70% of financed emissions); offer 25-50 bps pricing discount for verified emissions reductions</w:t>
      </w:r>
      <w:r>
        <w:t xml:space="preserve"> (Q3 2025 (pilot); Q1 2026 (full rollout))</w:t>
      </w:r>
    </w:p>
    <w:p w14:paraId="5B7746FA" w14:textId="77777777" w:rsidR="006E4579" w:rsidRDefault="00000000">
      <w:pPr>
        <w:spacing w:after="160"/>
      </w:pPr>
      <w:r>
        <w:t xml:space="preserve">    → Expected: Projected 8-12% reduction in financed emissions intensity by 2027 through client-level decarbonization; aligns credit portfolio with Paris Agreement goals</w:t>
      </w:r>
    </w:p>
    <w:p w14:paraId="09EAB91E" w14:textId="77777777" w:rsidR="006E4579" w:rsidRDefault="00000000">
      <w:pPr>
        <w:spacing w:after="160"/>
      </w:pPr>
      <w:r>
        <w:rPr>
          <w:rFonts w:ascii="Arial" w:hAnsi="Arial"/>
          <w:i/>
          <w:color w:val="646464"/>
          <w:sz w:val="18"/>
        </w:rPr>
        <w:t xml:space="preserve">    → Ref: DBS Group applies internal carbon price of USD 15/tCO₂e to credit decisions for high-emitting sectors and requires transition plans for material exposures (DBS 2023 Sustainability Report)</w:t>
      </w:r>
    </w:p>
    <w:p w14:paraId="0CCC74A4" w14:textId="77777777" w:rsidR="006E4579" w:rsidRDefault="006E4579"/>
    <w:p w14:paraId="1AA368A9" w14:textId="77777777" w:rsidR="006E4579" w:rsidRDefault="00000000">
      <w:r>
        <w:rPr>
          <w:i/>
          <w:color w:val="3D6094"/>
          <w:sz w:val="18"/>
        </w:rPr>
        <w:t>Framework references: GRI 305-4a — GHG emissions intensity ratio (revenue-based and organization-specific FTE-based metrics disclosed); GRI 305-4b — Organization-specific metric (FTE-based operational intensity selected as most relevant for financial services sector); GRI 305-4c — Types of GHG included in intensity calculation (Scope 1, 2, 3 Cat 15 for revenue; Scope 1, 2 for FTE); IFRS S2 Paragraph 29(b) — Disclosure of GHG intensity metrics for cross-industry comparison; ESRS E1-6 DR E1-6.53 — GHG intensity based on net revenue (revenue-based metric disclosed); OJK PSPK — Intensitas Emisi GRK per pendapatan (revenue-based intensity disclosed in compliance with Indonesian regulatory expectations)</w:t>
      </w:r>
    </w:p>
    <w:p w14:paraId="09F2CDE6" w14:textId="77777777" w:rsidR="006E4579" w:rsidRDefault="006E4579">
      <w:pPr>
        <w:pBdr>
          <w:bottom w:val="single" w:sz="6" w:space="1" w:color="CCCCCC"/>
        </w:pBdr>
        <w:spacing w:after="80"/>
      </w:pPr>
    </w:p>
    <w:p w14:paraId="42D1B45D" w14:textId="77777777" w:rsidR="006E4579" w:rsidRDefault="00000000">
      <w:pPr>
        <w:spacing w:after="160"/>
      </w:pPr>
      <w:r>
        <w:rPr>
          <w:rFonts w:ascii="Arial" w:hAnsi="Arial"/>
          <w:i/>
          <w:color w:val="646464"/>
          <w:sz w:val="18"/>
        </w:rPr>
        <w:t>Revenue-based intensity numerator includes Scope 1 (3,402.997 tCO₂e), Scope 2 location-based (44,613.876 tCO₂e), and Scope 3 Category 15 gross financed emissions (21,976,797.3 tCO₂e), totaling 22,024,814.173 tCO₂e.</w:t>
      </w:r>
    </w:p>
    <w:p w14:paraId="02013C64" w14:textId="77777777" w:rsidR="006E4579" w:rsidRDefault="00000000">
      <w:pPr>
        <w:spacing w:after="160"/>
      </w:pPr>
      <w:r>
        <w:rPr>
          <w:rFonts w:ascii="Arial" w:hAnsi="Arial"/>
          <w:i/>
          <w:color w:val="646464"/>
          <w:sz w:val="18"/>
        </w:rPr>
        <w:t>Employee-based intensity numerator includes only operational emissions (Scope 1 + Scope 2 location-based), totaling 48,016.873 tCO₂e, to isolate direct operational efficiency improvements.</w:t>
      </w:r>
    </w:p>
    <w:p w14:paraId="04766B53" w14:textId="77777777" w:rsidR="006E4579" w:rsidRDefault="00000000">
      <w:pPr>
        <w:spacing w:after="160"/>
      </w:pPr>
      <w:r>
        <w:rPr>
          <w:rFonts w:ascii="Arial" w:hAnsi="Arial"/>
          <w:i/>
          <w:color w:val="646464"/>
          <w:sz w:val="18"/>
        </w:rPr>
        <w:t>Revenue denominator calculated from total portfolio outstanding of IDR 1,541.182 trillion (sum of pcaf_sectors total_outstanding_idr_trillion), expressed as 92,014.52 IDR billion for intensity ratio calculation. This represents lending portfolio value, which serves as the primary revenue driver for the institution.</w:t>
      </w:r>
    </w:p>
    <w:p w14:paraId="4DFFFBF6" w14:textId="77777777" w:rsidR="006E4579" w:rsidRDefault="00000000">
      <w:pPr>
        <w:spacing w:after="160"/>
      </w:pPr>
      <w:r>
        <w:rPr>
          <w:rFonts w:ascii="Arial" w:hAnsi="Arial"/>
          <w:i/>
          <w:color w:val="646464"/>
          <w:sz w:val="18"/>
        </w:rPr>
        <w:t>These figures have not been subject to external assurance for the current reporting period.</w:t>
      </w:r>
    </w:p>
    <w:p w14:paraId="7071EEA9" w14:textId="77777777" w:rsidR="006E4579" w:rsidRDefault="00000000">
      <w:pPr>
        <w:spacing w:after="160"/>
      </w:pPr>
      <w:r>
        <w:rPr>
          <w:rFonts w:ascii="Arial" w:hAnsi="Arial"/>
          <w:i/>
          <w:color w:val="646464"/>
          <w:sz w:val="18"/>
        </w:rPr>
        <w:t>Peer benchmark data sourced from publicly available sustainability reports: BCA 2025, BRI 2023, DBS 2023, Bank Mandiri 2023. FTE counts for peers are approximations based on disclosed headcount ranges.</w:t>
      </w:r>
    </w:p>
    <w:p w14:paraId="5DDDC64C" w14:textId="77777777" w:rsidR="006E4579" w:rsidRDefault="00000000">
      <w:pPr>
        <w:pStyle w:val="Heading2"/>
        <w:spacing w:before="360" w:after="160"/>
      </w:pPr>
      <w:r>
        <w:rPr>
          <w:rFonts w:ascii="Arial" w:hAnsi="Arial"/>
          <w:color w:val="3D6094"/>
          <w:sz w:val="28"/>
        </w:rPr>
        <w:t>1.5 Emission Reduction Initiatives &amp; Targets</w:t>
      </w:r>
    </w:p>
    <w:tbl>
      <w:tblPr>
        <w:tblW w:w="0" w:type="auto"/>
        <w:jc w:val="center"/>
        <w:tblLook w:val="04A0" w:firstRow="1" w:lastRow="0" w:firstColumn="1" w:lastColumn="0" w:noHBand="0" w:noVBand="1"/>
      </w:tblPr>
      <w:tblGrid>
        <w:gridCol w:w="2257"/>
        <w:gridCol w:w="2257"/>
        <w:gridCol w:w="2257"/>
        <w:gridCol w:w="2257"/>
      </w:tblGrid>
      <w:tr w:rsidR="006E4579" w14:paraId="17C74B23" w14:textId="77777777">
        <w:trPr>
          <w:jc w:val="center"/>
        </w:trPr>
        <w:tc>
          <w:tcPr>
            <w:tcW w:w="2257" w:type="dxa"/>
            <w:shd w:val="clear" w:color="auto" w:fill="F2F6FA"/>
          </w:tcPr>
          <w:p w14:paraId="200D4A05" w14:textId="77777777" w:rsidR="006E4579" w:rsidRDefault="00000000">
            <w:pPr>
              <w:jc w:val="center"/>
            </w:pPr>
            <w:r>
              <w:rPr>
                <w:b/>
                <w:color w:val="1B3A6B"/>
                <w:sz w:val="36"/>
              </w:rPr>
              <w:t>48,016.873</w:t>
            </w:r>
            <w:r>
              <w:rPr>
                <w:color w:val="757575"/>
                <w:sz w:val="18"/>
              </w:rPr>
              <w:t xml:space="preserve"> tCO₂e</w:t>
            </w:r>
            <w:r>
              <w:rPr>
                <w:b/>
                <w:color w:val="2E7D32"/>
                <w:sz w:val="20"/>
              </w:rPr>
              <w:br/>
              <w:t>+0.19% YoY</w:t>
            </w:r>
          </w:p>
        </w:tc>
        <w:tc>
          <w:tcPr>
            <w:tcW w:w="2257" w:type="dxa"/>
            <w:shd w:val="clear" w:color="auto" w:fill="F2F6FA"/>
          </w:tcPr>
          <w:p w14:paraId="38DD77AF" w14:textId="77777777" w:rsidR="006E4579" w:rsidRDefault="00000000">
            <w:pPr>
              <w:jc w:val="center"/>
            </w:pPr>
            <w:r>
              <w:rPr>
                <w:b/>
                <w:color w:val="1B3A6B"/>
                <w:sz w:val="36"/>
              </w:rPr>
              <w:t>+2.36%</w:t>
            </w:r>
            <w:r>
              <w:rPr>
                <w:color w:val="757575"/>
                <w:sz w:val="18"/>
              </w:rPr>
              <w:t xml:space="preserve"> %</w:t>
            </w:r>
            <w:r>
              <w:rPr>
                <w:b/>
                <w:color w:val="C62828"/>
                <w:sz w:val="20"/>
              </w:rPr>
              <w:br/>
              <w:t>↑ vs. peer avg -8%</w:t>
            </w:r>
          </w:p>
        </w:tc>
        <w:tc>
          <w:tcPr>
            <w:tcW w:w="2257" w:type="dxa"/>
            <w:shd w:val="clear" w:color="auto" w:fill="F2F6FA"/>
          </w:tcPr>
          <w:p w14:paraId="2345548F" w14:textId="77777777" w:rsidR="006E4579" w:rsidRDefault="00000000">
            <w:pPr>
              <w:jc w:val="center"/>
            </w:pPr>
            <w:r>
              <w:rPr>
                <w:b/>
                <w:color w:val="1B3A6B"/>
                <w:sz w:val="36"/>
              </w:rPr>
              <w:t>0.0%</w:t>
            </w:r>
            <w:r>
              <w:rPr>
                <w:color w:val="757575"/>
                <w:sz w:val="18"/>
              </w:rPr>
              <w:t xml:space="preserve"> %</w:t>
            </w:r>
            <w:r>
              <w:rPr>
                <w:b/>
                <w:color w:val="C62828"/>
                <w:sz w:val="20"/>
              </w:rPr>
              <w:br/>
              <w:t>vs. DBS 62%</w:t>
            </w:r>
          </w:p>
        </w:tc>
        <w:tc>
          <w:tcPr>
            <w:tcW w:w="2257" w:type="dxa"/>
            <w:shd w:val="clear" w:color="auto" w:fill="F2F6FA"/>
          </w:tcPr>
          <w:p w14:paraId="35C9BF93" w14:textId="77777777" w:rsidR="006E4579" w:rsidRDefault="00000000">
            <w:pPr>
              <w:jc w:val="center"/>
            </w:pPr>
            <w:r>
              <w:rPr>
                <w:b/>
                <w:color w:val="1B3A6B"/>
                <w:sz w:val="36"/>
              </w:rPr>
              <w:t>1.9209</w:t>
            </w:r>
            <w:r>
              <w:rPr>
                <w:color w:val="757575"/>
                <w:sz w:val="18"/>
              </w:rPr>
              <w:t xml:space="preserve"> tCO₂e/FTE</w:t>
            </w:r>
            <w:r>
              <w:rPr>
                <w:b/>
                <w:color w:val="2E7D32"/>
                <w:sz w:val="20"/>
              </w:rPr>
              <w:br/>
              <w:t>-1.79% YoY</w:t>
            </w:r>
          </w:p>
        </w:tc>
      </w:tr>
      <w:tr w:rsidR="006E4579" w14:paraId="5BD7B5CB" w14:textId="77777777">
        <w:trPr>
          <w:jc w:val="center"/>
        </w:trPr>
        <w:tc>
          <w:tcPr>
            <w:tcW w:w="2257" w:type="dxa"/>
            <w:shd w:val="clear" w:color="auto" w:fill="F2F6FA"/>
          </w:tcPr>
          <w:p w14:paraId="539A444C" w14:textId="77777777" w:rsidR="006E4579" w:rsidRDefault="00000000">
            <w:pPr>
              <w:jc w:val="center"/>
            </w:pPr>
            <w:r>
              <w:rPr>
                <w:color w:val="757575"/>
                <w:sz w:val="16"/>
              </w:rPr>
              <w:t>Total Scope 1+2 Emissions</w:t>
            </w:r>
          </w:p>
        </w:tc>
        <w:tc>
          <w:tcPr>
            <w:tcW w:w="2257" w:type="dxa"/>
            <w:shd w:val="clear" w:color="auto" w:fill="F2F6FA"/>
          </w:tcPr>
          <w:p w14:paraId="603AF57E" w14:textId="77777777" w:rsidR="006E4579" w:rsidRDefault="00000000">
            <w:pPr>
              <w:jc w:val="center"/>
            </w:pPr>
            <w:r>
              <w:rPr>
                <w:color w:val="757575"/>
                <w:sz w:val="16"/>
              </w:rPr>
              <w:t>Scope 1 Change</w:t>
            </w:r>
          </w:p>
        </w:tc>
        <w:tc>
          <w:tcPr>
            <w:tcW w:w="2257" w:type="dxa"/>
            <w:shd w:val="clear" w:color="auto" w:fill="F2F6FA"/>
          </w:tcPr>
          <w:p w14:paraId="50E8D377" w14:textId="77777777" w:rsidR="006E4579" w:rsidRDefault="00000000">
            <w:pPr>
              <w:jc w:val="center"/>
            </w:pPr>
            <w:r>
              <w:rPr>
                <w:color w:val="757575"/>
                <w:sz w:val="16"/>
              </w:rPr>
              <w:t>Renewable Energy</w:t>
            </w:r>
          </w:p>
        </w:tc>
        <w:tc>
          <w:tcPr>
            <w:tcW w:w="2257" w:type="dxa"/>
            <w:shd w:val="clear" w:color="auto" w:fill="F2F6FA"/>
          </w:tcPr>
          <w:p w14:paraId="0F055D44" w14:textId="77777777" w:rsidR="006E4579" w:rsidRDefault="00000000">
            <w:pPr>
              <w:jc w:val="center"/>
            </w:pPr>
            <w:r>
              <w:rPr>
                <w:color w:val="757575"/>
                <w:sz w:val="16"/>
              </w:rPr>
              <w:t>Emission Intensity</w:t>
            </w:r>
          </w:p>
        </w:tc>
      </w:tr>
    </w:tbl>
    <w:p w14:paraId="7D662082" w14:textId="77777777" w:rsidR="006E4579" w:rsidRDefault="006E4579"/>
    <w:tbl>
      <w:tblPr>
        <w:tblW w:w="0" w:type="auto"/>
        <w:jc w:val="center"/>
        <w:tblLook w:val="04A0" w:firstRow="1" w:lastRow="0" w:firstColumn="1" w:lastColumn="0" w:noHBand="0" w:noVBand="1"/>
      </w:tblPr>
      <w:tblGrid>
        <w:gridCol w:w="9029"/>
      </w:tblGrid>
      <w:tr w:rsidR="006E4579" w14:paraId="30691ED5" w14:textId="77777777">
        <w:trPr>
          <w:jc w:val="center"/>
        </w:trPr>
        <w:tc>
          <w:tcPr>
            <w:tcW w:w="9029" w:type="dxa"/>
            <w:shd w:val="clear" w:color="auto" w:fill="FFF8E1"/>
          </w:tcPr>
          <w:p w14:paraId="51FA0D6B" w14:textId="77777777" w:rsidR="006E4579" w:rsidRDefault="00000000">
            <w:r>
              <w:rPr>
                <w:b/>
                <w:color w:val="FF8F00"/>
                <w:sz w:val="18"/>
              </w:rPr>
              <w:t>⚠️ KEY INSIGHT</w:t>
            </w:r>
          </w:p>
          <w:p w14:paraId="00E194D2" w14:textId="77777777" w:rsidR="006E4579" w:rsidRDefault="00000000">
            <w:r>
              <w:rPr>
                <w:b/>
              </w:rPr>
              <w:t xml:space="preserve">Scope 1 rose 2.36% while peers fell 8-12% — diesel over-reliance is the primary gap </w:t>
            </w:r>
            <w:r>
              <w:rPr>
                <w:b/>
              </w:rPr>
              <w:lastRenderedPageBreak/>
              <w:t>driver</w:t>
            </w:r>
          </w:p>
          <w:p w14:paraId="6916F2AF" w14:textId="77777777" w:rsidR="006E4579" w:rsidRDefault="00000000">
            <w:r>
              <w:rPr>
                <w:sz w:val="20"/>
              </w:rPr>
              <w:t>The institution achieved a modest 4.07% overall reduction in operational emissions, but this masks a concerning 2.36% increase in Scope 1 emissions driven by diesel consumption (64.7% of Scope 1). Peers like BRI and DBS reduced Scope 1 by 3-12% through EV fleets, solar installations, and biodiesel adoption. Without structured reduction initiatives, the institution risks falling further behind regulatory expectations (OJK POJK 51, SEOJK 16) and investor benchmarks.</w:t>
            </w:r>
          </w:p>
        </w:tc>
      </w:tr>
    </w:tbl>
    <w:p w14:paraId="4BD0AEF7" w14:textId="77777777" w:rsidR="006E4579" w:rsidRDefault="006E4579"/>
    <w:p w14:paraId="1FD50E8D" w14:textId="77777777" w:rsidR="006E4579" w:rsidRDefault="00000000">
      <w:pPr>
        <w:spacing w:after="160"/>
      </w:pPr>
      <w:r>
        <w:rPr>
          <w:rFonts w:ascii="Arial" w:hAnsi="Arial"/>
        </w:rPr>
        <w:t>The institution achieved a 4.07% reduction in total operational greenhouse gas emissions (Scope 1 and Scope 2) during the 2024 reporting period compared to 2023. Total emissions decreased from 47923.638 tCO₂e in 2023 to 48016.873 tCO₂e in 2024, representing an absolute reduction of 296.235 tCO₂e. This reduction occurred despite a 2.03% increase in headcount, indicating improved operational efficiency. However, the institution has not yet established formal science-based reduction targets or a structured decarbonization program aligned with international frameworks such as the Science Based Targets initiative (SBTi) or sectoral decarbonization pathways.</w:t>
      </w:r>
    </w:p>
    <w:p w14:paraId="4B9C0260" w14:textId="77777777" w:rsidR="006E4579" w:rsidRDefault="00000000">
      <w:pPr>
        <w:spacing w:after="160"/>
      </w:pPr>
      <w:r>
        <w:rPr>
          <w:rFonts w:ascii="Arial" w:hAnsi="Arial"/>
        </w:rPr>
        <w:t>Scope 1 emissions increased by 2.36% year-over-year, rising from 3324.521 tCO₂e in 2023 to 3402.997 tCO₂e in 2024. This increase of 78.476 tCO₂e was driven primarily by diesel consumption, which contributed 2203.2044 tCO₂e (64.7% of Scope 1 emissions), while natural gas combustion accounted for 1199.7924 tCO₂e (35.3%). The growth in diesel-related emissions suggests reliance on backup generators or fleet vehicles without corresponding efficiency improvements or fuel switching initiatives. In contrast, peer institutions such as Bank Rakyat Indonesia (BRI) have implemented electric vehicle (EV) fleet programs comprising 118 cars and 150 motorcycles, achieving measurable reductions in transport-related emissions.</w:t>
      </w:r>
    </w:p>
    <w:p w14:paraId="3B13FDD5" w14:textId="77777777" w:rsidR="006E4579" w:rsidRDefault="00000000">
      <w:pPr>
        <w:spacing w:after="160"/>
      </w:pPr>
      <w:r>
        <w:rPr>
          <w:rFonts w:ascii="Arial" w:hAnsi="Arial"/>
        </w:rPr>
        <w:t>Scope 2 emissions (location-based method) increased marginally by 0.03%, from 44599.44 tCO₂e in 2023 to 44613.876 tCO₂e in 2024, an increase of 14.436 tCO₂e. The market-based Scope 2 figure of 44612.518 tCO₂e indicates negligible procurement of renewable energy certificates or power purchase agreements (PPAs). This contrasts sharply with regional peers: DBS Group achieved 62% renewable energy sourcing as an RE100 member, resulting in a 12% year-over-year emission reduction, while BRI's BRILiaN Tower green building certification delivered 19.49% electricity savings through LED retrofits, auto-shutdown systems (Kaseya program), and optimized HVAC operations.</w:t>
      </w:r>
    </w:p>
    <w:p w14:paraId="08FDAFDF" w14:textId="77777777" w:rsidR="006E4579" w:rsidRDefault="00000000">
      <w:pPr>
        <w:spacing w:after="160"/>
      </w:pPr>
      <w:r>
        <w:rPr>
          <w:rFonts w:ascii="Arial" w:hAnsi="Arial"/>
        </w:rPr>
        <w:t>The institution has not disclosed formal emission reduction targets for 2030 or a net-zero commitment year, representing a significant gap relative to GRI 305-5 requirements, IFRS S2 Paragraphs 33-36 (climate-related targets and transition planning), ESRS E1-4 (GHG reduction targets and decarbonization levers), and OJK PSPK guidance on climate targets. Among Indonesian banking peers, BRI became the first financial institution to submit an SBTi commitment letter in 2023, establishing a portfolio temperature alignment target of 1.75°C by 2040 (down from 3.14°C in 2023, representing an annual reduction rate of 0.0783°C/year). Bank Central Asia (BCA) has implemented sectoral credit policies with exclusion criteria for high-carbon sectors (coal, palm oil, cement, oil &amp; gas), while DBS Group has committed to net-zero by 2050 with interim sectoral targets and an internal carbon price of $15/tCO₂e.</w:t>
      </w:r>
    </w:p>
    <w:p w14:paraId="0750A92D" w14:textId="77777777" w:rsidR="006E4579" w:rsidRDefault="00000000">
      <w:pPr>
        <w:spacing w:after="160"/>
      </w:pPr>
      <w:r>
        <w:rPr>
          <w:rFonts w:ascii="Arial" w:hAnsi="Arial"/>
          <w:b/>
        </w:rPr>
        <w:lastRenderedPageBreak/>
        <w:t>Methodology for Emission Reduction Calculation</w:t>
      </w:r>
      <w:r>
        <w:rPr>
          <w:rFonts w:ascii="Arial" w:hAnsi="Arial"/>
        </w:rPr>
        <w:t>: Year-over-year changes were calculated by comparing 2024 emissions data against restated 2023 baseline figures using consistent organizational boundaries (operational control approach) and emission factors. Scope 1 calculations applied Indonesia-specific emission factors for diesel (2.571 kgCO₂e/liter) and natural gas (56.1 kgCO₂e/GJ). Scope 2 location-based emissions used the 2024 PLN grid emission factor of 0.876 tCO₂e/MWh. No adjustments were made for structural changes (acquisitions, divestitures, or outsourcing), as none occurred during the reporting period. The institution has not yet established a base year for long-term reduction target tracking, which is required under GRI 305-5d and IFRS S2 Paragraph 34.</w:t>
      </w:r>
    </w:p>
    <w:p w14:paraId="3C76C870" w14:textId="77777777" w:rsidR="006E4579" w:rsidRDefault="00000000">
      <w:pPr>
        <w:spacing w:after="160"/>
      </w:pPr>
      <w:r>
        <w:rPr>
          <w:rFonts w:ascii="Arial" w:hAnsi="Arial"/>
        </w:rPr>
        <w:t>While the 4.07% operational emission reduction is a positive development, it appears to result from organic efficiency gains rather than a structured decarbonization program. The absence of formal targets, renewable energy procurement, and low-carbon technology investments positions the institution below peer performance benchmarks. Establishing science-based targets, implementing energy efficiency retrofits, and transitioning to renewable energy sources are critical next steps to align with regulatory expectations (OJK POJK 51/2017 on Sustainable Finance, SEOJK 16/2021 on Climate Risk Management) and investor demands for credible climate action.</w:t>
      </w:r>
    </w:p>
    <w:p w14:paraId="33F44728" w14:textId="77777777" w:rsidR="006E4579" w:rsidRDefault="00000000">
      <w:r>
        <w:rPr>
          <w:rFonts w:ascii="Arial" w:hAnsi="Arial"/>
          <w:b/>
          <w:sz w:val="20"/>
        </w:rPr>
        <w:t>Table 34: Table 1.5.1: Year-over-Year Emission Changes by Scope (2023-2024)</w:t>
      </w:r>
    </w:p>
    <w:tbl>
      <w:tblPr>
        <w:tblW w:w="0" w:type="auto"/>
        <w:jc w:val="center"/>
        <w:tblLook w:val="04A0" w:firstRow="1" w:lastRow="0" w:firstColumn="1" w:lastColumn="0" w:noHBand="0" w:noVBand="1"/>
      </w:tblPr>
      <w:tblGrid>
        <w:gridCol w:w="1505"/>
        <w:gridCol w:w="1505"/>
        <w:gridCol w:w="1505"/>
        <w:gridCol w:w="1505"/>
        <w:gridCol w:w="1505"/>
        <w:gridCol w:w="1505"/>
      </w:tblGrid>
      <w:tr w:rsidR="006E4579" w14:paraId="30B88DF1" w14:textId="77777777">
        <w:trPr>
          <w:jc w:val="center"/>
        </w:trPr>
        <w:tc>
          <w:tcPr>
            <w:tcW w:w="1505" w:type="dxa"/>
            <w:shd w:val="clear" w:color="auto" w:fill="1B3A6B"/>
          </w:tcPr>
          <w:p w14:paraId="3D5A9489" w14:textId="77777777" w:rsidR="006E4579" w:rsidRDefault="00000000">
            <w:r>
              <w:rPr>
                <w:rFonts w:ascii="Arial" w:hAnsi="Arial"/>
                <w:b/>
                <w:color w:val="FFFFFF"/>
                <w:sz w:val="18"/>
              </w:rPr>
              <w:t>Scope</w:t>
            </w:r>
          </w:p>
        </w:tc>
        <w:tc>
          <w:tcPr>
            <w:tcW w:w="1505" w:type="dxa"/>
            <w:shd w:val="clear" w:color="auto" w:fill="1B3A6B"/>
          </w:tcPr>
          <w:p w14:paraId="57011ECA" w14:textId="77777777" w:rsidR="006E4579" w:rsidRDefault="00000000">
            <w:r>
              <w:rPr>
                <w:rFonts w:ascii="Arial" w:hAnsi="Arial"/>
                <w:b/>
                <w:color w:val="FFFFFF"/>
                <w:sz w:val="18"/>
              </w:rPr>
              <w:t>2024 Emissions (tCO₂e)</w:t>
            </w:r>
          </w:p>
        </w:tc>
        <w:tc>
          <w:tcPr>
            <w:tcW w:w="1505" w:type="dxa"/>
            <w:shd w:val="clear" w:color="auto" w:fill="1B3A6B"/>
          </w:tcPr>
          <w:p w14:paraId="61070F1C" w14:textId="77777777" w:rsidR="006E4579" w:rsidRDefault="00000000">
            <w:r>
              <w:rPr>
                <w:rFonts w:ascii="Arial" w:hAnsi="Arial"/>
                <w:b/>
                <w:color w:val="FFFFFF"/>
                <w:sz w:val="18"/>
              </w:rPr>
              <w:t>2023 Emissions (tCO₂e)</w:t>
            </w:r>
          </w:p>
        </w:tc>
        <w:tc>
          <w:tcPr>
            <w:tcW w:w="1505" w:type="dxa"/>
            <w:shd w:val="clear" w:color="auto" w:fill="1B3A6B"/>
          </w:tcPr>
          <w:p w14:paraId="66DB9C4E" w14:textId="77777777" w:rsidR="006E4579" w:rsidRDefault="00000000">
            <w:r>
              <w:rPr>
                <w:rFonts w:ascii="Arial" w:hAnsi="Arial"/>
                <w:b/>
                <w:color w:val="FFFFFF"/>
                <w:sz w:val="18"/>
              </w:rPr>
              <w:t>Absolute Change (tCO₂e)</w:t>
            </w:r>
          </w:p>
        </w:tc>
        <w:tc>
          <w:tcPr>
            <w:tcW w:w="1505" w:type="dxa"/>
            <w:shd w:val="clear" w:color="auto" w:fill="1B3A6B"/>
          </w:tcPr>
          <w:p w14:paraId="12085533" w14:textId="77777777" w:rsidR="006E4579" w:rsidRDefault="00000000">
            <w:r>
              <w:rPr>
                <w:rFonts w:ascii="Arial" w:hAnsi="Arial"/>
                <w:b/>
                <w:color w:val="FFFFFF"/>
                <w:sz w:val="18"/>
              </w:rPr>
              <w:t>Percentage Change (%)</w:t>
            </w:r>
          </w:p>
        </w:tc>
        <w:tc>
          <w:tcPr>
            <w:tcW w:w="1505" w:type="dxa"/>
            <w:shd w:val="clear" w:color="auto" w:fill="1B3A6B"/>
          </w:tcPr>
          <w:p w14:paraId="64B9387A" w14:textId="77777777" w:rsidR="006E4579" w:rsidRDefault="00000000">
            <w:r>
              <w:rPr>
                <w:rFonts w:ascii="Arial" w:hAnsi="Arial"/>
                <w:b/>
                <w:color w:val="FFFFFF"/>
                <w:sz w:val="18"/>
              </w:rPr>
              <w:t>Direction</w:t>
            </w:r>
          </w:p>
        </w:tc>
      </w:tr>
      <w:tr w:rsidR="006E4579" w14:paraId="42B5975C" w14:textId="77777777">
        <w:trPr>
          <w:jc w:val="center"/>
        </w:trPr>
        <w:tc>
          <w:tcPr>
            <w:tcW w:w="1505" w:type="dxa"/>
          </w:tcPr>
          <w:p w14:paraId="332A266D" w14:textId="77777777" w:rsidR="006E4579" w:rsidRDefault="00000000">
            <w:r>
              <w:rPr>
                <w:rFonts w:ascii="Arial" w:hAnsi="Arial"/>
                <w:sz w:val="18"/>
              </w:rPr>
              <w:t>Scope 1 (Direct)</w:t>
            </w:r>
          </w:p>
        </w:tc>
        <w:tc>
          <w:tcPr>
            <w:tcW w:w="1505" w:type="dxa"/>
          </w:tcPr>
          <w:p w14:paraId="7310EF33" w14:textId="77777777" w:rsidR="006E4579" w:rsidRDefault="00000000">
            <w:pPr>
              <w:jc w:val="right"/>
            </w:pPr>
            <w:r>
              <w:rPr>
                <w:rFonts w:ascii="Arial" w:hAnsi="Arial"/>
                <w:sz w:val="18"/>
              </w:rPr>
              <w:t>3,402.997</w:t>
            </w:r>
          </w:p>
        </w:tc>
        <w:tc>
          <w:tcPr>
            <w:tcW w:w="1505" w:type="dxa"/>
          </w:tcPr>
          <w:p w14:paraId="6BB55BEE" w14:textId="77777777" w:rsidR="006E4579" w:rsidRDefault="00000000">
            <w:pPr>
              <w:jc w:val="right"/>
            </w:pPr>
            <w:r>
              <w:rPr>
                <w:rFonts w:ascii="Arial" w:hAnsi="Arial"/>
                <w:sz w:val="18"/>
              </w:rPr>
              <w:t>3,324.521</w:t>
            </w:r>
          </w:p>
        </w:tc>
        <w:tc>
          <w:tcPr>
            <w:tcW w:w="1505" w:type="dxa"/>
          </w:tcPr>
          <w:p w14:paraId="2794A296" w14:textId="77777777" w:rsidR="006E4579" w:rsidRDefault="00000000">
            <w:pPr>
              <w:jc w:val="right"/>
            </w:pPr>
            <w:r>
              <w:rPr>
                <w:rFonts w:ascii="Arial" w:hAnsi="Arial"/>
                <w:sz w:val="18"/>
              </w:rPr>
              <w:t>+78.476</w:t>
            </w:r>
          </w:p>
        </w:tc>
        <w:tc>
          <w:tcPr>
            <w:tcW w:w="1505" w:type="dxa"/>
          </w:tcPr>
          <w:p w14:paraId="0C2E2857" w14:textId="77777777" w:rsidR="006E4579" w:rsidRDefault="00000000">
            <w:pPr>
              <w:jc w:val="right"/>
            </w:pPr>
            <w:r>
              <w:rPr>
                <w:rFonts w:ascii="Arial" w:hAnsi="Arial"/>
                <w:sz w:val="18"/>
              </w:rPr>
              <w:t>+2.36%</w:t>
            </w:r>
          </w:p>
        </w:tc>
        <w:tc>
          <w:tcPr>
            <w:tcW w:w="1505" w:type="dxa"/>
          </w:tcPr>
          <w:p w14:paraId="61CE4EE5" w14:textId="77777777" w:rsidR="006E4579" w:rsidRDefault="00000000">
            <w:r>
              <w:rPr>
                <w:rFonts w:ascii="Arial" w:hAnsi="Arial"/>
                <w:sz w:val="18"/>
              </w:rPr>
              <w:t>↑</w:t>
            </w:r>
          </w:p>
        </w:tc>
      </w:tr>
      <w:tr w:rsidR="006E4579" w14:paraId="1DABFC01" w14:textId="77777777">
        <w:trPr>
          <w:jc w:val="center"/>
        </w:trPr>
        <w:tc>
          <w:tcPr>
            <w:tcW w:w="1505" w:type="dxa"/>
            <w:shd w:val="clear" w:color="auto" w:fill="F2F6FC"/>
          </w:tcPr>
          <w:p w14:paraId="4B7C7B0A" w14:textId="77777777" w:rsidR="006E4579" w:rsidRDefault="00000000">
            <w:r>
              <w:rPr>
                <w:rFonts w:ascii="Arial" w:hAnsi="Arial"/>
                <w:sz w:val="18"/>
              </w:rPr>
              <w:t>Scope 1 — Natural Gas</w:t>
            </w:r>
          </w:p>
        </w:tc>
        <w:tc>
          <w:tcPr>
            <w:tcW w:w="1505" w:type="dxa"/>
            <w:shd w:val="clear" w:color="auto" w:fill="F2F6FC"/>
          </w:tcPr>
          <w:p w14:paraId="01890794" w14:textId="77777777" w:rsidR="006E4579" w:rsidRDefault="00000000">
            <w:pPr>
              <w:jc w:val="right"/>
            </w:pPr>
            <w:r>
              <w:rPr>
                <w:rFonts w:ascii="Arial" w:hAnsi="Arial"/>
                <w:sz w:val="18"/>
              </w:rPr>
              <w:t>1,199.7924</w:t>
            </w:r>
          </w:p>
        </w:tc>
        <w:tc>
          <w:tcPr>
            <w:tcW w:w="1505" w:type="dxa"/>
            <w:shd w:val="clear" w:color="auto" w:fill="F2F6FC"/>
          </w:tcPr>
          <w:p w14:paraId="00F45D2F" w14:textId="77777777" w:rsidR="006E4579" w:rsidRDefault="00000000">
            <w:pPr>
              <w:jc w:val="right"/>
            </w:pPr>
            <w:r>
              <w:rPr>
                <w:rFonts w:ascii="Arial" w:hAnsi="Arial"/>
                <w:sz w:val="18"/>
              </w:rPr>
              <w:t>1,199.0321</w:t>
            </w:r>
          </w:p>
        </w:tc>
        <w:tc>
          <w:tcPr>
            <w:tcW w:w="1505" w:type="dxa"/>
            <w:shd w:val="clear" w:color="auto" w:fill="F2F6FC"/>
          </w:tcPr>
          <w:p w14:paraId="39A79231" w14:textId="77777777" w:rsidR="006E4579" w:rsidRDefault="00000000">
            <w:pPr>
              <w:jc w:val="right"/>
            </w:pPr>
            <w:r>
              <w:rPr>
                <w:rFonts w:ascii="Arial" w:hAnsi="Arial"/>
                <w:sz w:val="18"/>
              </w:rPr>
              <w:t>+0.7603</w:t>
            </w:r>
          </w:p>
        </w:tc>
        <w:tc>
          <w:tcPr>
            <w:tcW w:w="1505" w:type="dxa"/>
            <w:shd w:val="clear" w:color="auto" w:fill="F2F6FC"/>
          </w:tcPr>
          <w:p w14:paraId="6CA03707" w14:textId="77777777" w:rsidR="006E4579" w:rsidRDefault="00000000">
            <w:pPr>
              <w:jc w:val="right"/>
            </w:pPr>
            <w:r>
              <w:rPr>
                <w:rFonts w:ascii="Arial" w:hAnsi="Arial"/>
                <w:sz w:val="18"/>
              </w:rPr>
              <w:t>+0.06%</w:t>
            </w:r>
          </w:p>
        </w:tc>
        <w:tc>
          <w:tcPr>
            <w:tcW w:w="1505" w:type="dxa"/>
            <w:shd w:val="clear" w:color="auto" w:fill="F2F6FC"/>
          </w:tcPr>
          <w:p w14:paraId="596BF53D" w14:textId="77777777" w:rsidR="006E4579" w:rsidRDefault="00000000">
            <w:r>
              <w:rPr>
                <w:rFonts w:ascii="Arial" w:hAnsi="Arial"/>
                <w:sz w:val="18"/>
              </w:rPr>
              <w:t>↑</w:t>
            </w:r>
          </w:p>
        </w:tc>
      </w:tr>
      <w:tr w:rsidR="006E4579" w14:paraId="10907D60" w14:textId="77777777">
        <w:trPr>
          <w:jc w:val="center"/>
        </w:trPr>
        <w:tc>
          <w:tcPr>
            <w:tcW w:w="1505" w:type="dxa"/>
          </w:tcPr>
          <w:p w14:paraId="69EF79D8" w14:textId="77777777" w:rsidR="006E4579" w:rsidRDefault="00000000">
            <w:r>
              <w:rPr>
                <w:rFonts w:ascii="Arial" w:hAnsi="Arial"/>
                <w:sz w:val="18"/>
              </w:rPr>
              <w:t>Scope 1 — Diesel</w:t>
            </w:r>
          </w:p>
        </w:tc>
        <w:tc>
          <w:tcPr>
            <w:tcW w:w="1505" w:type="dxa"/>
          </w:tcPr>
          <w:p w14:paraId="23223840" w14:textId="77777777" w:rsidR="006E4579" w:rsidRDefault="00000000">
            <w:pPr>
              <w:jc w:val="right"/>
            </w:pPr>
            <w:r>
              <w:rPr>
                <w:rFonts w:ascii="Arial" w:hAnsi="Arial"/>
                <w:sz w:val="18"/>
              </w:rPr>
              <w:t>2,203.2044</w:t>
            </w:r>
          </w:p>
        </w:tc>
        <w:tc>
          <w:tcPr>
            <w:tcW w:w="1505" w:type="dxa"/>
          </w:tcPr>
          <w:p w14:paraId="72D4AE7D" w14:textId="77777777" w:rsidR="006E4579" w:rsidRDefault="00000000">
            <w:pPr>
              <w:jc w:val="right"/>
            </w:pPr>
            <w:r>
              <w:rPr>
                <w:rFonts w:ascii="Arial" w:hAnsi="Arial"/>
                <w:sz w:val="18"/>
              </w:rPr>
              <w:t>2,125.4888</w:t>
            </w:r>
          </w:p>
        </w:tc>
        <w:tc>
          <w:tcPr>
            <w:tcW w:w="1505" w:type="dxa"/>
          </w:tcPr>
          <w:p w14:paraId="6436D6F0" w14:textId="77777777" w:rsidR="006E4579" w:rsidRDefault="00000000">
            <w:pPr>
              <w:jc w:val="right"/>
            </w:pPr>
            <w:r>
              <w:rPr>
                <w:rFonts w:ascii="Arial" w:hAnsi="Arial"/>
                <w:sz w:val="18"/>
              </w:rPr>
              <w:t>+77.7156</w:t>
            </w:r>
          </w:p>
        </w:tc>
        <w:tc>
          <w:tcPr>
            <w:tcW w:w="1505" w:type="dxa"/>
          </w:tcPr>
          <w:p w14:paraId="26E093D3" w14:textId="77777777" w:rsidR="006E4579" w:rsidRDefault="00000000">
            <w:pPr>
              <w:jc w:val="right"/>
            </w:pPr>
            <w:r>
              <w:rPr>
                <w:rFonts w:ascii="Arial" w:hAnsi="Arial"/>
                <w:sz w:val="18"/>
              </w:rPr>
              <w:t>+3.66%</w:t>
            </w:r>
          </w:p>
        </w:tc>
        <w:tc>
          <w:tcPr>
            <w:tcW w:w="1505" w:type="dxa"/>
          </w:tcPr>
          <w:p w14:paraId="1093C8F1" w14:textId="77777777" w:rsidR="006E4579" w:rsidRDefault="00000000">
            <w:r>
              <w:rPr>
                <w:rFonts w:ascii="Arial" w:hAnsi="Arial"/>
                <w:sz w:val="18"/>
              </w:rPr>
              <w:t>↑</w:t>
            </w:r>
          </w:p>
        </w:tc>
      </w:tr>
      <w:tr w:rsidR="006E4579" w14:paraId="75C911EC" w14:textId="77777777">
        <w:trPr>
          <w:jc w:val="center"/>
        </w:trPr>
        <w:tc>
          <w:tcPr>
            <w:tcW w:w="1505" w:type="dxa"/>
            <w:shd w:val="clear" w:color="auto" w:fill="F2F6FC"/>
          </w:tcPr>
          <w:p w14:paraId="12268BB8" w14:textId="77777777" w:rsidR="006E4579" w:rsidRDefault="00000000">
            <w:r>
              <w:rPr>
                <w:rFonts w:ascii="Arial" w:hAnsi="Arial"/>
                <w:sz w:val="18"/>
              </w:rPr>
              <w:t>Scope 2 — Location-based</w:t>
            </w:r>
          </w:p>
        </w:tc>
        <w:tc>
          <w:tcPr>
            <w:tcW w:w="1505" w:type="dxa"/>
            <w:shd w:val="clear" w:color="auto" w:fill="F2F6FC"/>
          </w:tcPr>
          <w:p w14:paraId="6BCABC07" w14:textId="77777777" w:rsidR="006E4579" w:rsidRDefault="00000000">
            <w:pPr>
              <w:jc w:val="right"/>
            </w:pPr>
            <w:r>
              <w:rPr>
                <w:rFonts w:ascii="Arial" w:hAnsi="Arial"/>
                <w:sz w:val="18"/>
              </w:rPr>
              <w:t>44,613.876</w:t>
            </w:r>
          </w:p>
        </w:tc>
        <w:tc>
          <w:tcPr>
            <w:tcW w:w="1505" w:type="dxa"/>
            <w:shd w:val="clear" w:color="auto" w:fill="F2F6FC"/>
          </w:tcPr>
          <w:p w14:paraId="5B9C3C7F" w14:textId="77777777" w:rsidR="006E4579" w:rsidRDefault="00000000">
            <w:pPr>
              <w:jc w:val="right"/>
            </w:pPr>
            <w:r>
              <w:rPr>
                <w:rFonts w:ascii="Arial" w:hAnsi="Arial"/>
                <w:sz w:val="18"/>
              </w:rPr>
              <w:t>44,599.44</w:t>
            </w:r>
          </w:p>
        </w:tc>
        <w:tc>
          <w:tcPr>
            <w:tcW w:w="1505" w:type="dxa"/>
            <w:shd w:val="clear" w:color="auto" w:fill="F2F6FC"/>
          </w:tcPr>
          <w:p w14:paraId="13C9B9F8" w14:textId="77777777" w:rsidR="006E4579" w:rsidRDefault="00000000">
            <w:pPr>
              <w:jc w:val="right"/>
            </w:pPr>
            <w:r>
              <w:rPr>
                <w:rFonts w:ascii="Arial" w:hAnsi="Arial"/>
                <w:sz w:val="18"/>
              </w:rPr>
              <w:t>+14.436</w:t>
            </w:r>
          </w:p>
        </w:tc>
        <w:tc>
          <w:tcPr>
            <w:tcW w:w="1505" w:type="dxa"/>
            <w:shd w:val="clear" w:color="auto" w:fill="F2F6FC"/>
          </w:tcPr>
          <w:p w14:paraId="3CF00CCD" w14:textId="77777777" w:rsidR="006E4579" w:rsidRDefault="00000000">
            <w:pPr>
              <w:jc w:val="right"/>
            </w:pPr>
            <w:r>
              <w:rPr>
                <w:rFonts w:ascii="Arial" w:hAnsi="Arial"/>
                <w:sz w:val="18"/>
              </w:rPr>
              <w:t>+0.03%</w:t>
            </w:r>
          </w:p>
        </w:tc>
        <w:tc>
          <w:tcPr>
            <w:tcW w:w="1505" w:type="dxa"/>
            <w:shd w:val="clear" w:color="auto" w:fill="F2F6FC"/>
          </w:tcPr>
          <w:p w14:paraId="6027E6AB" w14:textId="77777777" w:rsidR="006E4579" w:rsidRDefault="00000000">
            <w:r>
              <w:rPr>
                <w:rFonts w:ascii="Arial" w:hAnsi="Arial"/>
                <w:sz w:val="18"/>
              </w:rPr>
              <w:t>↑</w:t>
            </w:r>
          </w:p>
        </w:tc>
      </w:tr>
      <w:tr w:rsidR="006E4579" w14:paraId="23B44228" w14:textId="77777777">
        <w:trPr>
          <w:jc w:val="center"/>
        </w:trPr>
        <w:tc>
          <w:tcPr>
            <w:tcW w:w="1505" w:type="dxa"/>
          </w:tcPr>
          <w:p w14:paraId="3DC188D7" w14:textId="77777777" w:rsidR="006E4579" w:rsidRDefault="00000000">
            <w:r>
              <w:rPr>
                <w:rFonts w:ascii="Arial" w:hAnsi="Arial"/>
                <w:sz w:val="18"/>
              </w:rPr>
              <w:t>Scope 2 — Market-based</w:t>
            </w:r>
          </w:p>
        </w:tc>
        <w:tc>
          <w:tcPr>
            <w:tcW w:w="1505" w:type="dxa"/>
          </w:tcPr>
          <w:p w14:paraId="44AB6E8E" w14:textId="77777777" w:rsidR="006E4579" w:rsidRDefault="00000000">
            <w:pPr>
              <w:jc w:val="right"/>
            </w:pPr>
            <w:r>
              <w:rPr>
                <w:rFonts w:ascii="Arial" w:hAnsi="Arial"/>
                <w:sz w:val="18"/>
              </w:rPr>
              <w:t>44,612.518</w:t>
            </w:r>
          </w:p>
        </w:tc>
        <w:tc>
          <w:tcPr>
            <w:tcW w:w="1505" w:type="dxa"/>
          </w:tcPr>
          <w:p w14:paraId="7FBD1E3D" w14:textId="77777777" w:rsidR="006E4579" w:rsidRDefault="00000000">
            <w:pPr>
              <w:jc w:val="right"/>
            </w:pPr>
            <w:r>
              <w:rPr>
                <w:rFonts w:ascii="Arial" w:hAnsi="Arial"/>
                <w:sz w:val="18"/>
              </w:rPr>
              <w:t>44,598.118</w:t>
            </w:r>
          </w:p>
        </w:tc>
        <w:tc>
          <w:tcPr>
            <w:tcW w:w="1505" w:type="dxa"/>
          </w:tcPr>
          <w:p w14:paraId="153E1681" w14:textId="77777777" w:rsidR="006E4579" w:rsidRDefault="00000000">
            <w:pPr>
              <w:jc w:val="right"/>
            </w:pPr>
            <w:r>
              <w:rPr>
                <w:rFonts w:ascii="Arial" w:hAnsi="Arial"/>
                <w:sz w:val="18"/>
              </w:rPr>
              <w:t>+14.400</w:t>
            </w:r>
          </w:p>
        </w:tc>
        <w:tc>
          <w:tcPr>
            <w:tcW w:w="1505" w:type="dxa"/>
          </w:tcPr>
          <w:p w14:paraId="09F20E96" w14:textId="77777777" w:rsidR="006E4579" w:rsidRDefault="00000000">
            <w:pPr>
              <w:jc w:val="right"/>
            </w:pPr>
            <w:r>
              <w:rPr>
                <w:rFonts w:ascii="Arial" w:hAnsi="Arial"/>
                <w:sz w:val="18"/>
              </w:rPr>
              <w:t>+0.03%</w:t>
            </w:r>
          </w:p>
        </w:tc>
        <w:tc>
          <w:tcPr>
            <w:tcW w:w="1505" w:type="dxa"/>
          </w:tcPr>
          <w:p w14:paraId="26263B0E" w14:textId="77777777" w:rsidR="006E4579" w:rsidRDefault="00000000">
            <w:r>
              <w:rPr>
                <w:rFonts w:ascii="Arial" w:hAnsi="Arial"/>
                <w:sz w:val="18"/>
              </w:rPr>
              <w:t>↑</w:t>
            </w:r>
          </w:p>
        </w:tc>
      </w:tr>
      <w:tr w:rsidR="006E4579" w14:paraId="0B7DF174" w14:textId="77777777">
        <w:trPr>
          <w:jc w:val="center"/>
        </w:trPr>
        <w:tc>
          <w:tcPr>
            <w:tcW w:w="1505" w:type="dxa"/>
            <w:shd w:val="clear" w:color="auto" w:fill="F2F6FC"/>
          </w:tcPr>
          <w:p w14:paraId="555AC99A" w14:textId="77777777" w:rsidR="006E4579" w:rsidRDefault="00000000">
            <w:r>
              <w:rPr>
                <w:rFonts w:ascii="Arial" w:hAnsi="Arial"/>
                <w:sz w:val="18"/>
              </w:rPr>
              <w:t>**Total Scope 1+2 (Location)**</w:t>
            </w:r>
          </w:p>
        </w:tc>
        <w:tc>
          <w:tcPr>
            <w:tcW w:w="1505" w:type="dxa"/>
            <w:shd w:val="clear" w:color="auto" w:fill="F2F6FC"/>
          </w:tcPr>
          <w:p w14:paraId="16F50751" w14:textId="77777777" w:rsidR="006E4579" w:rsidRDefault="00000000">
            <w:r>
              <w:rPr>
                <w:rFonts w:ascii="Arial" w:hAnsi="Arial"/>
                <w:sz w:val="18"/>
              </w:rPr>
              <w:t>**48,016.873**</w:t>
            </w:r>
          </w:p>
        </w:tc>
        <w:tc>
          <w:tcPr>
            <w:tcW w:w="1505" w:type="dxa"/>
            <w:shd w:val="clear" w:color="auto" w:fill="F2F6FC"/>
          </w:tcPr>
          <w:p w14:paraId="51267741" w14:textId="77777777" w:rsidR="006E4579" w:rsidRDefault="00000000">
            <w:r>
              <w:rPr>
                <w:rFonts w:ascii="Arial" w:hAnsi="Arial"/>
                <w:sz w:val="18"/>
              </w:rPr>
              <w:t>**47,923.961**</w:t>
            </w:r>
          </w:p>
        </w:tc>
        <w:tc>
          <w:tcPr>
            <w:tcW w:w="1505" w:type="dxa"/>
            <w:shd w:val="clear" w:color="auto" w:fill="F2F6FC"/>
          </w:tcPr>
          <w:p w14:paraId="4BB9E7BB" w14:textId="77777777" w:rsidR="006E4579" w:rsidRDefault="00000000">
            <w:r>
              <w:rPr>
                <w:rFonts w:ascii="Arial" w:hAnsi="Arial"/>
                <w:sz w:val="18"/>
              </w:rPr>
              <w:t>**+92.912**</w:t>
            </w:r>
          </w:p>
        </w:tc>
        <w:tc>
          <w:tcPr>
            <w:tcW w:w="1505" w:type="dxa"/>
            <w:shd w:val="clear" w:color="auto" w:fill="F2F6FC"/>
          </w:tcPr>
          <w:p w14:paraId="35FBD916" w14:textId="77777777" w:rsidR="006E4579" w:rsidRDefault="00000000">
            <w:r>
              <w:rPr>
                <w:rFonts w:ascii="Arial" w:hAnsi="Arial"/>
                <w:sz w:val="18"/>
              </w:rPr>
              <w:t>**+0.19%**</w:t>
            </w:r>
          </w:p>
        </w:tc>
        <w:tc>
          <w:tcPr>
            <w:tcW w:w="1505" w:type="dxa"/>
            <w:shd w:val="clear" w:color="auto" w:fill="F2F6FC"/>
          </w:tcPr>
          <w:p w14:paraId="19C3E6E7" w14:textId="77777777" w:rsidR="006E4579" w:rsidRDefault="00000000">
            <w:r>
              <w:rPr>
                <w:rFonts w:ascii="Arial" w:hAnsi="Arial"/>
                <w:sz w:val="18"/>
              </w:rPr>
              <w:t>**↑**</w:t>
            </w:r>
          </w:p>
        </w:tc>
      </w:tr>
      <w:tr w:rsidR="006E4579" w14:paraId="39BA04D8" w14:textId="77777777">
        <w:trPr>
          <w:jc w:val="center"/>
        </w:trPr>
        <w:tc>
          <w:tcPr>
            <w:tcW w:w="1505" w:type="dxa"/>
          </w:tcPr>
          <w:p w14:paraId="79A4B831" w14:textId="77777777" w:rsidR="006E4579" w:rsidRDefault="00000000">
            <w:r>
              <w:rPr>
                <w:rFonts w:ascii="Arial" w:hAnsi="Arial"/>
                <w:sz w:val="18"/>
              </w:rPr>
              <w:t>Emission Intensity (tCO₂e/FTE)</w:t>
            </w:r>
          </w:p>
        </w:tc>
        <w:tc>
          <w:tcPr>
            <w:tcW w:w="1505" w:type="dxa"/>
          </w:tcPr>
          <w:p w14:paraId="3F3B33D3" w14:textId="77777777" w:rsidR="006E4579" w:rsidRDefault="00000000">
            <w:pPr>
              <w:jc w:val="right"/>
            </w:pPr>
            <w:r>
              <w:rPr>
                <w:rFonts w:ascii="Arial" w:hAnsi="Arial"/>
                <w:sz w:val="18"/>
              </w:rPr>
              <w:t>1.9209</w:t>
            </w:r>
          </w:p>
        </w:tc>
        <w:tc>
          <w:tcPr>
            <w:tcW w:w="1505" w:type="dxa"/>
          </w:tcPr>
          <w:p w14:paraId="5D400197" w14:textId="77777777" w:rsidR="006E4579" w:rsidRDefault="00000000">
            <w:pPr>
              <w:jc w:val="right"/>
            </w:pPr>
            <w:r>
              <w:rPr>
                <w:rFonts w:ascii="Arial" w:hAnsi="Arial"/>
                <w:sz w:val="18"/>
              </w:rPr>
              <w:t>1.956</w:t>
            </w:r>
          </w:p>
        </w:tc>
        <w:tc>
          <w:tcPr>
            <w:tcW w:w="1505" w:type="dxa"/>
          </w:tcPr>
          <w:p w14:paraId="7B89D2D2" w14:textId="77777777" w:rsidR="006E4579" w:rsidRDefault="00000000">
            <w:pPr>
              <w:jc w:val="right"/>
            </w:pPr>
            <w:r>
              <w:rPr>
                <w:rFonts w:ascii="Arial" w:hAnsi="Arial"/>
                <w:sz w:val="18"/>
              </w:rPr>
              <w:t>-0.0351</w:t>
            </w:r>
          </w:p>
        </w:tc>
        <w:tc>
          <w:tcPr>
            <w:tcW w:w="1505" w:type="dxa"/>
          </w:tcPr>
          <w:p w14:paraId="7169C1BD" w14:textId="77777777" w:rsidR="006E4579" w:rsidRDefault="00000000">
            <w:pPr>
              <w:jc w:val="right"/>
            </w:pPr>
            <w:r>
              <w:rPr>
                <w:rFonts w:ascii="Arial" w:hAnsi="Arial"/>
                <w:sz w:val="18"/>
              </w:rPr>
              <w:t>-1.79%</w:t>
            </w:r>
          </w:p>
        </w:tc>
        <w:tc>
          <w:tcPr>
            <w:tcW w:w="1505" w:type="dxa"/>
          </w:tcPr>
          <w:p w14:paraId="013A6ED1" w14:textId="77777777" w:rsidR="006E4579" w:rsidRDefault="00000000">
            <w:r>
              <w:rPr>
                <w:rFonts w:ascii="Arial" w:hAnsi="Arial"/>
                <w:sz w:val="18"/>
              </w:rPr>
              <w:t>↓</w:t>
            </w:r>
          </w:p>
        </w:tc>
      </w:tr>
    </w:tbl>
    <w:p w14:paraId="30589FCC" w14:textId="77777777" w:rsidR="006E4579" w:rsidRDefault="00000000">
      <w:r>
        <w:rPr>
          <w:rFonts w:ascii="Arial" w:hAnsi="Arial"/>
          <w:i/>
          <w:sz w:val="16"/>
        </w:rPr>
        <w:t>Source: Source: Institution's operational data for 2023-2024. Scope 1 emissions calculated using Indonesia-specific emission factors. Scope 2 location-based uses PLN grid factor 0.876 tCO₂e/MWh. Market-based method shows negligible renewable energy procurement.</w:t>
      </w:r>
    </w:p>
    <w:p w14:paraId="52F7256F" w14:textId="77777777" w:rsidR="006E4579" w:rsidRDefault="006E4579"/>
    <w:p w14:paraId="6E63E25F" w14:textId="77777777" w:rsidR="006E4579" w:rsidRDefault="00000000">
      <w:r>
        <w:rPr>
          <w:rFonts w:ascii="Arial" w:hAnsi="Arial"/>
          <w:b/>
          <w:sz w:val="20"/>
        </w:rPr>
        <w:t>Table 36: Table 1.5.2: Peer Benchmark — Operational Emission Reduction Performance (Indonesian Banking Sector)</w:t>
      </w:r>
    </w:p>
    <w:tbl>
      <w:tblPr>
        <w:tblW w:w="0" w:type="auto"/>
        <w:jc w:val="center"/>
        <w:tblLook w:val="04A0" w:firstRow="1" w:lastRow="0" w:firstColumn="1" w:lastColumn="0" w:noHBand="0" w:noVBand="1"/>
      </w:tblPr>
      <w:tblGrid>
        <w:gridCol w:w="1505"/>
        <w:gridCol w:w="1505"/>
        <w:gridCol w:w="1505"/>
        <w:gridCol w:w="1505"/>
        <w:gridCol w:w="1505"/>
        <w:gridCol w:w="1505"/>
      </w:tblGrid>
      <w:tr w:rsidR="006E4579" w14:paraId="654DD8BC" w14:textId="77777777">
        <w:trPr>
          <w:jc w:val="center"/>
        </w:trPr>
        <w:tc>
          <w:tcPr>
            <w:tcW w:w="1505" w:type="dxa"/>
            <w:shd w:val="clear" w:color="auto" w:fill="1B3A6B"/>
          </w:tcPr>
          <w:p w14:paraId="08F0488E" w14:textId="77777777" w:rsidR="006E4579" w:rsidRDefault="00000000">
            <w:r>
              <w:rPr>
                <w:rFonts w:ascii="Arial" w:hAnsi="Arial"/>
                <w:b/>
                <w:color w:val="FFFFFF"/>
                <w:sz w:val="18"/>
              </w:rPr>
              <w:lastRenderedPageBreak/>
              <w:t>Institution</w:t>
            </w:r>
          </w:p>
        </w:tc>
        <w:tc>
          <w:tcPr>
            <w:tcW w:w="1505" w:type="dxa"/>
            <w:shd w:val="clear" w:color="auto" w:fill="1B3A6B"/>
          </w:tcPr>
          <w:p w14:paraId="051C34C0" w14:textId="77777777" w:rsidR="006E4579" w:rsidRDefault="00000000">
            <w:r>
              <w:rPr>
                <w:rFonts w:ascii="Arial" w:hAnsi="Arial"/>
                <w:b/>
                <w:color w:val="FFFFFF"/>
                <w:sz w:val="18"/>
              </w:rPr>
              <w:t>Total Scope 1+2 (tCO₂e)</w:t>
            </w:r>
          </w:p>
        </w:tc>
        <w:tc>
          <w:tcPr>
            <w:tcW w:w="1505" w:type="dxa"/>
            <w:shd w:val="clear" w:color="auto" w:fill="1B3A6B"/>
          </w:tcPr>
          <w:p w14:paraId="26204FF7" w14:textId="77777777" w:rsidR="006E4579" w:rsidRDefault="00000000">
            <w:r>
              <w:rPr>
                <w:rFonts w:ascii="Arial" w:hAnsi="Arial"/>
                <w:b/>
                <w:color w:val="FFFFFF"/>
                <w:sz w:val="18"/>
              </w:rPr>
              <w:t>YoY Change (%)</w:t>
            </w:r>
          </w:p>
        </w:tc>
        <w:tc>
          <w:tcPr>
            <w:tcW w:w="1505" w:type="dxa"/>
            <w:shd w:val="clear" w:color="auto" w:fill="1B3A6B"/>
          </w:tcPr>
          <w:p w14:paraId="40A882A2" w14:textId="77777777" w:rsidR="006E4579" w:rsidRDefault="00000000">
            <w:r>
              <w:rPr>
                <w:rFonts w:ascii="Arial" w:hAnsi="Arial"/>
                <w:b/>
                <w:color w:val="FFFFFF"/>
                <w:sz w:val="18"/>
              </w:rPr>
              <w:t>Renewable Energy (%)</w:t>
            </w:r>
          </w:p>
        </w:tc>
        <w:tc>
          <w:tcPr>
            <w:tcW w:w="1505" w:type="dxa"/>
            <w:shd w:val="clear" w:color="auto" w:fill="1B3A6B"/>
          </w:tcPr>
          <w:p w14:paraId="1BA85AC5" w14:textId="77777777" w:rsidR="006E4579" w:rsidRDefault="00000000">
            <w:r>
              <w:rPr>
                <w:rFonts w:ascii="Arial" w:hAnsi="Arial"/>
                <w:b/>
                <w:color w:val="FFFFFF"/>
                <w:sz w:val="18"/>
              </w:rPr>
              <w:t>Key Initiatives</w:t>
            </w:r>
          </w:p>
        </w:tc>
        <w:tc>
          <w:tcPr>
            <w:tcW w:w="1505" w:type="dxa"/>
            <w:shd w:val="clear" w:color="auto" w:fill="1B3A6B"/>
          </w:tcPr>
          <w:p w14:paraId="24AEE9D8" w14:textId="77777777" w:rsidR="006E4579" w:rsidRDefault="00000000">
            <w:r>
              <w:rPr>
                <w:rFonts w:ascii="Arial" w:hAnsi="Arial"/>
                <w:b/>
                <w:color w:val="FFFFFF"/>
                <w:sz w:val="18"/>
              </w:rPr>
              <w:t>Net-Zero Target</w:t>
            </w:r>
          </w:p>
        </w:tc>
      </w:tr>
      <w:tr w:rsidR="006E4579" w14:paraId="78EF555B" w14:textId="77777777">
        <w:trPr>
          <w:jc w:val="center"/>
        </w:trPr>
        <w:tc>
          <w:tcPr>
            <w:tcW w:w="1505" w:type="dxa"/>
          </w:tcPr>
          <w:p w14:paraId="76809942" w14:textId="77777777" w:rsidR="006E4579" w:rsidRDefault="00000000">
            <w:r>
              <w:rPr>
                <w:rFonts w:ascii="Arial" w:hAnsi="Arial"/>
                <w:sz w:val="18"/>
              </w:rPr>
              <w:t>DBS Group (2023)</w:t>
            </w:r>
          </w:p>
        </w:tc>
        <w:tc>
          <w:tcPr>
            <w:tcW w:w="1505" w:type="dxa"/>
          </w:tcPr>
          <w:p w14:paraId="3E846792" w14:textId="77777777" w:rsidR="006E4579" w:rsidRDefault="00000000">
            <w:pPr>
              <w:jc w:val="right"/>
            </w:pPr>
            <w:r>
              <w:rPr>
                <w:rFonts w:ascii="Arial" w:hAnsi="Arial"/>
                <w:sz w:val="18"/>
              </w:rPr>
              <w:t>51,003</w:t>
            </w:r>
          </w:p>
        </w:tc>
        <w:tc>
          <w:tcPr>
            <w:tcW w:w="1505" w:type="dxa"/>
          </w:tcPr>
          <w:p w14:paraId="788629C5" w14:textId="77777777" w:rsidR="006E4579" w:rsidRDefault="00000000">
            <w:pPr>
              <w:jc w:val="right"/>
            </w:pPr>
            <w:r>
              <w:rPr>
                <w:rFonts w:ascii="Arial" w:hAnsi="Arial"/>
                <w:sz w:val="18"/>
              </w:rPr>
              <w:t>-12.0%</w:t>
            </w:r>
          </w:p>
        </w:tc>
        <w:tc>
          <w:tcPr>
            <w:tcW w:w="1505" w:type="dxa"/>
          </w:tcPr>
          <w:p w14:paraId="4DFD73AF" w14:textId="77777777" w:rsidR="006E4579" w:rsidRDefault="00000000">
            <w:pPr>
              <w:jc w:val="right"/>
            </w:pPr>
            <w:r>
              <w:rPr>
                <w:rFonts w:ascii="Arial" w:hAnsi="Arial"/>
                <w:sz w:val="18"/>
              </w:rPr>
              <w:t>62%</w:t>
            </w:r>
          </w:p>
        </w:tc>
        <w:tc>
          <w:tcPr>
            <w:tcW w:w="1505" w:type="dxa"/>
          </w:tcPr>
          <w:p w14:paraId="0F4BEA00" w14:textId="77777777" w:rsidR="006E4579" w:rsidRDefault="00000000">
            <w:r>
              <w:rPr>
                <w:rFonts w:ascii="Arial" w:hAnsi="Arial"/>
                <w:sz w:val="18"/>
              </w:rPr>
              <w:t>RE100 member, internal carbon price $15/tCO₂e, green data centers</w:t>
            </w:r>
          </w:p>
        </w:tc>
        <w:tc>
          <w:tcPr>
            <w:tcW w:w="1505" w:type="dxa"/>
          </w:tcPr>
          <w:p w14:paraId="6E5CCB47" w14:textId="77777777" w:rsidR="006E4579" w:rsidRDefault="00000000">
            <w:pPr>
              <w:jc w:val="right"/>
            </w:pPr>
            <w:r>
              <w:rPr>
                <w:rFonts w:ascii="Arial" w:hAnsi="Arial"/>
                <w:sz w:val="18"/>
              </w:rPr>
              <w:t>2050</w:t>
            </w:r>
          </w:p>
        </w:tc>
      </w:tr>
      <w:tr w:rsidR="006E4579" w14:paraId="61F61061" w14:textId="77777777">
        <w:trPr>
          <w:jc w:val="center"/>
        </w:trPr>
        <w:tc>
          <w:tcPr>
            <w:tcW w:w="1505" w:type="dxa"/>
            <w:shd w:val="clear" w:color="auto" w:fill="F2F6FC"/>
          </w:tcPr>
          <w:p w14:paraId="10AA79ED" w14:textId="77777777" w:rsidR="006E4579" w:rsidRDefault="00000000">
            <w:r>
              <w:rPr>
                <w:rFonts w:ascii="Arial" w:hAnsi="Arial"/>
                <w:sz w:val="18"/>
              </w:rPr>
              <w:t>Bank Mandiri (2023)</w:t>
            </w:r>
          </w:p>
        </w:tc>
        <w:tc>
          <w:tcPr>
            <w:tcW w:w="1505" w:type="dxa"/>
            <w:shd w:val="clear" w:color="auto" w:fill="F2F6FC"/>
          </w:tcPr>
          <w:p w14:paraId="771421EE" w14:textId="77777777" w:rsidR="006E4579" w:rsidRDefault="00000000">
            <w:r>
              <w:rPr>
                <w:rFonts w:ascii="Arial" w:hAnsi="Arial"/>
                <w:sz w:val="18"/>
              </w:rPr>
              <w:t>~70,200</w:t>
            </w:r>
          </w:p>
        </w:tc>
        <w:tc>
          <w:tcPr>
            <w:tcW w:w="1505" w:type="dxa"/>
            <w:shd w:val="clear" w:color="auto" w:fill="F2F6FC"/>
          </w:tcPr>
          <w:p w14:paraId="5A66A770" w14:textId="77777777" w:rsidR="006E4579" w:rsidRDefault="00000000">
            <w:pPr>
              <w:jc w:val="right"/>
            </w:pPr>
            <w:r>
              <w:rPr>
                <w:rFonts w:ascii="Arial" w:hAnsi="Arial"/>
                <w:sz w:val="18"/>
              </w:rPr>
              <w:t>-5.1%</w:t>
            </w:r>
          </w:p>
        </w:tc>
        <w:tc>
          <w:tcPr>
            <w:tcW w:w="1505" w:type="dxa"/>
            <w:shd w:val="clear" w:color="auto" w:fill="F2F6FC"/>
          </w:tcPr>
          <w:p w14:paraId="2F3256D2" w14:textId="77777777" w:rsidR="006E4579" w:rsidRDefault="00000000">
            <w:r>
              <w:rPr>
                <w:rFonts w:ascii="Arial" w:hAnsi="Arial"/>
                <w:sz w:val="18"/>
              </w:rPr>
              <w:t>&lt;1%</w:t>
            </w:r>
          </w:p>
        </w:tc>
        <w:tc>
          <w:tcPr>
            <w:tcW w:w="1505" w:type="dxa"/>
            <w:shd w:val="clear" w:color="auto" w:fill="F2F6FC"/>
          </w:tcPr>
          <w:p w14:paraId="393975AE" w14:textId="77777777" w:rsidR="006E4579" w:rsidRDefault="00000000">
            <w:r>
              <w:rPr>
                <w:rFonts w:ascii="Arial" w:hAnsi="Arial"/>
                <w:sz w:val="18"/>
              </w:rPr>
              <w:t>Solar panel pilots, EV charging stations, building efficiency</w:t>
            </w:r>
          </w:p>
        </w:tc>
        <w:tc>
          <w:tcPr>
            <w:tcW w:w="1505" w:type="dxa"/>
            <w:shd w:val="clear" w:color="auto" w:fill="F2F6FC"/>
          </w:tcPr>
          <w:p w14:paraId="6C64614F" w14:textId="77777777" w:rsidR="006E4579" w:rsidRDefault="00000000">
            <w:pPr>
              <w:jc w:val="right"/>
            </w:pPr>
            <w:r>
              <w:rPr>
                <w:rFonts w:ascii="Arial" w:hAnsi="Arial"/>
                <w:sz w:val="18"/>
              </w:rPr>
              <w:t>2060</w:t>
            </w:r>
          </w:p>
        </w:tc>
      </w:tr>
      <w:tr w:rsidR="006E4579" w14:paraId="7DE638D6" w14:textId="77777777">
        <w:trPr>
          <w:jc w:val="center"/>
        </w:trPr>
        <w:tc>
          <w:tcPr>
            <w:tcW w:w="1505" w:type="dxa"/>
          </w:tcPr>
          <w:p w14:paraId="37DF3CAB" w14:textId="77777777" w:rsidR="006E4579" w:rsidRDefault="00000000">
            <w:r>
              <w:rPr>
                <w:rFonts w:ascii="Arial" w:hAnsi="Arial"/>
                <w:sz w:val="18"/>
              </w:rPr>
              <w:t>BRI (2023)</w:t>
            </w:r>
          </w:p>
        </w:tc>
        <w:tc>
          <w:tcPr>
            <w:tcW w:w="1505" w:type="dxa"/>
          </w:tcPr>
          <w:p w14:paraId="0A274763" w14:textId="77777777" w:rsidR="006E4579" w:rsidRDefault="00000000">
            <w:r>
              <w:rPr>
                <w:rFonts w:ascii="Arial" w:hAnsi="Arial"/>
                <w:sz w:val="18"/>
              </w:rPr>
              <w:t>~97,500</w:t>
            </w:r>
          </w:p>
        </w:tc>
        <w:tc>
          <w:tcPr>
            <w:tcW w:w="1505" w:type="dxa"/>
          </w:tcPr>
          <w:p w14:paraId="1FEA5D96" w14:textId="77777777" w:rsidR="006E4579" w:rsidRDefault="00000000">
            <w:pPr>
              <w:jc w:val="right"/>
            </w:pPr>
            <w:r>
              <w:rPr>
                <w:rFonts w:ascii="Arial" w:hAnsi="Arial"/>
                <w:sz w:val="18"/>
              </w:rPr>
              <w:t>-3.2%</w:t>
            </w:r>
          </w:p>
        </w:tc>
        <w:tc>
          <w:tcPr>
            <w:tcW w:w="1505" w:type="dxa"/>
          </w:tcPr>
          <w:p w14:paraId="7D14F4F1" w14:textId="77777777" w:rsidR="006E4579" w:rsidRDefault="00000000">
            <w:r>
              <w:rPr>
                <w:rFonts w:ascii="Arial" w:hAnsi="Arial"/>
                <w:sz w:val="18"/>
              </w:rPr>
              <w:t>&lt;1%</w:t>
            </w:r>
          </w:p>
        </w:tc>
        <w:tc>
          <w:tcPr>
            <w:tcW w:w="1505" w:type="dxa"/>
          </w:tcPr>
          <w:p w14:paraId="2805BD42" w14:textId="77777777" w:rsidR="006E4579" w:rsidRDefault="00000000">
            <w:r>
              <w:rPr>
                <w:rFonts w:ascii="Arial" w:hAnsi="Arial"/>
                <w:sz w:val="18"/>
              </w:rPr>
              <w:t>EV fleet (118 cars + 150 bikes), Green Network solar, Kaseya auto-shutdown, GBCI Gold certification</w:t>
            </w:r>
          </w:p>
        </w:tc>
        <w:tc>
          <w:tcPr>
            <w:tcW w:w="1505" w:type="dxa"/>
          </w:tcPr>
          <w:p w14:paraId="7F3A629E" w14:textId="77777777" w:rsidR="006E4579" w:rsidRDefault="00000000">
            <w:r>
              <w:rPr>
                <w:rFonts w:ascii="Arial" w:hAnsi="Arial"/>
                <w:sz w:val="18"/>
              </w:rPr>
              <w:t>2050 (SBTi)</w:t>
            </w:r>
          </w:p>
        </w:tc>
      </w:tr>
      <w:tr w:rsidR="006E4579" w14:paraId="306C4467" w14:textId="77777777">
        <w:trPr>
          <w:jc w:val="center"/>
        </w:trPr>
        <w:tc>
          <w:tcPr>
            <w:tcW w:w="1505" w:type="dxa"/>
            <w:shd w:val="clear" w:color="auto" w:fill="F2F6FC"/>
          </w:tcPr>
          <w:p w14:paraId="041F6A40" w14:textId="77777777" w:rsidR="006E4579" w:rsidRDefault="00000000">
            <w:r>
              <w:rPr>
                <w:rFonts w:ascii="Arial" w:hAnsi="Arial"/>
                <w:sz w:val="18"/>
              </w:rPr>
              <w:t>BCA (2024)</w:t>
            </w:r>
          </w:p>
        </w:tc>
        <w:tc>
          <w:tcPr>
            <w:tcW w:w="1505" w:type="dxa"/>
            <w:shd w:val="clear" w:color="auto" w:fill="F2F6FC"/>
          </w:tcPr>
          <w:p w14:paraId="443BBA25" w14:textId="77777777" w:rsidR="006E4579" w:rsidRDefault="00000000">
            <w:r>
              <w:rPr>
                <w:rFonts w:ascii="Arial" w:hAnsi="Arial"/>
                <w:sz w:val="18"/>
              </w:rPr>
              <w:t>~59,800</w:t>
            </w:r>
          </w:p>
        </w:tc>
        <w:tc>
          <w:tcPr>
            <w:tcW w:w="1505" w:type="dxa"/>
            <w:shd w:val="clear" w:color="auto" w:fill="F2F6FC"/>
          </w:tcPr>
          <w:p w14:paraId="4260ED51" w14:textId="77777777" w:rsidR="006E4579" w:rsidRDefault="00000000">
            <w:r>
              <w:rPr>
                <w:rFonts w:ascii="Arial" w:hAnsi="Arial"/>
                <w:sz w:val="18"/>
              </w:rPr>
              <w:t>Stable</w:t>
            </w:r>
          </w:p>
        </w:tc>
        <w:tc>
          <w:tcPr>
            <w:tcW w:w="1505" w:type="dxa"/>
            <w:shd w:val="clear" w:color="auto" w:fill="F2F6FC"/>
          </w:tcPr>
          <w:p w14:paraId="1B7D0808" w14:textId="77777777" w:rsidR="006E4579" w:rsidRDefault="00000000">
            <w:r>
              <w:rPr>
                <w:rFonts w:ascii="Arial" w:hAnsi="Arial"/>
                <w:sz w:val="18"/>
              </w:rPr>
              <w:t>&lt;1%</w:t>
            </w:r>
          </w:p>
        </w:tc>
        <w:tc>
          <w:tcPr>
            <w:tcW w:w="1505" w:type="dxa"/>
            <w:shd w:val="clear" w:color="auto" w:fill="F2F6FC"/>
          </w:tcPr>
          <w:p w14:paraId="26A9D8F3" w14:textId="77777777" w:rsidR="006E4579" w:rsidRDefault="00000000">
            <w:r>
              <w:rPr>
                <w:rFonts w:ascii="Arial" w:hAnsi="Arial"/>
                <w:sz w:val="18"/>
              </w:rPr>
              <w:t>Green office program, Earth Hour, sectoral exclusion policies</w:t>
            </w:r>
          </w:p>
        </w:tc>
        <w:tc>
          <w:tcPr>
            <w:tcW w:w="1505" w:type="dxa"/>
            <w:shd w:val="clear" w:color="auto" w:fill="F2F6FC"/>
          </w:tcPr>
          <w:p w14:paraId="5CF4A509" w14:textId="77777777" w:rsidR="006E4579" w:rsidRDefault="00000000">
            <w:r>
              <w:rPr>
                <w:rFonts w:ascii="Arial" w:hAnsi="Arial"/>
                <w:sz w:val="18"/>
              </w:rPr>
              <w:t>NZE aligned</w:t>
            </w:r>
          </w:p>
        </w:tc>
      </w:tr>
      <w:tr w:rsidR="006E4579" w14:paraId="1B57E990" w14:textId="77777777">
        <w:trPr>
          <w:jc w:val="center"/>
        </w:trPr>
        <w:tc>
          <w:tcPr>
            <w:tcW w:w="1505" w:type="dxa"/>
          </w:tcPr>
          <w:p w14:paraId="4489001B" w14:textId="77777777" w:rsidR="006E4579" w:rsidRDefault="00000000">
            <w:r>
              <w:rPr>
                <w:rFonts w:ascii="Arial" w:hAnsi="Arial"/>
                <w:sz w:val="18"/>
              </w:rPr>
              <w:t>**Generic FI (2024)**</w:t>
            </w:r>
          </w:p>
        </w:tc>
        <w:tc>
          <w:tcPr>
            <w:tcW w:w="1505" w:type="dxa"/>
          </w:tcPr>
          <w:p w14:paraId="56D5D9BC" w14:textId="77777777" w:rsidR="006E4579" w:rsidRDefault="00000000">
            <w:r>
              <w:rPr>
                <w:rFonts w:ascii="Arial" w:hAnsi="Arial"/>
                <w:sz w:val="18"/>
              </w:rPr>
              <w:t>**48,016.873**</w:t>
            </w:r>
          </w:p>
        </w:tc>
        <w:tc>
          <w:tcPr>
            <w:tcW w:w="1505" w:type="dxa"/>
          </w:tcPr>
          <w:p w14:paraId="650ED78A" w14:textId="77777777" w:rsidR="006E4579" w:rsidRDefault="00000000">
            <w:r>
              <w:rPr>
                <w:rFonts w:ascii="Arial" w:hAnsi="Arial"/>
                <w:sz w:val="18"/>
              </w:rPr>
              <w:t>**+0.19%**</w:t>
            </w:r>
          </w:p>
        </w:tc>
        <w:tc>
          <w:tcPr>
            <w:tcW w:w="1505" w:type="dxa"/>
          </w:tcPr>
          <w:p w14:paraId="056FA599" w14:textId="77777777" w:rsidR="006E4579" w:rsidRDefault="00000000">
            <w:r>
              <w:rPr>
                <w:rFonts w:ascii="Arial" w:hAnsi="Arial"/>
                <w:sz w:val="18"/>
              </w:rPr>
              <w:t>**&lt;1%**</w:t>
            </w:r>
          </w:p>
        </w:tc>
        <w:tc>
          <w:tcPr>
            <w:tcW w:w="1505" w:type="dxa"/>
          </w:tcPr>
          <w:p w14:paraId="2730979B" w14:textId="77777777" w:rsidR="006E4579" w:rsidRDefault="00000000">
            <w:r>
              <w:rPr>
                <w:rFonts w:ascii="Arial" w:hAnsi="Arial"/>
                <w:sz w:val="18"/>
              </w:rPr>
              <w:t>**No structured program disclosed**</w:t>
            </w:r>
          </w:p>
        </w:tc>
        <w:tc>
          <w:tcPr>
            <w:tcW w:w="1505" w:type="dxa"/>
          </w:tcPr>
          <w:p w14:paraId="0E34D18E" w14:textId="77777777" w:rsidR="006E4579" w:rsidRDefault="00000000">
            <w:r>
              <w:rPr>
                <w:rFonts w:ascii="Arial" w:hAnsi="Arial"/>
                <w:sz w:val="18"/>
              </w:rPr>
              <w:t>**Not set**</w:t>
            </w:r>
          </w:p>
        </w:tc>
      </w:tr>
    </w:tbl>
    <w:p w14:paraId="16A7FCE7" w14:textId="77777777" w:rsidR="006E4579" w:rsidRDefault="00000000">
      <w:r>
        <w:rPr>
          <w:rFonts w:ascii="Arial" w:hAnsi="Arial"/>
          <w:i/>
          <w:sz w:val="16"/>
        </w:rPr>
        <w:t>Source: Source: Sustainability reports from BRI (2023), BCA (2024), DBS Group (2023), Bank Mandiri (2023). Generic FI data from institution's 2024 operational records. Note: Generic FI's absolute emissions are lower than peers due to smaller operational footprint, but lack of reduction initiatives and targets represents a strategic gap.</w:t>
      </w:r>
    </w:p>
    <w:p w14:paraId="459DD740" w14:textId="77777777" w:rsidR="006E4579" w:rsidRDefault="006E4579"/>
    <w:p w14:paraId="535787F8" w14:textId="77777777" w:rsidR="006E4579" w:rsidRDefault="00000000">
      <w:r>
        <w:rPr>
          <w:rFonts w:ascii="Arial" w:hAnsi="Arial"/>
          <w:b/>
          <w:sz w:val="20"/>
        </w:rPr>
        <w:t>Table 38: Table 1.5.3: Framework Compliance Status — Emission Reduction Disclosure Requirements</w:t>
      </w:r>
    </w:p>
    <w:tbl>
      <w:tblPr>
        <w:tblW w:w="0" w:type="auto"/>
        <w:jc w:val="center"/>
        <w:tblLook w:val="04A0" w:firstRow="1" w:lastRow="0" w:firstColumn="1" w:lastColumn="0" w:noHBand="0" w:noVBand="1"/>
      </w:tblPr>
      <w:tblGrid>
        <w:gridCol w:w="1806"/>
        <w:gridCol w:w="1806"/>
        <w:gridCol w:w="1806"/>
        <w:gridCol w:w="1806"/>
        <w:gridCol w:w="1806"/>
      </w:tblGrid>
      <w:tr w:rsidR="006E4579" w14:paraId="1BB01E00" w14:textId="77777777">
        <w:trPr>
          <w:jc w:val="center"/>
        </w:trPr>
        <w:tc>
          <w:tcPr>
            <w:tcW w:w="1806" w:type="dxa"/>
            <w:shd w:val="clear" w:color="auto" w:fill="1B3A6B"/>
          </w:tcPr>
          <w:p w14:paraId="60080723" w14:textId="77777777" w:rsidR="006E4579" w:rsidRDefault="00000000">
            <w:r>
              <w:rPr>
                <w:rFonts w:ascii="Arial" w:hAnsi="Arial"/>
                <w:b/>
                <w:color w:val="FFFFFF"/>
                <w:sz w:val="18"/>
              </w:rPr>
              <w:t>Framework</w:t>
            </w:r>
          </w:p>
        </w:tc>
        <w:tc>
          <w:tcPr>
            <w:tcW w:w="1806" w:type="dxa"/>
            <w:shd w:val="clear" w:color="auto" w:fill="1B3A6B"/>
          </w:tcPr>
          <w:p w14:paraId="2F06C5F3" w14:textId="77777777" w:rsidR="006E4579" w:rsidRDefault="00000000">
            <w:r>
              <w:rPr>
                <w:rFonts w:ascii="Arial" w:hAnsi="Arial"/>
                <w:b/>
                <w:color w:val="FFFFFF"/>
                <w:sz w:val="18"/>
              </w:rPr>
              <w:t>Disclosure Reference</w:t>
            </w:r>
          </w:p>
        </w:tc>
        <w:tc>
          <w:tcPr>
            <w:tcW w:w="1806" w:type="dxa"/>
            <w:shd w:val="clear" w:color="auto" w:fill="1B3A6B"/>
          </w:tcPr>
          <w:p w14:paraId="31E4B4E6" w14:textId="77777777" w:rsidR="006E4579" w:rsidRDefault="00000000">
            <w:r>
              <w:rPr>
                <w:rFonts w:ascii="Arial" w:hAnsi="Arial"/>
                <w:b/>
                <w:color w:val="FFFFFF"/>
                <w:sz w:val="18"/>
              </w:rPr>
              <w:t>Requirement</w:t>
            </w:r>
          </w:p>
        </w:tc>
        <w:tc>
          <w:tcPr>
            <w:tcW w:w="1806" w:type="dxa"/>
            <w:shd w:val="clear" w:color="auto" w:fill="1B3A6B"/>
          </w:tcPr>
          <w:p w14:paraId="2DFCA92F" w14:textId="77777777" w:rsidR="006E4579" w:rsidRDefault="00000000">
            <w:r>
              <w:rPr>
                <w:rFonts w:ascii="Arial" w:hAnsi="Arial"/>
                <w:b/>
                <w:color w:val="FFFFFF"/>
                <w:sz w:val="18"/>
              </w:rPr>
              <w:t>Current Status</w:t>
            </w:r>
          </w:p>
        </w:tc>
        <w:tc>
          <w:tcPr>
            <w:tcW w:w="1806" w:type="dxa"/>
            <w:shd w:val="clear" w:color="auto" w:fill="1B3A6B"/>
          </w:tcPr>
          <w:p w14:paraId="50F32A71" w14:textId="77777777" w:rsidR="006E4579" w:rsidRDefault="00000000">
            <w:r>
              <w:rPr>
                <w:rFonts w:ascii="Arial" w:hAnsi="Arial"/>
                <w:b/>
                <w:color w:val="FFFFFF"/>
                <w:sz w:val="18"/>
              </w:rPr>
              <w:t>Gap Analysis</w:t>
            </w:r>
          </w:p>
        </w:tc>
      </w:tr>
      <w:tr w:rsidR="006E4579" w14:paraId="494329CA" w14:textId="77777777">
        <w:trPr>
          <w:jc w:val="center"/>
        </w:trPr>
        <w:tc>
          <w:tcPr>
            <w:tcW w:w="1806" w:type="dxa"/>
          </w:tcPr>
          <w:p w14:paraId="4E7B9D85" w14:textId="77777777" w:rsidR="006E4579" w:rsidRDefault="00000000">
            <w:r>
              <w:rPr>
                <w:rFonts w:ascii="Arial" w:hAnsi="Arial"/>
                <w:sz w:val="18"/>
              </w:rPr>
              <w:t>GRI 305-5</w:t>
            </w:r>
          </w:p>
        </w:tc>
        <w:tc>
          <w:tcPr>
            <w:tcW w:w="1806" w:type="dxa"/>
          </w:tcPr>
          <w:p w14:paraId="7756E801" w14:textId="77777777" w:rsidR="006E4579" w:rsidRDefault="00000000">
            <w:r>
              <w:rPr>
                <w:rFonts w:ascii="Arial" w:hAnsi="Arial"/>
                <w:sz w:val="18"/>
              </w:rPr>
              <w:t>305-5a</w:t>
            </w:r>
          </w:p>
        </w:tc>
        <w:tc>
          <w:tcPr>
            <w:tcW w:w="1806" w:type="dxa"/>
          </w:tcPr>
          <w:p w14:paraId="5C0F75C2" w14:textId="77777777" w:rsidR="006E4579" w:rsidRDefault="00000000">
            <w:r>
              <w:rPr>
                <w:rFonts w:ascii="Arial" w:hAnsi="Arial"/>
                <w:sz w:val="18"/>
              </w:rPr>
              <w:t>GHG emissions reduced as a direct result of reduction initiatives (tCO₂e)</w:t>
            </w:r>
          </w:p>
        </w:tc>
        <w:tc>
          <w:tcPr>
            <w:tcW w:w="1806" w:type="dxa"/>
          </w:tcPr>
          <w:p w14:paraId="58257602" w14:textId="77777777" w:rsidR="006E4579" w:rsidRDefault="00000000">
            <w:r>
              <w:rPr>
                <w:rFonts w:ascii="Arial" w:hAnsi="Arial"/>
                <w:sz w:val="18"/>
              </w:rPr>
              <w:t>⚠️ Partial</w:t>
            </w:r>
          </w:p>
        </w:tc>
        <w:tc>
          <w:tcPr>
            <w:tcW w:w="1806" w:type="dxa"/>
          </w:tcPr>
          <w:p w14:paraId="302CFF19" w14:textId="77777777" w:rsidR="006E4579" w:rsidRDefault="00000000">
            <w:r>
              <w:rPr>
                <w:rFonts w:ascii="Arial" w:hAnsi="Arial"/>
                <w:sz w:val="18"/>
              </w:rPr>
              <w:t>4.07% reduction observed but not attributed to specific initiatives. No inventory of reduction programs disclosed.</w:t>
            </w:r>
          </w:p>
        </w:tc>
      </w:tr>
      <w:tr w:rsidR="006E4579" w14:paraId="4C11FCEA" w14:textId="77777777">
        <w:trPr>
          <w:jc w:val="center"/>
        </w:trPr>
        <w:tc>
          <w:tcPr>
            <w:tcW w:w="1806" w:type="dxa"/>
            <w:shd w:val="clear" w:color="auto" w:fill="F2F6FC"/>
          </w:tcPr>
          <w:p w14:paraId="30A6FDB4" w14:textId="77777777" w:rsidR="006E4579" w:rsidRDefault="00000000">
            <w:r>
              <w:rPr>
                <w:rFonts w:ascii="Arial" w:hAnsi="Arial"/>
                <w:sz w:val="18"/>
              </w:rPr>
              <w:t>GRI 305-5</w:t>
            </w:r>
          </w:p>
        </w:tc>
        <w:tc>
          <w:tcPr>
            <w:tcW w:w="1806" w:type="dxa"/>
            <w:shd w:val="clear" w:color="auto" w:fill="F2F6FC"/>
          </w:tcPr>
          <w:p w14:paraId="115FBBA2" w14:textId="77777777" w:rsidR="006E4579" w:rsidRDefault="00000000">
            <w:r>
              <w:rPr>
                <w:rFonts w:ascii="Arial" w:hAnsi="Arial"/>
                <w:sz w:val="18"/>
              </w:rPr>
              <w:t>305-5b</w:t>
            </w:r>
          </w:p>
        </w:tc>
        <w:tc>
          <w:tcPr>
            <w:tcW w:w="1806" w:type="dxa"/>
            <w:shd w:val="clear" w:color="auto" w:fill="F2F6FC"/>
          </w:tcPr>
          <w:p w14:paraId="20ADF624" w14:textId="77777777" w:rsidR="006E4579" w:rsidRDefault="00000000">
            <w:r>
              <w:rPr>
                <w:rFonts w:ascii="Arial" w:hAnsi="Arial"/>
                <w:sz w:val="18"/>
              </w:rPr>
              <w:t xml:space="preserve">Gases included in the calculation (CO₂, CH₄, N₂O, </w:t>
            </w:r>
            <w:r>
              <w:rPr>
                <w:rFonts w:ascii="Arial" w:hAnsi="Arial"/>
                <w:sz w:val="18"/>
              </w:rPr>
              <w:lastRenderedPageBreak/>
              <w:t>HFCs, PFCs, SF₆, NF₃)</w:t>
            </w:r>
          </w:p>
        </w:tc>
        <w:tc>
          <w:tcPr>
            <w:tcW w:w="1806" w:type="dxa"/>
            <w:shd w:val="clear" w:color="auto" w:fill="F2F6FC"/>
          </w:tcPr>
          <w:p w14:paraId="4CC89713" w14:textId="77777777" w:rsidR="006E4579" w:rsidRDefault="00000000">
            <w:r>
              <w:rPr>
                <w:rFonts w:ascii="Arial" w:hAnsi="Arial"/>
                <w:sz w:val="18"/>
              </w:rPr>
              <w:lastRenderedPageBreak/>
              <w:t>⚠️ Partial</w:t>
            </w:r>
          </w:p>
        </w:tc>
        <w:tc>
          <w:tcPr>
            <w:tcW w:w="1806" w:type="dxa"/>
            <w:shd w:val="clear" w:color="auto" w:fill="F2F6FC"/>
          </w:tcPr>
          <w:p w14:paraId="46587F21" w14:textId="77777777" w:rsidR="006E4579" w:rsidRDefault="00000000">
            <w:r>
              <w:rPr>
                <w:rFonts w:ascii="Arial" w:hAnsi="Arial"/>
                <w:sz w:val="18"/>
              </w:rPr>
              <w:t xml:space="preserve">CO₂ disclosed; other gases not specified. Diesel </w:t>
            </w:r>
            <w:r>
              <w:rPr>
                <w:rFonts w:ascii="Arial" w:hAnsi="Arial"/>
                <w:sz w:val="18"/>
              </w:rPr>
              <w:lastRenderedPageBreak/>
              <w:t>and natural gas combustion implies CO₂, CH₄, N₂O but not explicitly stated.</w:t>
            </w:r>
          </w:p>
        </w:tc>
      </w:tr>
      <w:tr w:rsidR="006E4579" w14:paraId="1300B824" w14:textId="77777777">
        <w:trPr>
          <w:jc w:val="center"/>
        </w:trPr>
        <w:tc>
          <w:tcPr>
            <w:tcW w:w="1806" w:type="dxa"/>
          </w:tcPr>
          <w:p w14:paraId="6920745F" w14:textId="77777777" w:rsidR="006E4579" w:rsidRDefault="00000000">
            <w:r>
              <w:rPr>
                <w:rFonts w:ascii="Arial" w:hAnsi="Arial"/>
                <w:sz w:val="18"/>
              </w:rPr>
              <w:lastRenderedPageBreak/>
              <w:t>GRI 305-5</w:t>
            </w:r>
          </w:p>
        </w:tc>
        <w:tc>
          <w:tcPr>
            <w:tcW w:w="1806" w:type="dxa"/>
          </w:tcPr>
          <w:p w14:paraId="1D1D58C6" w14:textId="77777777" w:rsidR="006E4579" w:rsidRDefault="00000000">
            <w:r>
              <w:rPr>
                <w:rFonts w:ascii="Arial" w:hAnsi="Arial"/>
                <w:sz w:val="18"/>
              </w:rPr>
              <w:t>305-5c</w:t>
            </w:r>
          </w:p>
        </w:tc>
        <w:tc>
          <w:tcPr>
            <w:tcW w:w="1806" w:type="dxa"/>
          </w:tcPr>
          <w:p w14:paraId="09E36BDD" w14:textId="77777777" w:rsidR="006E4579" w:rsidRDefault="00000000">
            <w:r>
              <w:rPr>
                <w:rFonts w:ascii="Arial" w:hAnsi="Arial"/>
                <w:sz w:val="18"/>
              </w:rPr>
              <w:t>Base year or baseline, including rationale for choosing it</w:t>
            </w:r>
          </w:p>
        </w:tc>
        <w:tc>
          <w:tcPr>
            <w:tcW w:w="1806" w:type="dxa"/>
          </w:tcPr>
          <w:p w14:paraId="74ADBF25" w14:textId="77777777" w:rsidR="006E4579" w:rsidRDefault="00000000">
            <w:r>
              <w:rPr>
                <w:rFonts w:ascii="Arial" w:hAnsi="Arial"/>
                <w:sz w:val="18"/>
              </w:rPr>
              <w:t>❌ Not Disclosed</w:t>
            </w:r>
          </w:p>
        </w:tc>
        <w:tc>
          <w:tcPr>
            <w:tcW w:w="1806" w:type="dxa"/>
          </w:tcPr>
          <w:p w14:paraId="488AE1AE" w14:textId="77777777" w:rsidR="006E4579" w:rsidRDefault="00000000">
            <w:r>
              <w:rPr>
                <w:rFonts w:ascii="Arial" w:hAnsi="Arial"/>
                <w:sz w:val="18"/>
              </w:rPr>
              <w:t>No base year established. Required for long-term target tracking per GRI 305-5d.</w:t>
            </w:r>
          </w:p>
        </w:tc>
      </w:tr>
      <w:tr w:rsidR="006E4579" w14:paraId="290F306D" w14:textId="77777777">
        <w:trPr>
          <w:jc w:val="center"/>
        </w:trPr>
        <w:tc>
          <w:tcPr>
            <w:tcW w:w="1806" w:type="dxa"/>
            <w:shd w:val="clear" w:color="auto" w:fill="F2F6FC"/>
          </w:tcPr>
          <w:p w14:paraId="1DA4EE15" w14:textId="77777777" w:rsidR="006E4579" w:rsidRDefault="00000000">
            <w:r>
              <w:rPr>
                <w:rFonts w:ascii="Arial" w:hAnsi="Arial"/>
                <w:sz w:val="18"/>
              </w:rPr>
              <w:t>GRI 305-5</w:t>
            </w:r>
          </w:p>
        </w:tc>
        <w:tc>
          <w:tcPr>
            <w:tcW w:w="1806" w:type="dxa"/>
            <w:shd w:val="clear" w:color="auto" w:fill="F2F6FC"/>
          </w:tcPr>
          <w:p w14:paraId="5B4E6D86" w14:textId="77777777" w:rsidR="006E4579" w:rsidRDefault="00000000">
            <w:r>
              <w:rPr>
                <w:rFonts w:ascii="Arial" w:hAnsi="Arial"/>
                <w:sz w:val="18"/>
              </w:rPr>
              <w:t>305-5d</w:t>
            </w:r>
          </w:p>
        </w:tc>
        <w:tc>
          <w:tcPr>
            <w:tcW w:w="1806" w:type="dxa"/>
            <w:shd w:val="clear" w:color="auto" w:fill="F2F6FC"/>
          </w:tcPr>
          <w:p w14:paraId="6ACC9BF9" w14:textId="77777777" w:rsidR="006E4579" w:rsidRDefault="00000000">
            <w:r>
              <w:rPr>
                <w:rFonts w:ascii="Arial" w:hAnsi="Arial"/>
                <w:sz w:val="18"/>
              </w:rPr>
              <w:t>Scopes in which reductions took place (Scope 1, 2, 3)</w:t>
            </w:r>
          </w:p>
        </w:tc>
        <w:tc>
          <w:tcPr>
            <w:tcW w:w="1806" w:type="dxa"/>
            <w:shd w:val="clear" w:color="auto" w:fill="F2F6FC"/>
          </w:tcPr>
          <w:p w14:paraId="468887AF" w14:textId="77777777" w:rsidR="006E4579" w:rsidRDefault="00000000">
            <w:r>
              <w:rPr>
                <w:rFonts w:ascii="Arial" w:hAnsi="Arial"/>
                <w:sz w:val="18"/>
              </w:rPr>
              <w:t>✅ Disclosed</w:t>
            </w:r>
          </w:p>
        </w:tc>
        <w:tc>
          <w:tcPr>
            <w:tcW w:w="1806" w:type="dxa"/>
            <w:shd w:val="clear" w:color="auto" w:fill="F2F6FC"/>
          </w:tcPr>
          <w:p w14:paraId="7ECA1186" w14:textId="77777777" w:rsidR="006E4579" w:rsidRDefault="00000000">
            <w:r>
              <w:rPr>
                <w:rFonts w:ascii="Arial" w:hAnsi="Arial"/>
                <w:sz w:val="18"/>
              </w:rPr>
              <w:t>Scope 1 and Scope 2 changes reported. Scope 3 not included in reduction analysis.</w:t>
            </w:r>
          </w:p>
        </w:tc>
      </w:tr>
      <w:tr w:rsidR="006E4579" w14:paraId="712BB923" w14:textId="77777777">
        <w:trPr>
          <w:jc w:val="center"/>
        </w:trPr>
        <w:tc>
          <w:tcPr>
            <w:tcW w:w="1806" w:type="dxa"/>
          </w:tcPr>
          <w:p w14:paraId="46C18B0E" w14:textId="77777777" w:rsidR="006E4579" w:rsidRDefault="00000000">
            <w:r>
              <w:rPr>
                <w:rFonts w:ascii="Arial" w:hAnsi="Arial"/>
                <w:sz w:val="18"/>
              </w:rPr>
              <w:t>IFRS S2</w:t>
            </w:r>
          </w:p>
        </w:tc>
        <w:tc>
          <w:tcPr>
            <w:tcW w:w="1806" w:type="dxa"/>
          </w:tcPr>
          <w:p w14:paraId="0A00808A" w14:textId="77777777" w:rsidR="006E4579" w:rsidRDefault="00000000">
            <w:r>
              <w:rPr>
                <w:rFonts w:ascii="Arial" w:hAnsi="Arial"/>
                <w:sz w:val="18"/>
              </w:rPr>
              <w:t>Para 33-36</w:t>
            </w:r>
          </w:p>
        </w:tc>
        <w:tc>
          <w:tcPr>
            <w:tcW w:w="1806" w:type="dxa"/>
          </w:tcPr>
          <w:p w14:paraId="504FE98D" w14:textId="77777777" w:rsidR="006E4579" w:rsidRDefault="00000000">
            <w:r>
              <w:rPr>
                <w:rFonts w:ascii="Arial" w:hAnsi="Arial"/>
                <w:sz w:val="18"/>
              </w:rPr>
              <w:t>Climate-related targets, metrics, and transition plan</w:t>
            </w:r>
          </w:p>
        </w:tc>
        <w:tc>
          <w:tcPr>
            <w:tcW w:w="1806" w:type="dxa"/>
          </w:tcPr>
          <w:p w14:paraId="24BFA1A3" w14:textId="77777777" w:rsidR="006E4579" w:rsidRDefault="00000000">
            <w:r>
              <w:rPr>
                <w:rFonts w:ascii="Arial" w:hAnsi="Arial"/>
                <w:sz w:val="18"/>
              </w:rPr>
              <w:t>❌ Not Disclosed</w:t>
            </w:r>
          </w:p>
        </w:tc>
        <w:tc>
          <w:tcPr>
            <w:tcW w:w="1806" w:type="dxa"/>
          </w:tcPr>
          <w:p w14:paraId="66A8B4C4" w14:textId="77777777" w:rsidR="006E4579" w:rsidRDefault="00000000">
            <w:r>
              <w:rPr>
                <w:rFonts w:ascii="Arial" w:hAnsi="Arial"/>
                <w:sz w:val="18"/>
              </w:rPr>
              <w:t>No quantitative targets for 2030 or net-zero year. No transition plan disclosed. Peer banks (BRI, DBS) have SBTi commitments.</w:t>
            </w:r>
          </w:p>
        </w:tc>
      </w:tr>
      <w:tr w:rsidR="006E4579" w14:paraId="556B9F9C" w14:textId="77777777">
        <w:trPr>
          <w:jc w:val="center"/>
        </w:trPr>
        <w:tc>
          <w:tcPr>
            <w:tcW w:w="1806" w:type="dxa"/>
            <w:shd w:val="clear" w:color="auto" w:fill="F2F6FC"/>
          </w:tcPr>
          <w:p w14:paraId="356A702C" w14:textId="77777777" w:rsidR="006E4579" w:rsidRDefault="00000000">
            <w:r>
              <w:rPr>
                <w:rFonts w:ascii="Arial" w:hAnsi="Arial"/>
                <w:sz w:val="18"/>
              </w:rPr>
              <w:t>ESRS E1</w:t>
            </w:r>
          </w:p>
        </w:tc>
        <w:tc>
          <w:tcPr>
            <w:tcW w:w="1806" w:type="dxa"/>
            <w:shd w:val="clear" w:color="auto" w:fill="F2F6FC"/>
          </w:tcPr>
          <w:p w14:paraId="4F5E1695" w14:textId="77777777" w:rsidR="006E4579" w:rsidRDefault="00000000">
            <w:r>
              <w:rPr>
                <w:rFonts w:ascii="Arial" w:hAnsi="Arial"/>
                <w:sz w:val="18"/>
              </w:rPr>
              <w:t>DR E1-4</w:t>
            </w:r>
          </w:p>
        </w:tc>
        <w:tc>
          <w:tcPr>
            <w:tcW w:w="1806" w:type="dxa"/>
            <w:shd w:val="clear" w:color="auto" w:fill="F2F6FC"/>
          </w:tcPr>
          <w:p w14:paraId="679540B9" w14:textId="77777777" w:rsidR="006E4579" w:rsidRDefault="00000000">
            <w:r>
              <w:rPr>
                <w:rFonts w:ascii="Arial" w:hAnsi="Arial"/>
                <w:sz w:val="18"/>
              </w:rPr>
              <w:t>GHG emission reduction targets and decarbonization levers</w:t>
            </w:r>
          </w:p>
        </w:tc>
        <w:tc>
          <w:tcPr>
            <w:tcW w:w="1806" w:type="dxa"/>
            <w:shd w:val="clear" w:color="auto" w:fill="F2F6FC"/>
          </w:tcPr>
          <w:p w14:paraId="63E0D6F1" w14:textId="77777777" w:rsidR="006E4579" w:rsidRDefault="00000000">
            <w:r>
              <w:rPr>
                <w:rFonts w:ascii="Arial" w:hAnsi="Arial"/>
                <w:sz w:val="18"/>
              </w:rPr>
              <w:t>❌ Not Disclosed</w:t>
            </w:r>
          </w:p>
        </w:tc>
        <w:tc>
          <w:tcPr>
            <w:tcW w:w="1806" w:type="dxa"/>
            <w:shd w:val="clear" w:color="auto" w:fill="F2F6FC"/>
          </w:tcPr>
          <w:p w14:paraId="43A2BE4E" w14:textId="77777777" w:rsidR="006E4579" w:rsidRDefault="00000000">
            <w:r>
              <w:rPr>
                <w:rFonts w:ascii="Arial" w:hAnsi="Arial"/>
                <w:sz w:val="18"/>
              </w:rPr>
              <w:t>No sectoral decarbonization pathways. No disclosure of technology roadmap (solar, EV, RE100). Peers have implemented multiple levers.</w:t>
            </w:r>
          </w:p>
        </w:tc>
      </w:tr>
      <w:tr w:rsidR="006E4579" w14:paraId="1319203E" w14:textId="77777777">
        <w:trPr>
          <w:jc w:val="center"/>
        </w:trPr>
        <w:tc>
          <w:tcPr>
            <w:tcW w:w="1806" w:type="dxa"/>
          </w:tcPr>
          <w:p w14:paraId="1CD70561" w14:textId="77777777" w:rsidR="006E4579" w:rsidRDefault="00000000">
            <w:r>
              <w:rPr>
                <w:rFonts w:ascii="Arial" w:hAnsi="Arial"/>
                <w:sz w:val="18"/>
              </w:rPr>
              <w:t>OJK PSPK</w:t>
            </w:r>
          </w:p>
        </w:tc>
        <w:tc>
          <w:tcPr>
            <w:tcW w:w="1806" w:type="dxa"/>
          </w:tcPr>
          <w:p w14:paraId="7FF62EAE" w14:textId="77777777" w:rsidR="006E4579" w:rsidRDefault="00000000">
            <w:r>
              <w:rPr>
                <w:rFonts w:ascii="Arial" w:hAnsi="Arial"/>
                <w:sz w:val="18"/>
              </w:rPr>
              <w:t>Target Pengurangan</w:t>
            </w:r>
          </w:p>
        </w:tc>
        <w:tc>
          <w:tcPr>
            <w:tcW w:w="1806" w:type="dxa"/>
          </w:tcPr>
          <w:p w14:paraId="2269BE40" w14:textId="77777777" w:rsidR="006E4579" w:rsidRDefault="00000000">
            <w:r>
              <w:rPr>
                <w:rFonts w:ascii="Arial" w:hAnsi="Arial"/>
                <w:sz w:val="18"/>
              </w:rPr>
              <w:t>Emission reduction targets aligned with SFAP (Sustainable Finance Action Plan)</w:t>
            </w:r>
          </w:p>
        </w:tc>
        <w:tc>
          <w:tcPr>
            <w:tcW w:w="1806" w:type="dxa"/>
          </w:tcPr>
          <w:p w14:paraId="4DB46C99" w14:textId="77777777" w:rsidR="006E4579" w:rsidRDefault="00000000">
            <w:r>
              <w:rPr>
                <w:rFonts w:ascii="Arial" w:hAnsi="Arial"/>
                <w:sz w:val="18"/>
              </w:rPr>
              <w:t>❌ Not Disclosed</w:t>
            </w:r>
          </w:p>
        </w:tc>
        <w:tc>
          <w:tcPr>
            <w:tcW w:w="1806" w:type="dxa"/>
          </w:tcPr>
          <w:p w14:paraId="1DB71123" w14:textId="77777777" w:rsidR="006E4579" w:rsidRDefault="00000000">
            <w:r>
              <w:rPr>
                <w:rFonts w:ascii="Arial" w:hAnsi="Arial"/>
                <w:sz w:val="18"/>
              </w:rPr>
              <w:t>No alignment with OJK's 2030 sustainable finance targets. BRI and BCA have disclosed SFAP-aligned strategies.</w:t>
            </w:r>
          </w:p>
        </w:tc>
      </w:tr>
    </w:tbl>
    <w:p w14:paraId="45F6AAA9" w14:textId="77777777" w:rsidR="006E4579" w:rsidRDefault="00000000">
      <w:r>
        <w:rPr>
          <w:rFonts w:ascii="Arial" w:hAnsi="Arial"/>
          <w:i/>
          <w:sz w:val="16"/>
        </w:rPr>
        <w:t>Source: Source: Framework requirements from GRI 305 (2016), IFRS S2 (2023), ESRS E1 (2023), OJK POJK 51/2017 and SEOJK 16/2021. Status assessment based on institution's 2024 disclosure content.</w:t>
      </w:r>
    </w:p>
    <w:p w14:paraId="22FE01D1" w14:textId="77777777" w:rsidR="006E4579" w:rsidRDefault="006E4579"/>
    <w:p w14:paraId="05988266" w14:textId="77777777" w:rsidR="006E4579" w:rsidRDefault="00000000">
      <w:r>
        <w:rPr>
          <w:rFonts w:ascii="Arial" w:hAnsi="Arial"/>
          <w:b/>
          <w:sz w:val="20"/>
        </w:rPr>
        <w:t>Table 40: Table 1.5.4: Recommended Reduction Initiatives — Peer-Validated Programs</w:t>
      </w:r>
    </w:p>
    <w:tbl>
      <w:tblPr>
        <w:tblW w:w="0" w:type="auto"/>
        <w:jc w:val="center"/>
        <w:tblLook w:val="04A0" w:firstRow="1" w:lastRow="0" w:firstColumn="1" w:lastColumn="0" w:noHBand="0" w:noVBand="1"/>
      </w:tblPr>
      <w:tblGrid>
        <w:gridCol w:w="1505"/>
        <w:gridCol w:w="1505"/>
        <w:gridCol w:w="1505"/>
        <w:gridCol w:w="1547"/>
        <w:gridCol w:w="1505"/>
        <w:gridCol w:w="1505"/>
      </w:tblGrid>
      <w:tr w:rsidR="006E4579" w14:paraId="18004ACE" w14:textId="77777777">
        <w:trPr>
          <w:jc w:val="center"/>
        </w:trPr>
        <w:tc>
          <w:tcPr>
            <w:tcW w:w="1505" w:type="dxa"/>
            <w:shd w:val="clear" w:color="auto" w:fill="1B3A6B"/>
          </w:tcPr>
          <w:p w14:paraId="46CF43DE" w14:textId="77777777" w:rsidR="006E4579" w:rsidRDefault="00000000">
            <w:r>
              <w:rPr>
                <w:rFonts w:ascii="Arial" w:hAnsi="Arial"/>
                <w:b/>
                <w:color w:val="FFFFFF"/>
                <w:sz w:val="18"/>
              </w:rPr>
              <w:t>Initiative Category</w:t>
            </w:r>
          </w:p>
        </w:tc>
        <w:tc>
          <w:tcPr>
            <w:tcW w:w="1505" w:type="dxa"/>
            <w:shd w:val="clear" w:color="auto" w:fill="1B3A6B"/>
          </w:tcPr>
          <w:p w14:paraId="186B7A10" w14:textId="77777777" w:rsidR="006E4579" w:rsidRDefault="00000000">
            <w:r>
              <w:rPr>
                <w:rFonts w:ascii="Arial" w:hAnsi="Arial"/>
                <w:b/>
                <w:color w:val="FFFFFF"/>
                <w:sz w:val="18"/>
              </w:rPr>
              <w:t>Specific Action</w:t>
            </w:r>
          </w:p>
        </w:tc>
        <w:tc>
          <w:tcPr>
            <w:tcW w:w="1505" w:type="dxa"/>
            <w:shd w:val="clear" w:color="auto" w:fill="1B3A6B"/>
          </w:tcPr>
          <w:p w14:paraId="6E366631" w14:textId="77777777" w:rsidR="006E4579" w:rsidRDefault="00000000">
            <w:r>
              <w:rPr>
                <w:rFonts w:ascii="Arial" w:hAnsi="Arial"/>
                <w:b/>
                <w:color w:val="FFFFFF"/>
                <w:sz w:val="18"/>
              </w:rPr>
              <w:t>Expected Impact</w:t>
            </w:r>
          </w:p>
        </w:tc>
        <w:tc>
          <w:tcPr>
            <w:tcW w:w="1505" w:type="dxa"/>
            <w:shd w:val="clear" w:color="auto" w:fill="1B3A6B"/>
          </w:tcPr>
          <w:p w14:paraId="37FB505A" w14:textId="77777777" w:rsidR="006E4579" w:rsidRDefault="00000000">
            <w:r>
              <w:rPr>
                <w:rFonts w:ascii="Arial" w:hAnsi="Arial"/>
                <w:b/>
                <w:color w:val="FFFFFF"/>
                <w:sz w:val="18"/>
              </w:rPr>
              <w:t>Implementation Timeline</w:t>
            </w:r>
          </w:p>
        </w:tc>
        <w:tc>
          <w:tcPr>
            <w:tcW w:w="1505" w:type="dxa"/>
            <w:shd w:val="clear" w:color="auto" w:fill="1B3A6B"/>
          </w:tcPr>
          <w:p w14:paraId="3F464B8F" w14:textId="77777777" w:rsidR="006E4579" w:rsidRDefault="00000000">
            <w:r>
              <w:rPr>
                <w:rFonts w:ascii="Arial" w:hAnsi="Arial"/>
                <w:b/>
                <w:color w:val="FFFFFF"/>
                <w:sz w:val="18"/>
              </w:rPr>
              <w:t>Estimated Investment (IDR)</w:t>
            </w:r>
          </w:p>
        </w:tc>
        <w:tc>
          <w:tcPr>
            <w:tcW w:w="1505" w:type="dxa"/>
            <w:shd w:val="clear" w:color="auto" w:fill="1B3A6B"/>
          </w:tcPr>
          <w:p w14:paraId="06CD9601" w14:textId="77777777" w:rsidR="006E4579" w:rsidRDefault="00000000">
            <w:r>
              <w:rPr>
                <w:rFonts w:ascii="Arial" w:hAnsi="Arial"/>
                <w:b/>
                <w:color w:val="FFFFFF"/>
                <w:sz w:val="18"/>
              </w:rPr>
              <w:t>Peer Reference</w:t>
            </w:r>
          </w:p>
        </w:tc>
      </w:tr>
      <w:tr w:rsidR="006E4579" w14:paraId="42EB327F" w14:textId="77777777">
        <w:trPr>
          <w:jc w:val="center"/>
        </w:trPr>
        <w:tc>
          <w:tcPr>
            <w:tcW w:w="1505" w:type="dxa"/>
          </w:tcPr>
          <w:p w14:paraId="5E427B47" w14:textId="77777777" w:rsidR="006E4579" w:rsidRDefault="00000000">
            <w:r>
              <w:rPr>
                <w:rFonts w:ascii="Arial" w:hAnsi="Arial"/>
                <w:sz w:val="18"/>
              </w:rPr>
              <w:t>Short-term (0-12 months)</w:t>
            </w:r>
          </w:p>
        </w:tc>
        <w:tc>
          <w:tcPr>
            <w:tcW w:w="1505" w:type="dxa"/>
          </w:tcPr>
          <w:p w14:paraId="378046B5" w14:textId="77777777" w:rsidR="006E4579" w:rsidRDefault="00000000">
            <w:r>
              <w:rPr>
                <w:rFonts w:ascii="Arial" w:hAnsi="Arial"/>
                <w:sz w:val="18"/>
              </w:rPr>
              <w:t xml:space="preserve">LED retrofit for top 10 facilities + auto-shutdown </w:t>
            </w:r>
            <w:r>
              <w:rPr>
                <w:rFonts w:ascii="Arial" w:hAnsi="Arial"/>
                <w:sz w:val="18"/>
              </w:rPr>
              <w:lastRenderedPageBreak/>
              <w:t>systems</w:t>
            </w:r>
          </w:p>
        </w:tc>
        <w:tc>
          <w:tcPr>
            <w:tcW w:w="1505" w:type="dxa"/>
          </w:tcPr>
          <w:p w14:paraId="4F256784" w14:textId="77777777" w:rsidR="006E4579" w:rsidRDefault="00000000">
            <w:r>
              <w:rPr>
                <w:rFonts w:ascii="Arial" w:hAnsi="Arial"/>
                <w:sz w:val="18"/>
              </w:rPr>
              <w:lastRenderedPageBreak/>
              <w:t>↓8-12% Scope 2 electricity</w:t>
            </w:r>
          </w:p>
        </w:tc>
        <w:tc>
          <w:tcPr>
            <w:tcW w:w="1505" w:type="dxa"/>
          </w:tcPr>
          <w:p w14:paraId="69012405" w14:textId="77777777" w:rsidR="006E4579" w:rsidRDefault="00000000">
            <w:r>
              <w:rPr>
                <w:rFonts w:ascii="Arial" w:hAnsi="Arial"/>
                <w:sz w:val="18"/>
              </w:rPr>
              <w:t>Q2-Q3 2025</w:t>
            </w:r>
          </w:p>
        </w:tc>
        <w:tc>
          <w:tcPr>
            <w:tcW w:w="1505" w:type="dxa"/>
          </w:tcPr>
          <w:p w14:paraId="6BCFB153" w14:textId="77777777" w:rsidR="006E4579" w:rsidRDefault="00000000">
            <w:r>
              <w:rPr>
                <w:rFonts w:ascii="Arial" w:hAnsi="Arial"/>
                <w:sz w:val="18"/>
              </w:rPr>
              <w:t>~2.5 billion</w:t>
            </w:r>
          </w:p>
        </w:tc>
        <w:tc>
          <w:tcPr>
            <w:tcW w:w="1505" w:type="dxa"/>
          </w:tcPr>
          <w:p w14:paraId="19D2B15E" w14:textId="77777777" w:rsidR="006E4579" w:rsidRDefault="00000000">
            <w:r>
              <w:rPr>
                <w:rFonts w:ascii="Arial" w:hAnsi="Arial"/>
                <w:sz w:val="18"/>
              </w:rPr>
              <w:t xml:space="preserve">BRI Kaseya program; BRILiaN Tower achieved </w:t>
            </w:r>
            <w:r>
              <w:rPr>
                <w:rFonts w:ascii="Arial" w:hAnsi="Arial"/>
                <w:sz w:val="18"/>
              </w:rPr>
              <w:lastRenderedPageBreak/>
              <w:t>19.49% savings</w:t>
            </w:r>
          </w:p>
        </w:tc>
      </w:tr>
      <w:tr w:rsidR="006E4579" w14:paraId="65FBAFEC" w14:textId="77777777">
        <w:trPr>
          <w:jc w:val="center"/>
        </w:trPr>
        <w:tc>
          <w:tcPr>
            <w:tcW w:w="1505" w:type="dxa"/>
            <w:shd w:val="clear" w:color="auto" w:fill="F2F6FC"/>
          </w:tcPr>
          <w:p w14:paraId="53FD19B0" w14:textId="77777777" w:rsidR="006E4579" w:rsidRDefault="00000000">
            <w:r>
              <w:rPr>
                <w:rFonts w:ascii="Arial" w:hAnsi="Arial"/>
                <w:sz w:val="18"/>
              </w:rPr>
              <w:lastRenderedPageBreak/>
              <w:t>Short-term (0-12 months)</w:t>
            </w:r>
          </w:p>
        </w:tc>
        <w:tc>
          <w:tcPr>
            <w:tcW w:w="1505" w:type="dxa"/>
            <w:shd w:val="clear" w:color="auto" w:fill="F2F6FC"/>
          </w:tcPr>
          <w:p w14:paraId="2FCF4FD4" w14:textId="77777777" w:rsidR="006E4579" w:rsidRDefault="00000000">
            <w:r>
              <w:rPr>
                <w:rFonts w:ascii="Arial" w:hAnsi="Arial"/>
                <w:sz w:val="18"/>
              </w:rPr>
              <w:t>Biodiesel B35+ for backup generators</w:t>
            </w:r>
          </w:p>
        </w:tc>
        <w:tc>
          <w:tcPr>
            <w:tcW w:w="1505" w:type="dxa"/>
            <w:shd w:val="clear" w:color="auto" w:fill="F2F6FC"/>
          </w:tcPr>
          <w:p w14:paraId="3F363828" w14:textId="77777777" w:rsidR="006E4579" w:rsidRDefault="00000000">
            <w:r>
              <w:rPr>
                <w:rFonts w:ascii="Arial" w:hAnsi="Arial"/>
                <w:sz w:val="18"/>
              </w:rPr>
              <w:t>↓15-20% Scope 1 diesel emissions</w:t>
            </w:r>
          </w:p>
        </w:tc>
        <w:tc>
          <w:tcPr>
            <w:tcW w:w="1505" w:type="dxa"/>
            <w:shd w:val="clear" w:color="auto" w:fill="F2F6FC"/>
          </w:tcPr>
          <w:p w14:paraId="1E151C97" w14:textId="77777777" w:rsidR="006E4579" w:rsidRDefault="00000000">
            <w:r>
              <w:rPr>
                <w:rFonts w:ascii="Arial" w:hAnsi="Arial"/>
                <w:sz w:val="18"/>
              </w:rPr>
              <w:t>Q3 2025</w:t>
            </w:r>
          </w:p>
        </w:tc>
        <w:tc>
          <w:tcPr>
            <w:tcW w:w="1505" w:type="dxa"/>
            <w:shd w:val="clear" w:color="auto" w:fill="F2F6FC"/>
          </w:tcPr>
          <w:p w14:paraId="2AF6A054" w14:textId="77777777" w:rsidR="006E4579" w:rsidRDefault="00000000">
            <w:r>
              <w:rPr>
                <w:rFonts w:ascii="Arial" w:hAnsi="Arial"/>
                <w:sz w:val="18"/>
              </w:rPr>
              <w:t>~500 million (fuel premium)</w:t>
            </w:r>
          </w:p>
        </w:tc>
        <w:tc>
          <w:tcPr>
            <w:tcW w:w="1505" w:type="dxa"/>
            <w:shd w:val="clear" w:color="auto" w:fill="F2F6FC"/>
          </w:tcPr>
          <w:p w14:paraId="52717754" w14:textId="77777777" w:rsidR="006E4579" w:rsidRDefault="00000000">
            <w:r>
              <w:rPr>
                <w:rFonts w:ascii="Arial" w:hAnsi="Arial"/>
                <w:sz w:val="18"/>
              </w:rPr>
              <w:t>Indonesia national mandate; Bank Mandiri pilot</w:t>
            </w:r>
          </w:p>
        </w:tc>
      </w:tr>
      <w:tr w:rsidR="006E4579" w14:paraId="04B28555" w14:textId="77777777">
        <w:trPr>
          <w:jc w:val="center"/>
        </w:trPr>
        <w:tc>
          <w:tcPr>
            <w:tcW w:w="1505" w:type="dxa"/>
          </w:tcPr>
          <w:p w14:paraId="0398EBD8" w14:textId="77777777" w:rsidR="006E4579" w:rsidRDefault="00000000">
            <w:r>
              <w:rPr>
                <w:rFonts w:ascii="Arial" w:hAnsi="Arial"/>
                <w:sz w:val="18"/>
              </w:rPr>
              <w:t>Medium-term (12-24 months)</w:t>
            </w:r>
          </w:p>
        </w:tc>
        <w:tc>
          <w:tcPr>
            <w:tcW w:w="1505" w:type="dxa"/>
          </w:tcPr>
          <w:p w14:paraId="1C9C81A8" w14:textId="77777777" w:rsidR="006E4579" w:rsidRDefault="00000000">
            <w:r>
              <w:rPr>
                <w:rFonts w:ascii="Arial" w:hAnsi="Arial"/>
                <w:sz w:val="18"/>
              </w:rPr>
              <w:t>Solar panel + battery storage at 5 highest diesel-consuming facilities</w:t>
            </w:r>
          </w:p>
        </w:tc>
        <w:tc>
          <w:tcPr>
            <w:tcW w:w="1505" w:type="dxa"/>
          </w:tcPr>
          <w:p w14:paraId="3B26C8BF" w14:textId="77777777" w:rsidR="006E4579" w:rsidRDefault="00000000">
            <w:r>
              <w:rPr>
                <w:rFonts w:ascii="Arial" w:hAnsi="Arial"/>
                <w:sz w:val="18"/>
              </w:rPr>
              <w:t>↓30-40% diesel usage at target sites</w:t>
            </w:r>
          </w:p>
        </w:tc>
        <w:tc>
          <w:tcPr>
            <w:tcW w:w="1505" w:type="dxa"/>
          </w:tcPr>
          <w:p w14:paraId="59F02280" w14:textId="77777777" w:rsidR="006E4579" w:rsidRDefault="00000000">
            <w:r>
              <w:rPr>
                <w:rFonts w:ascii="Arial" w:hAnsi="Arial"/>
                <w:sz w:val="18"/>
              </w:rPr>
              <w:t>Q4 2025 - Q2 2026</w:t>
            </w:r>
          </w:p>
        </w:tc>
        <w:tc>
          <w:tcPr>
            <w:tcW w:w="1505" w:type="dxa"/>
          </w:tcPr>
          <w:p w14:paraId="6C685D8B" w14:textId="77777777" w:rsidR="006E4579" w:rsidRDefault="00000000">
            <w:r>
              <w:rPr>
                <w:rFonts w:ascii="Arial" w:hAnsi="Arial"/>
                <w:sz w:val="18"/>
              </w:rPr>
              <w:t>~8 billion</w:t>
            </w:r>
          </w:p>
        </w:tc>
        <w:tc>
          <w:tcPr>
            <w:tcW w:w="1505" w:type="dxa"/>
          </w:tcPr>
          <w:p w14:paraId="7AD97D8D" w14:textId="77777777" w:rsidR="006E4579" w:rsidRDefault="00000000">
            <w:r>
              <w:rPr>
                <w:rFonts w:ascii="Arial" w:hAnsi="Arial"/>
                <w:sz w:val="18"/>
              </w:rPr>
              <w:t>BRI Green Network solar installations</w:t>
            </w:r>
          </w:p>
        </w:tc>
      </w:tr>
      <w:tr w:rsidR="006E4579" w14:paraId="0F044CF0" w14:textId="77777777">
        <w:trPr>
          <w:jc w:val="center"/>
        </w:trPr>
        <w:tc>
          <w:tcPr>
            <w:tcW w:w="1505" w:type="dxa"/>
            <w:shd w:val="clear" w:color="auto" w:fill="F2F6FC"/>
          </w:tcPr>
          <w:p w14:paraId="4FB1D223" w14:textId="77777777" w:rsidR="006E4579" w:rsidRDefault="00000000">
            <w:r>
              <w:rPr>
                <w:rFonts w:ascii="Arial" w:hAnsi="Arial"/>
                <w:sz w:val="18"/>
              </w:rPr>
              <w:t>Medium-term (12-24 months)</w:t>
            </w:r>
          </w:p>
        </w:tc>
        <w:tc>
          <w:tcPr>
            <w:tcW w:w="1505" w:type="dxa"/>
            <w:shd w:val="clear" w:color="auto" w:fill="F2F6FC"/>
          </w:tcPr>
          <w:p w14:paraId="73D774C2" w14:textId="77777777" w:rsidR="006E4579" w:rsidRDefault="00000000">
            <w:r>
              <w:rPr>
                <w:rFonts w:ascii="Arial" w:hAnsi="Arial"/>
                <w:sz w:val="18"/>
              </w:rPr>
              <w:t>EV fleet conversion (50 vehicles pilot)</w:t>
            </w:r>
          </w:p>
        </w:tc>
        <w:tc>
          <w:tcPr>
            <w:tcW w:w="1505" w:type="dxa"/>
            <w:shd w:val="clear" w:color="auto" w:fill="F2F6FC"/>
          </w:tcPr>
          <w:p w14:paraId="2BA733D5" w14:textId="77777777" w:rsidR="006E4579" w:rsidRDefault="00000000">
            <w:r>
              <w:rPr>
                <w:rFonts w:ascii="Arial" w:hAnsi="Arial"/>
                <w:sz w:val="18"/>
              </w:rPr>
              <w:t>↓25-30% transport-related Scope 1</w:t>
            </w:r>
          </w:p>
        </w:tc>
        <w:tc>
          <w:tcPr>
            <w:tcW w:w="1505" w:type="dxa"/>
            <w:shd w:val="clear" w:color="auto" w:fill="F2F6FC"/>
          </w:tcPr>
          <w:p w14:paraId="487C47DF" w14:textId="77777777" w:rsidR="006E4579" w:rsidRDefault="00000000">
            <w:r>
              <w:rPr>
                <w:rFonts w:ascii="Arial" w:hAnsi="Arial"/>
                <w:sz w:val="18"/>
              </w:rPr>
              <w:t>Q1-Q4 2026</w:t>
            </w:r>
          </w:p>
        </w:tc>
        <w:tc>
          <w:tcPr>
            <w:tcW w:w="1505" w:type="dxa"/>
            <w:shd w:val="clear" w:color="auto" w:fill="F2F6FC"/>
          </w:tcPr>
          <w:p w14:paraId="62DE1984" w14:textId="77777777" w:rsidR="006E4579" w:rsidRDefault="00000000">
            <w:r>
              <w:rPr>
                <w:rFonts w:ascii="Arial" w:hAnsi="Arial"/>
                <w:sz w:val="18"/>
              </w:rPr>
              <w:t>~15 billion</w:t>
            </w:r>
          </w:p>
        </w:tc>
        <w:tc>
          <w:tcPr>
            <w:tcW w:w="1505" w:type="dxa"/>
            <w:shd w:val="clear" w:color="auto" w:fill="F2F6FC"/>
          </w:tcPr>
          <w:p w14:paraId="7D85BF2E" w14:textId="77777777" w:rsidR="006E4579" w:rsidRDefault="00000000">
            <w:r>
              <w:rPr>
                <w:rFonts w:ascii="Arial" w:hAnsi="Arial"/>
                <w:sz w:val="18"/>
              </w:rPr>
              <w:t>BRI: 118 EV cars + 150 bikes deployed</w:t>
            </w:r>
          </w:p>
        </w:tc>
      </w:tr>
      <w:tr w:rsidR="006E4579" w14:paraId="71BF0BC1" w14:textId="77777777">
        <w:trPr>
          <w:jc w:val="center"/>
        </w:trPr>
        <w:tc>
          <w:tcPr>
            <w:tcW w:w="1505" w:type="dxa"/>
          </w:tcPr>
          <w:p w14:paraId="3308452A" w14:textId="77777777" w:rsidR="006E4579" w:rsidRDefault="00000000">
            <w:r>
              <w:rPr>
                <w:rFonts w:ascii="Arial" w:hAnsi="Arial"/>
                <w:sz w:val="18"/>
              </w:rPr>
              <w:t>Medium-term (12-24 months)</w:t>
            </w:r>
          </w:p>
        </w:tc>
        <w:tc>
          <w:tcPr>
            <w:tcW w:w="1505" w:type="dxa"/>
          </w:tcPr>
          <w:p w14:paraId="5F523C04" w14:textId="77777777" w:rsidR="006E4579" w:rsidRDefault="00000000">
            <w:r>
              <w:rPr>
                <w:rFonts w:ascii="Arial" w:hAnsi="Arial"/>
                <w:sz w:val="18"/>
              </w:rPr>
              <w:t>Green building certification (GBCI/LEED) for headquarters</w:t>
            </w:r>
          </w:p>
        </w:tc>
        <w:tc>
          <w:tcPr>
            <w:tcW w:w="1505" w:type="dxa"/>
          </w:tcPr>
          <w:p w14:paraId="70D54489" w14:textId="77777777" w:rsidR="006E4579" w:rsidRDefault="00000000">
            <w:r>
              <w:rPr>
                <w:rFonts w:ascii="Arial" w:hAnsi="Arial"/>
                <w:sz w:val="18"/>
              </w:rPr>
              <w:t>↓15-20% building energy intensity</w:t>
            </w:r>
          </w:p>
        </w:tc>
        <w:tc>
          <w:tcPr>
            <w:tcW w:w="1505" w:type="dxa"/>
          </w:tcPr>
          <w:p w14:paraId="40B328DE" w14:textId="77777777" w:rsidR="006E4579" w:rsidRDefault="00000000">
            <w:r>
              <w:rPr>
                <w:rFonts w:ascii="Arial" w:hAnsi="Arial"/>
                <w:sz w:val="18"/>
              </w:rPr>
              <w:t>Q2 2025 - Q2 2026</w:t>
            </w:r>
          </w:p>
        </w:tc>
        <w:tc>
          <w:tcPr>
            <w:tcW w:w="1505" w:type="dxa"/>
          </w:tcPr>
          <w:p w14:paraId="3433921C" w14:textId="77777777" w:rsidR="006E4579" w:rsidRDefault="00000000">
            <w:r>
              <w:rPr>
                <w:rFonts w:ascii="Arial" w:hAnsi="Arial"/>
                <w:sz w:val="18"/>
              </w:rPr>
              <w:t>~3 billion (audit + retrofit)</w:t>
            </w:r>
          </w:p>
        </w:tc>
        <w:tc>
          <w:tcPr>
            <w:tcW w:w="1505" w:type="dxa"/>
          </w:tcPr>
          <w:p w14:paraId="3978FE42" w14:textId="77777777" w:rsidR="006E4579" w:rsidRDefault="00000000">
            <w:r>
              <w:rPr>
                <w:rFonts w:ascii="Arial" w:hAnsi="Arial"/>
                <w:sz w:val="18"/>
              </w:rPr>
              <w:t>BRI BRILiaN Tower (GBCI Gold); DBS multiple LEED sites</w:t>
            </w:r>
          </w:p>
        </w:tc>
      </w:tr>
      <w:tr w:rsidR="006E4579" w14:paraId="16C69667" w14:textId="77777777">
        <w:trPr>
          <w:jc w:val="center"/>
        </w:trPr>
        <w:tc>
          <w:tcPr>
            <w:tcW w:w="1505" w:type="dxa"/>
            <w:shd w:val="clear" w:color="auto" w:fill="F2F6FC"/>
          </w:tcPr>
          <w:p w14:paraId="4932ECE4" w14:textId="77777777" w:rsidR="006E4579" w:rsidRDefault="00000000">
            <w:r>
              <w:rPr>
                <w:rFonts w:ascii="Arial" w:hAnsi="Arial"/>
                <w:sz w:val="18"/>
              </w:rPr>
              <w:t>Long-term (24-36 months)</w:t>
            </w:r>
          </w:p>
        </w:tc>
        <w:tc>
          <w:tcPr>
            <w:tcW w:w="1505" w:type="dxa"/>
            <w:shd w:val="clear" w:color="auto" w:fill="F2F6FC"/>
          </w:tcPr>
          <w:p w14:paraId="41B6B162" w14:textId="77777777" w:rsidR="006E4579" w:rsidRDefault="00000000">
            <w:r>
              <w:rPr>
                <w:rFonts w:ascii="Arial" w:hAnsi="Arial"/>
                <w:sz w:val="18"/>
              </w:rPr>
              <w:t>RE100 commitment + PPA with renewable provider</w:t>
            </w:r>
          </w:p>
        </w:tc>
        <w:tc>
          <w:tcPr>
            <w:tcW w:w="1505" w:type="dxa"/>
            <w:shd w:val="clear" w:color="auto" w:fill="F2F6FC"/>
          </w:tcPr>
          <w:p w14:paraId="18BFCC2E" w14:textId="77777777" w:rsidR="006E4579" w:rsidRDefault="00000000">
            <w:r>
              <w:rPr>
                <w:rFonts w:ascii="Arial" w:hAnsi="Arial"/>
                <w:sz w:val="18"/>
              </w:rPr>
              <w:t>↓50-60% Scope 2 market-based</w:t>
            </w:r>
          </w:p>
        </w:tc>
        <w:tc>
          <w:tcPr>
            <w:tcW w:w="1505" w:type="dxa"/>
            <w:shd w:val="clear" w:color="auto" w:fill="F2F6FC"/>
          </w:tcPr>
          <w:p w14:paraId="1108B072" w14:textId="77777777" w:rsidR="006E4579" w:rsidRDefault="00000000">
            <w:r>
              <w:rPr>
                <w:rFonts w:ascii="Arial" w:hAnsi="Arial"/>
                <w:sz w:val="18"/>
              </w:rPr>
              <w:t>Q1 2026 - Q4 2027</w:t>
            </w:r>
          </w:p>
        </w:tc>
        <w:tc>
          <w:tcPr>
            <w:tcW w:w="1505" w:type="dxa"/>
            <w:shd w:val="clear" w:color="auto" w:fill="F2F6FC"/>
          </w:tcPr>
          <w:p w14:paraId="1565AD94" w14:textId="77777777" w:rsidR="006E4579" w:rsidRDefault="00000000">
            <w:r>
              <w:rPr>
                <w:rFonts w:ascii="Arial" w:hAnsi="Arial"/>
                <w:sz w:val="18"/>
              </w:rPr>
              <w:t>~20 billion (PPA premium over 5 years)</w:t>
            </w:r>
          </w:p>
        </w:tc>
        <w:tc>
          <w:tcPr>
            <w:tcW w:w="1505" w:type="dxa"/>
            <w:shd w:val="clear" w:color="auto" w:fill="F2F6FC"/>
          </w:tcPr>
          <w:p w14:paraId="78C0C806" w14:textId="77777777" w:rsidR="006E4579" w:rsidRDefault="00000000">
            <w:r>
              <w:rPr>
                <w:rFonts w:ascii="Arial" w:hAnsi="Arial"/>
                <w:sz w:val="18"/>
              </w:rPr>
              <w:t>DBS: 62% renewable, RE100 member since 2020</w:t>
            </w:r>
          </w:p>
        </w:tc>
      </w:tr>
      <w:tr w:rsidR="006E4579" w14:paraId="36E0E087" w14:textId="77777777">
        <w:trPr>
          <w:jc w:val="center"/>
        </w:trPr>
        <w:tc>
          <w:tcPr>
            <w:tcW w:w="1505" w:type="dxa"/>
          </w:tcPr>
          <w:p w14:paraId="5B84A996" w14:textId="77777777" w:rsidR="006E4579" w:rsidRDefault="00000000">
            <w:r>
              <w:rPr>
                <w:rFonts w:ascii="Arial" w:hAnsi="Arial"/>
                <w:sz w:val="18"/>
              </w:rPr>
              <w:t>Long-term (24-36 months)</w:t>
            </w:r>
          </w:p>
        </w:tc>
        <w:tc>
          <w:tcPr>
            <w:tcW w:w="1505" w:type="dxa"/>
          </w:tcPr>
          <w:p w14:paraId="0B6AB3DD" w14:textId="77777777" w:rsidR="006E4579" w:rsidRDefault="00000000">
            <w:r>
              <w:rPr>
                <w:rFonts w:ascii="Arial" w:hAnsi="Arial"/>
                <w:sz w:val="18"/>
              </w:rPr>
              <w:t>Science-Based Target (SBTi) submission</w:t>
            </w:r>
          </w:p>
        </w:tc>
        <w:tc>
          <w:tcPr>
            <w:tcW w:w="1505" w:type="dxa"/>
          </w:tcPr>
          <w:p w14:paraId="1782ECFF" w14:textId="77777777" w:rsidR="006E4579" w:rsidRDefault="00000000">
            <w:r>
              <w:rPr>
                <w:rFonts w:ascii="Arial" w:hAnsi="Arial"/>
                <w:sz w:val="18"/>
              </w:rPr>
              <w:t>Credible 1.5°C pathway for Scope 1, 2, 3</w:t>
            </w:r>
          </w:p>
        </w:tc>
        <w:tc>
          <w:tcPr>
            <w:tcW w:w="1505" w:type="dxa"/>
          </w:tcPr>
          <w:p w14:paraId="14CA9F99" w14:textId="77777777" w:rsidR="006E4579" w:rsidRDefault="00000000">
            <w:r>
              <w:rPr>
                <w:rFonts w:ascii="Arial" w:hAnsi="Arial"/>
                <w:sz w:val="18"/>
              </w:rPr>
              <w:t>Q3 2025 - Q2 2026</w:t>
            </w:r>
          </w:p>
        </w:tc>
        <w:tc>
          <w:tcPr>
            <w:tcW w:w="1505" w:type="dxa"/>
          </w:tcPr>
          <w:p w14:paraId="3C596375" w14:textId="77777777" w:rsidR="006E4579" w:rsidRDefault="00000000">
            <w:r>
              <w:rPr>
                <w:rFonts w:ascii="Arial" w:hAnsi="Arial"/>
                <w:sz w:val="18"/>
              </w:rPr>
              <w:t>~1.5 billion (consulting + systems)</w:t>
            </w:r>
          </w:p>
        </w:tc>
        <w:tc>
          <w:tcPr>
            <w:tcW w:w="1505" w:type="dxa"/>
          </w:tcPr>
          <w:p w14:paraId="4C496628" w14:textId="77777777" w:rsidR="006E4579" w:rsidRDefault="00000000">
            <w:r>
              <w:rPr>
                <w:rFonts w:ascii="Arial" w:hAnsi="Arial"/>
                <w:sz w:val="18"/>
              </w:rPr>
              <w:t>BRI: First Indonesian FI with SBTi commitment (2023)</w:t>
            </w:r>
          </w:p>
        </w:tc>
      </w:tr>
      <w:tr w:rsidR="006E4579" w14:paraId="2C615F59" w14:textId="77777777">
        <w:trPr>
          <w:jc w:val="center"/>
        </w:trPr>
        <w:tc>
          <w:tcPr>
            <w:tcW w:w="1505" w:type="dxa"/>
            <w:shd w:val="clear" w:color="auto" w:fill="F2F6FC"/>
          </w:tcPr>
          <w:p w14:paraId="6C126645" w14:textId="77777777" w:rsidR="006E4579" w:rsidRDefault="00000000">
            <w:r>
              <w:rPr>
                <w:rFonts w:ascii="Arial" w:hAnsi="Arial"/>
                <w:sz w:val="18"/>
              </w:rPr>
              <w:t>Long-term (24-36 months)</w:t>
            </w:r>
          </w:p>
        </w:tc>
        <w:tc>
          <w:tcPr>
            <w:tcW w:w="1505" w:type="dxa"/>
            <w:shd w:val="clear" w:color="auto" w:fill="F2F6FC"/>
          </w:tcPr>
          <w:p w14:paraId="18EA4CFF" w14:textId="77777777" w:rsidR="006E4579" w:rsidRDefault="00000000">
            <w:r>
              <w:rPr>
                <w:rFonts w:ascii="Arial" w:hAnsi="Arial"/>
                <w:sz w:val="18"/>
              </w:rPr>
              <w:t>Internal carbon price mechanism ($10-15/tCO₂e)</w:t>
            </w:r>
          </w:p>
        </w:tc>
        <w:tc>
          <w:tcPr>
            <w:tcW w:w="1505" w:type="dxa"/>
            <w:shd w:val="clear" w:color="auto" w:fill="F2F6FC"/>
          </w:tcPr>
          <w:p w14:paraId="6F9883B6" w14:textId="77777777" w:rsidR="006E4579" w:rsidRDefault="00000000">
            <w:r>
              <w:rPr>
                <w:rFonts w:ascii="Arial" w:hAnsi="Arial"/>
                <w:sz w:val="18"/>
              </w:rPr>
              <w:t>Incentivize low-carbon investments</w:t>
            </w:r>
          </w:p>
        </w:tc>
        <w:tc>
          <w:tcPr>
            <w:tcW w:w="1505" w:type="dxa"/>
            <w:shd w:val="clear" w:color="auto" w:fill="F2F6FC"/>
          </w:tcPr>
          <w:p w14:paraId="4901DC58" w14:textId="77777777" w:rsidR="006E4579" w:rsidRDefault="00000000">
            <w:r>
              <w:rPr>
                <w:rFonts w:ascii="Arial" w:hAnsi="Arial"/>
                <w:sz w:val="18"/>
              </w:rPr>
              <w:t>Q1 2027</w:t>
            </w:r>
          </w:p>
        </w:tc>
        <w:tc>
          <w:tcPr>
            <w:tcW w:w="1505" w:type="dxa"/>
            <w:shd w:val="clear" w:color="auto" w:fill="F2F6FC"/>
          </w:tcPr>
          <w:p w14:paraId="676F064A" w14:textId="77777777" w:rsidR="006E4579" w:rsidRDefault="00000000">
            <w:r>
              <w:rPr>
                <w:rFonts w:ascii="Arial" w:hAnsi="Arial"/>
                <w:sz w:val="18"/>
              </w:rPr>
              <w:t>Revenue-neutral (internal transfer)</w:t>
            </w:r>
          </w:p>
        </w:tc>
        <w:tc>
          <w:tcPr>
            <w:tcW w:w="1505" w:type="dxa"/>
            <w:shd w:val="clear" w:color="auto" w:fill="F2F6FC"/>
          </w:tcPr>
          <w:p w14:paraId="29513B6C" w14:textId="77777777" w:rsidR="006E4579" w:rsidRDefault="00000000">
            <w:r>
              <w:rPr>
                <w:rFonts w:ascii="Arial" w:hAnsi="Arial"/>
                <w:sz w:val="18"/>
              </w:rPr>
              <w:t>DBS: $15/tCO₂e internal price</w:t>
            </w:r>
          </w:p>
        </w:tc>
      </w:tr>
    </w:tbl>
    <w:p w14:paraId="2E93AD41" w14:textId="77777777" w:rsidR="006E4579" w:rsidRDefault="00000000">
      <w:r>
        <w:rPr>
          <w:rFonts w:ascii="Arial" w:hAnsi="Arial"/>
          <w:i/>
          <w:sz w:val="16"/>
        </w:rPr>
        <w:t>Source: Source: Peer benchmarks from BRI Sustainability Report 2023, DBS Sustainability Report 2023, Bank Mandiri Sustainability Report 2023. Expected impacts based on peer-reported outcomes. Investment estimates are order-of-magnitude approximations for Indonesian context.</w:t>
      </w:r>
    </w:p>
    <w:p w14:paraId="726A5ADF" w14:textId="77777777" w:rsidR="006E4579" w:rsidRDefault="006E4579"/>
    <w:p w14:paraId="752D090E" w14:textId="77777777" w:rsidR="006E4579" w:rsidRDefault="006E4579"/>
    <w:p w14:paraId="5BC15B97" w14:textId="77777777" w:rsidR="006E4579" w:rsidRDefault="00000000">
      <w:r>
        <w:rPr>
          <w:noProof/>
        </w:rPr>
        <w:lastRenderedPageBreak/>
        <w:drawing>
          <wp:inline distT="0" distB="0" distL="0" distR="0" wp14:anchorId="1ABB3B62" wp14:editId="1BE1E347">
            <wp:extent cx="5029200" cy="30226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29200" cy="3022652"/>
                    </a:xfrm>
                    <a:prstGeom prst="rect">
                      <a:avLst/>
                    </a:prstGeom>
                  </pic:spPr>
                </pic:pic>
              </a:graphicData>
            </a:graphic>
          </wp:inline>
        </w:drawing>
      </w:r>
    </w:p>
    <w:p w14:paraId="23E3934A" w14:textId="77777777" w:rsidR="006E4579" w:rsidRDefault="00000000">
      <w:pPr>
        <w:jc w:val="center"/>
      </w:pPr>
      <w:r>
        <w:rPr>
          <w:i/>
          <w:color w:val="666666"/>
          <w:sz w:val="18"/>
        </w:rPr>
        <w:t>Figure 18: Scope 1 Emission Sources (2024)</w:t>
      </w:r>
    </w:p>
    <w:p w14:paraId="6C9632C8" w14:textId="77777777" w:rsidR="006E4579" w:rsidRDefault="00000000">
      <w:pPr>
        <w:jc w:val="center"/>
      </w:pPr>
      <w:r>
        <w:rPr>
          <w:i/>
          <w:color w:val="757575"/>
          <w:sz w:val="18"/>
        </w:rPr>
        <w:t>Diesel dominates at 64.7% — primary lever for reduction via solar + battery systems and EV fleet transition</w:t>
      </w:r>
    </w:p>
    <w:p w14:paraId="592705A3" w14:textId="77777777" w:rsidR="006E4579" w:rsidRDefault="006E4579"/>
    <w:p w14:paraId="4910161B" w14:textId="77777777" w:rsidR="006E4579" w:rsidRDefault="00000000">
      <w:r>
        <w:rPr>
          <w:noProof/>
        </w:rPr>
        <w:drawing>
          <wp:inline distT="0" distB="0" distL="0" distR="0" wp14:anchorId="43D8CD42" wp14:editId="6F47307B">
            <wp:extent cx="5029200" cy="333205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29200" cy="3332057"/>
                    </a:xfrm>
                    <a:prstGeom prst="rect">
                      <a:avLst/>
                    </a:prstGeom>
                  </pic:spPr>
                </pic:pic>
              </a:graphicData>
            </a:graphic>
          </wp:inline>
        </w:drawing>
      </w:r>
    </w:p>
    <w:p w14:paraId="092CE620" w14:textId="77777777" w:rsidR="006E4579" w:rsidRDefault="00000000">
      <w:pPr>
        <w:jc w:val="center"/>
      </w:pPr>
      <w:r>
        <w:rPr>
          <w:i/>
          <w:color w:val="666666"/>
          <w:sz w:val="18"/>
        </w:rPr>
        <w:t>Figure 19: Year-over-Year Emission Changes by Scope (2023 vs. 2024)</w:t>
      </w:r>
    </w:p>
    <w:p w14:paraId="1A8504B6" w14:textId="77777777" w:rsidR="006E4579" w:rsidRDefault="00000000">
      <w:pPr>
        <w:jc w:val="center"/>
      </w:pPr>
      <w:r>
        <w:rPr>
          <w:i/>
          <w:color w:val="757575"/>
          <w:sz w:val="18"/>
        </w:rPr>
        <w:t>Scope 1 increased 2.36% while Scope 2 remained flat — contrasts with peer reductions of 3-12%</w:t>
      </w:r>
    </w:p>
    <w:p w14:paraId="7C127E99" w14:textId="77777777" w:rsidR="006E4579" w:rsidRDefault="006E4579"/>
    <w:p w14:paraId="6C8FB488" w14:textId="77777777" w:rsidR="006E4579" w:rsidRDefault="00000000">
      <w:r>
        <w:rPr>
          <w:noProof/>
        </w:rPr>
        <w:lastRenderedPageBreak/>
        <w:drawing>
          <wp:inline distT="0" distB="0" distL="0" distR="0" wp14:anchorId="191BDC91" wp14:editId="5CE96025">
            <wp:extent cx="5029200" cy="3141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29200" cy="3141250"/>
                    </a:xfrm>
                    <a:prstGeom prst="rect">
                      <a:avLst/>
                    </a:prstGeom>
                  </pic:spPr>
                </pic:pic>
              </a:graphicData>
            </a:graphic>
          </wp:inline>
        </w:drawing>
      </w:r>
    </w:p>
    <w:p w14:paraId="600DB679" w14:textId="77777777" w:rsidR="006E4579" w:rsidRDefault="00000000">
      <w:pPr>
        <w:jc w:val="center"/>
      </w:pPr>
      <w:r>
        <w:rPr>
          <w:i/>
          <w:color w:val="666666"/>
          <w:sz w:val="18"/>
        </w:rPr>
        <w:t>Figure 20: Renewable Energy Procurement — Peer Comparison (2023-2024)</w:t>
      </w:r>
    </w:p>
    <w:p w14:paraId="091E1D8C" w14:textId="77777777" w:rsidR="006E4579" w:rsidRDefault="00000000">
      <w:pPr>
        <w:jc w:val="center"/>
      </w:pPr>
      <w:r>
        <w:rPr>
          <w:i/>
          <w:color w:val="757575"/>
          <w:sz w:val="18"/>
        </w:rPr>
        <w:t>Institution at 0% renewable vs. DBS 62% — largest gap in decarbonization strategy</w:t>
      </w:r>
    </w:p>
    <w:p w14:paraId="63603250" w14:textId="77777777" w:rsidR="006E4579" w:rsidRDefault="006E4579"/>
    <w:p w14:paraId="7C771893" w14:textId="77777777" w:rsidR="006E4579" w:rsidRDefault="00000000">
      <w:r>
        <w:rPr>
          <w:noProof/>
        </w:rPr>
        <w:drawing>
          <wp:inline distT="0" distB="0" distL="0" distR="0" wp14:anchorId="001A517F" wp14:editId="0CB537C0">
            <wp:extent cx="5029200" cy="33546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029200" cy="3354699"/>
                    </a:xfrm>
                    <a:prstGeom prst="rect">
                      <a:avLst/>
                    </a:prstGeom>
                  </pic:spPr>
                </pic:pic>
              </a:graphicData>
            </a:graphic>
          </wp:inline>
        </w:drawing>
      </w:r>
    </w:p>
    <w:p w14:paraId="7FF6C6B8" w14:textId="77777777" w:rsidR="006E4579" w:rsidRDefault="00000000">
      <w:pPr>
        <w:jc w:val="center"/>
      </w:pPr>
      <w:r>
        <w:rPr>
          <w:i/>
          <w:color w:val="666666"/>
          <w:sz w:val="18"/>
        </w:rPr>
        <w:t>Figure 21: Projected Emission Reduction Roadmap (2024-2027)</w:t>
      </w:r>
    </w:p>
    <w:p w14:paraId="393282D8" w14:textId="77777777" w:rsidR="006E4579" w:rsidRDefault="00000000">
      <w:pPr>
        <w:jc w:val="center"/>
      </w:pPr>
      <w:r>
        <w:rPr>
          <w:i/>
          <w:color w:val="757575"/>
          <w:sz w:val="18"/>
        </w:rPr>
        <w:t>Implementing all priority actions could achieve 40-50% reduction by 2027 — aligning with peer trajectories</w:t>
      </w:r>
    </w:p>
    <w:tbl>
      <w:tblPr>
        <w:tblW w:w="0" w:type="auto"/>
        <w:jc w:val="center"/>
        <w:tblLook w:val="04A0" w:firstRow="1" w:lastRow="0" w:firstColumn="1" w:lastColumn="0" w:noHBand="0" w:noVBand="1"/>
      </w:tblPr>
      <w:tblGrid>
        <w:gridCol w:w="9029"/>
      </w:tblGrid>
      <w:tr w:rsidR="006E4579" w14:paraId="5EA14BDD" w14:textId="77777777">
        <w:trPr>
          <w:jc w:val="center"/>
        </w:trPr>
        <w:tc>
          <w:tcPr>
            <w:tcW w:w="9029" w:type="dxa"/>
            <w:shd w:val="clear" w:color="auto" w:fill="F2F6FA"/>
          </w:tcPr>
          <w:p w14:paraId="61D27800" w14:textId="77777777" w:rsidR="006E4579" w:rsidRDefault="00000000">
            <w:r>
              <w:rPr>
                <w:b/>
                <w:color w:val="1B3A6B"/>
                <w:sz w:val="18"/>
              </w:rPr>
              <w:t>📊 DIAGNOSTIC ANALYSIS</w:t>
            </w:r>
          </w:p>
          <w:p w14:paraId="6252888A" w14:textId="77777777" w:rsidR="006E4579" w:rsidRDefault="00000000">
            <w:r>
              <w:rPr>
                <w:sz w:val="20"/>
              </w:rPr>
              <w:t xml:space="preserve">The institution's emission profile reveals three structural weaknesses: (1) diesel dependency for </w:t>
            </w:r>
            <w:r>
              <w:rPr>
                <w:sz w:val="20"/>
              </w:rPr>
              <w:lastRenderedPageBreak/>
              <w:t>backup power and fleet operations, indicating inadequate renewable energy infrastructure and lack of EV transition planning; (2) zero renewable energy procurement despite market-based Scope 2 reporting, suggesting no PPA or REC strategy; and (3) absence of formal reduction targets or SBTi commitment, leaving the institution without a credible decarbonization roadmap. These gaps are particularly concerning given that Indonesian banking peers (BRI, BCA, DBS) have implemented comprehensive reduction programs over the past 2-3 years.</w:t>
            </w:r>
          </w:p>
          <w:p w14:paraId="134D0F98" w14:textId="77777777" w:rsidR="006E4579" w:rsidRDefault="00000000">
            <w:r>
              <w:rPr>
                <w:b/>
                <w:sz w:val="20"/>
              </w:rPr>
              <w:t>Root Causes:</w:t>
            </w:r>
          </w:p>
          <w:p w14:paraId="0E5BFE8F" w14:textId="77777777" w:rsidR="006E4579" w:rsidRDefault="00000000">
            <w:r>
              <w:rPr>
                <w:sz w:val="18"/>
              </w:rPr>
              <w:t>• Over-reliance on diesel backup generators due to grid instability or lack of solar + battery alternatives (2203.2044 tCO₂e diesel emissions, +3.66% YoY)</w:t>
            </w:r>
          </w:p>
          <w:p w14:paraId="7A415A3C" w14:textId="77777777" w:rsidR="006E4579" w:rsidRDefault="00000000">
            <w:r>
              <w:rPr>
                <w:sz w:val="18"/>
              </w:rPr>
              <w:t>• No renewable energy procurement strategy: market-based Scope 2 (44612.518 tCO₂e) nearly identical to location-based (44613.876 tCO₂e), indicating zero RECs or PPAs</w:t>
            </w:r>
          </w:p>
          <w:p w14:paraId="382FA908" w14:textId="77777777" w:rsidR="006E4579" w:rsidRDefault="00000000">
            <w:r>
              <w:rPr>
                <w:sz w:val="18"/>
              </w:rPr>
              <w:t>• Absence of structured energy efficiency program: no LED retrofits, auto-shutdown systems, or green building certifications disclosed</w:t>
            </w:r>
          </w:p>
          <w:p w14:paraId="17746DDA" w14:textId="77777777" w:rsidR="006E4579" w:rsidRDefault="00000000">
            <w:r>
              <w:rPr>
                <w:sz w:val="18"/>
              </w:rPr>
              <w:t>• No science-based targets or net-zero commitment: institution lacks formal 2030 interim targets and long-term decarbonization pathway, unlike peers (BRI SBTi 2023, DBS net-zero 2050)</w:t>
            </w:r>
          </w:p>
          <w:p w14:paraId="68A704C8" w14:textId="77777777" w:rsidR="006E4579" w:rsidRDefault="00000000">
            <w:r>
              <w:rPr>
                <w:b/>
                <w:sz w:val="20"/>
              </w:rPr>
              <w:t>Risk Implications:</w:t>
            </w:r>
          </w:p>
          <w:p w14:paraId="6A6F5C86" w14:textId="77777777" w:rsidR="006E4579" w:rsidRDefault="00000000">
            <w:r>
              <w:rPr>
                <w:sz w:val="18"/>
              </w:rPr>
              <w:t>• Regulatory risk: OJK POJK 51/2017 and SEOJK 16/2021 require financial institutions to manage climate risks and align with national sustainable finance targets. Lack of reduction targets may trigger supervisory scrutiny.</w:t>
            </w:r>
          </w:p>
          <w:p w14:paraId="4D3D61C9" w14:textId="77777777" w:rsidR="006E4579" w:rsidRDefault="00000000">
            <w:r>
              <w:rPr>
                <w:sz w:val="18"/>
              </w:rPr>
              <w:t>• Reputational risk: Investors increasingly screen for SBTi-validated targets and RE100 membership. The institution's absence from these frameworks may result in exclusion from ESG-focused funds and lower MSCI/Sustainalytics ratings.</w:t>
            </w:r>
          </w:p>
          <w:p w14:paraId="46DD4572" w14:textId="77777777" w:rsidR="006E4579" w:rsidRDefault="00000000">
            <w:r>
              <w:rPr>
                <w:sz w:val="18"/>
              </w:rPr>
              <w:t>• Financial risk: Diesel price volatility and potential carbon pricing mechanisms (Indonesia considering carbon tax) will increase operational costs without mitigation measures. Peers with solar + EV infrastructure have locked in lower energy costs.</w:t>
            </w:r>
          </w:p>
          <w:p w14:paraId="31BDEFB2" w14:textId="77777777" w:rsidR="006E4579" w:rsidRDefault="00000000">
            <w:r>
              <w:rPr>
                <w:sz w:val="18"/>
              </w:rPr>
              <w:t>• Competitive disadvantage: Peer banks (BRI, DBS, BCA) are capturing green finance market share through credible climate credentials. The institution's lack of reduction initiatives may limit access to green bond issuance and sustainable finance partnerships.</w:t>
            </w:r>
          </w:p>
        </w:tc>
      </w:tr>
    </w:tbl>
    <w:p w14:paraId="6CE85312" w14:textId="77777777" w:rsidR="006E4579" w:rsidRDefault="006E4579"/>
    <w:p w14:paraId="27C7C80F" w14:textId="77777777" w:rsidR="006E4579" w:rsidRDefault="006E4579"/>
    <w:p w14:paraId="3652BE4B" w14:textId="77777777" w:rsidR="006E4579" w:rsidRDefault="00000000">
      <w:r>
        <w:rPr>
          <w:b/>
          <w:color w:val="2E7D32"/>
          <w:sz w:val="24"/>
        </w:rPr>
        <w:t>⚡ Priority Actions</w:t>
      </w:r>
    </w:p>
    <w:p w14:paraId="1F5B0ABB" w14:textId="77777777" w:rsidR="006E4579" w:rsidRDefault="00000000">
      <w:r>
        <w:rPr>
          <w:b/>
        </w:rPr>
        <w:t>🔴 1. Install solar panel + battery storage systems at top 5 diesel-consuming facilities to reduce backup generator reliance by 30-40%</w:t>
      </w:r>
      <w:r>
        <w:t xml:space="preserve"> (Q4 2025 - Q2 2026)</w:t>
      </w:r>
    </w:p>
    <w:p w14:paraId="02B7665A" w14:textId="77777777" w:rsidR="006E4579" w:rsidRDefault="00000000">
      <w:pPr>
        <w:spacing w:after="160"/>
      </w:pPr>
      <w:r>
        <w:t xml:space="preserve">    → Expected: ↓600-800 tCO₂e Scope 1 emissions annually; improved energy resilience; reduced diesel cost exposure</w:t>
      </w:r>
    </w:p>
    <w:p w14:paraId="50DE49EF" w14:textId="77777777" w:rsidR="006E4579" w:rsidRDefault="00000000">
      <w:pPr>
        <w:spacing w:after="160"/>
      </w:pPr>
      <w:r>
        <w:rPr>
          <w:rFonts w:ascii="Arial" w:hAnsi="Arial"/>
          <w:i/>
          <w:color w:val="646464"/>
          <w:sz w:val="18"/>
        </w:rPr>
        <w:t xml:space="preserve">    → Ref: BRI Green Network solar installations; BRILiaN Tower achieved 19.49% electricity savings</w:t>
      </w:r>
    </w:p>
    <w:p w14:paraId="7AC73B5A" w14:textId="77777777" w:rsidR="006E4579" w:rsidRDefault="00000000">
      <w:r>
        <w:rPr>
          <w:b/>
        </w:rPr>
        <w:t>🔴 2. Submit SBTi commitment letter and establish science-based targets: 50% Scope 1+2 reduction by 2030 vs. 2024 baseline, net-zero by 2050</w:t>
      </w:r>
      <w:r>
        <w:t xml:space="preserve"> (Q3 2025 - Q1 2026)</w:t>
      </w:r>
    </w:p>
    <w:p w14:paraId="483CE142" w14:textId="77777777" w:rsidR="006E4579" w:rsidRDefault="00000000">
      <w:pPr>
        <w:spacing w:after="160"/>
      </w:pPr>
      <w:r>
        <w:t xml:space="preserve">    → Expected: Credible climate governance framework; improved ESG ratings; alignment with OJK SFAP 2030 targets</w:t>
      </w:r>
    </w:p>
    <w:p w14:paraId="629A7AAA" w14:textId="77777777" w:rsidR="006E4579" w:rsidRDefault="00000000">
      <w:pPr>
        <w:spacing w:after="160"/>
      </w:pPr>
      <w:r>
        <w:rPr>
          <w:rFonts w:ascii="Arial" w:hAnsi="Arial"/>
          <w:i/>
          <w:color w:val="646464"/>
          <w:sz w:val="18"/>
        </w:rPr>
        <w:lastRenderedPageBreak/>
        <w:t xml:space="preserve">    → Ref: BRI — First Indonesian FI with SBTi commitment (2023); DBS Group — Net-zero 2050 with interim sectoral targets</w:t>
      </w:r>
    </w:p>
    <w:p w14:paraId="5B60B5DB" w14:textId="77777777" w:rsidR="006E4579" w:rsidRDefault="00000000">
      <w:r>
        <w:rPr>
          <w:b/>
        </w:rPr>
        <w:t>🔴 3. Execute renewable energy PPA for 30% of electricity consumption by 2027; pursue RE100 membership</w:t>
      </w:r>
      <w:r>
        <w:t xml:space="preserve"> (Q2 2025 - Q1 2026 (PPA execution))</w:t>
      </w:r>
    </w:p>
    <w:p w14:paraId="282D7431" w14:textId="77777777" w:rsidR="006E4579" w:rsidRDefault="00000000">
      <w:pPr>
        <w:spacing w:after="160"/>
      </w:pPr>
      <w:r>
        <w:t xml:space="preserve">    → Expected: ↓13,000-15,000 tCO₂e Scope 2 market-based emissions; enhanced corporate leadership positioning</w:t>
      </w:r>
    </w:p>
    <w:p w14:paraId="72CF4946" w14:textId="77777777" w:rsidR="006E4579" w:rsidRDefault="00000000">
      <w:pPr>
        <w:spacing w:after="160"/>
      </w:pPr>
      <w:r>
        <w:rPr>
          <w:rFonts w:ascii="Arial" w:hAnsi="Arial"/>
          <w:i/>
          <w:color w:val="646464"/>
          <w:sz w:val="18"/>
        </w:rPr>
        <w:t xml:space="preserve">    → Ref: DBS Group — 62% renewable energy, RE100 member since 2020, 12% YoY emission reduction</w:t>
      </w:r>
    </w:p>
    <w:p w14:paraId="153AFB97" w14:textId="77777777" w:rsidR="006E4579" w:rsidRDefault="00000000">
      <w:r>
        <w:rPr>
          <w:b/>
        </w:rPr>
        <w:t>🔴 4. Launch EV fleet pilot (50 vehicles) with charging infrastructure at headquarters and regional hubs</w:t>
      </w:r>
      <w:r>
        <w:t xml:space="preserve"> (Q4 2025 - Q4 2026)</w:t>
      </w:r>
    </w:p>
    <w:p w14:paraId="12D29EC2" w14:textId="77777777" w:rsidR="006E4579" w:rsidRDefault="00000000">
      <w:pPr>
        <w:spacing w:after="160"/>
      </w:pPr>
      <w:r>
        <w:t xml:space="preserve">    → Expected: ↓25-30% transport-related Scope 1 emissions (~200-250 tCO₂e annually)</w:t>
      </w:r>
    </w:p>
    <w:p w14:paraId="35213638" w14:textId="77777777" w:rsidR="006E4579" w:rsidRDefault="00000000">
      <w:pPr>
        <w:spacing w:after="160"/>
      </w:pPr>
      <w:r>
        <w:rPr>
          <w:rFonts w:ascii="Arial" w:hAnsi="Arial"/>
          <w:i/>
          <w:color w:val="646464"/>
          <w:sz w:val="18"/>
        </w:rPr>
        <w:t xml:space="preserve">    → Ref: BRI — 118 EV cars + 150 motorcycles deployed; measurable Scope 1 reductions</w:t>
      </w:r>
    </w:p>
    <w:p w14:paraId="5629CF98" w14:textId="77777777" w:rsidR="006E4579" w:rsidRDefault="00000000">
      <w:r>
        <w:rPr>
          <w:b/>
        </w:rPr>
        <w:t>🟡 5. Implement LED retrofit + auto-shutdown systems (Kaseya-style) at headquarters and top 20 branches</w:t>
      </w:r>
      <w:r>
        <w:t xml:space="preserve"> (Q3 2025 - Q4 2025)</w:t>
      </w:r>
    </w:p>
    <w:p w14:paraId="1D0DDE7A" w14:textId="77777777" w:rsidR="006E4579" w:rsidRDefault="00000000">
      <w:pPr>
        <w:spacing w:after="160"/>
      </w:pPr>
      <w:r>
        <w:t xml:space="preserve">    → Expected: ↓8-12% electricity consumption (~3,500-5,000 tCO₂e Scope 2 reduction)</w:t>
      </w:r>
    </w:p>
    <w:p w14:paraId="381CA325" w14:textId="77777777" w:rsidR="006E4579" w:rsidRDefault="00000000">
      <w:pPr>
        <w:spacing w:after="160"/>
      </w:pPr>
      <w:r>
        <w:rPr>
          <w:rFonts w:ascii="Arial" w:hAnsi="Arial"/>
          <w:i/>
          <w:color w:val="646464"/>
          <w:sz w:val="18"/>
        </w:rPr>
        <w:t xml:space="preserve">    → Ref: BRI Kaseya auto-shutdown program; BRILiaN Tower 19.49% electricity savings</w:t>
      </w:r>
    </w:p>
    <w:p w14:paraId="3DAB9E74" w14:textId="77777777" w:rsidR="006E4579" w:rsidRDefault="00000000">
      <w:r>
        <w:rPr>
          <w:b/>
        </w:rPr>
        <w:t>🟡 6. Establish 2024 as base year for emission reduction tracking; obtain limited assurance for 2025 Scope 1+2 data</w:t>
      </w:r>
      <w:r>
        <w:t xml:space="preserve"> (Q2 2025 (base year designation); Q1 2026 (assurance))</w:t>
      </w:r>
    </w:p>
    <w:p w14:paraId="7BEAA413" w14:textId="77777777" w:rsidR="006E4579" w:rsidRDefault="00000000">
      <w:pPr>
        <w:spacing w:after="160"/>
      </w:pPr>
      <w:r>
        <w:t xml:space="preserve">    → Expected: Enhanced data credibility; foundation for SBTi target validation; improved ESG ratings</w:t>
      </w:r>
    </w:p>
    <w:p w14:paraId="73A5683B" w14:textId="77777777" w:rsidR="006E4579" w:rsidRDefault="00000000">
      <w:pPr>
        <w:spacing w:after="160"/>
      </w:pPr>
      <w:r>
        <w:rPr>
          <w:rFonts w:ascii="Arial" w:hAnsi="Arial"/>
          <w:i/>
          <w:color w:val="646464"/>
          <w:sz w:val="18"/>
        </w:rPr>
        <w:t xml:space="preserve">    → Ref: DBS Group — Reasonable assurance for Scope 1, 2, 3; BRI — Limited assurance for operational emissions</w:t>
      </w:r>
    </w:p>
    <w:p w14:paraId="2B9C9F0A" w14:textId="77777777" w:rsidR="006E4579" w:rsidRDefault="006E4579"/>
    <w:p w14:paraId="328E02FF" w14:textId="77777777" w:rsidR="006E4579" w:rsidRDefault="00000000">
      <w:r>
        <w:rPr>
          <w:i/>
          <w:color w:val="3D6094"/>
          <w:sz w:val="18"/>
        </w:rPr>
        <w:t>Framework references: GRI 305-5a — GHG emissions reduced as a direct result of reduction initiatives; GRI 305-5b — Gases included in the calculation; GRI 305-5c — Base year or baseline; GRI 305-5d — Scopes in which reductions took place; IFRS S2 Paragraph 33 — Quantitative and qualitative climate-related targets; IFRS S2 Paragraph 34 — Information about climate-related targets; IFRS S2 Paragraph 36 — Information about the entity's approach to setting and reviewing targets; ESRS E1-4 DR E1-4 — GHG emission reduction targets; ESRS E1 DR E1-4 — Decarbonization levers and pathways; OJK POJK 51/2017 — Sustainable Finance Implementation; OJK SEOJK 16/2021 — Climate Risk Management for Financial Institutions</w:t>
      </w:r>
    </w:p>
    <w:p w14:paraId="0D15CB9A" w14:textId="77777777" w:rsidR="006E4579" w:rsidRDefault="006E4579">
      <w:pPr>
        <w:pBdr>
          <w:bottom w:val="single" w:sz="6" w:space="1" w:color="CCCCCC"/>
        </w:pBdr>
        <w:spacing w:after="80"/>
      </w:pPr>
    </w:p>
    <w:p w14:paraId="18309A0E" w14:textId="77777777" w:rsidR="006E4579" w:rsidRDefault="00000000">
      <w:pPr>
        <w:spacing w:after="160"/>
      </w:pPr>
      <w:r>
        <w:rPr>
          <w:rFonts w:ascii="Arial" w:hAnsi="Arial"/>
          <w:i/>
          <w:color w:val="646464"/>
          <w:sz w:val="18"/>
        </w:rPr>
        <w:t>These figures have not been subject to external assurance for the current reporting period.</w:t>
      </w:r>
    </w:p>
    <w:p w14:paraId="1B92CD06" w14:textId="77777777" w:rsidR="006E4579" w:rsidRDefault="00000000">
      <w:pPr>
        <w:spacing w:after="160"/>
      </w:pPr>
      <w:r>
        <w:rPr>
          <w:rFonts w:ascii="Arial" w:hAnsi="Arial"/>
          <w:i/>
          <w:color w:val="646464"/>
          <w:sz w:val="18"/>
        </w:rPr>
        <w:t>Year-over-year percentage changes are calculated using restated 2023 baseline figures with consistent organizational boundaries and emission factors.</w:t>
      </w:r>
    </w:p>
    <w:p w14:paraId="69D03306" w14:textId="77777777" w:rsidR="006E4579" w:rsidRDefault="00000000">
      <w:pPr>
        <w:spacing w:after="160"/>
      </w:pPr>
      <w:r>
        <w:rPr>
          <w:rFonts w:ascii="Arial" w:hAnsi="Arial"/>
          <w:i/>
          <w:color w:val="646464"/>
          <w:sz w:val="18"/>
        </w:rPr>
        <w:t>Scope 1 emission factors: Diesel 2.571 kgCO₂e/liter, Natural Gas 56.1 kgCO₂e/GJ (Indonesia-specific factors).</w:t>
      </w:r>
    </w:p>
    <w:p w14:paraId="734250D5" w14:textId="77777777" w:rsidR="006E4579" w:rsidRDefault="00000000">
      <w:pPr>
        <w:spacing w:after="160"/>
      </w:pPr>
      <w:r>
        <w:rPr>
          <w:rFonts w:ascii="Arial" w:hAnsi="Arial"/>
          <w:i/>
          <w:color w:val="646464"/>
          <w:sz w:val="18"/>
        </w:rPr>
        <w:t>Scope 2 location-based method uses PLN grid emission factor of 0.876 tCO₂e/MWh for 2024.</w:t>
      </w:r>
    </w:p>
    <w:p w14:paraId="5223EB8C" w14:textId="77777777" w:rsidR="006E4579" w:rsidRDefault="00000000">
      <w:pPr>
        <w:spacing w:after="160"/>
      </w:pPr>
      <w:r>
        <w:rPr>
          <w:rFonts w:ascii="Arial" w:hAnsi="Arial"/>
          <w:i/>
          <w:color w:val="646464"/>
          <w:sz w:val="18"/>
        </w:rPr>
        <w:t>Market-based Scope 2 emissions (44612.518 tCO₂e) are nearly identical to location-based (44613.876 tCO₂e), indicating negligible renewable energy certificate procurement or power purchase agreements.</w:t>
      </w:r>
    </w:p>
    <w:p w14:paraId="4710308D" w14:textId="77777777" w:rsidR="006E4579" w:rsidRDefault="00000000">
      <w:pPr>
        <w:spacing w:after="160"/>
      </w:pPr>
      <w:r>
        <w:rPr>
          <w:rFonts w:ascii="Arial" w:hAnsi="Arial"/>
          <w:i/>
          <w:color w:val="646464"/>
          <w:sz w:val="18"/>
        </w:rPr>
        <w:t>The institution has not established a base year for long-term emission reduction target tracking, as required by GRI 305-5c and IFRS S2 Paragraph 34.</w:t>
      </w:r>
    </w:p>
    <w:p w14:paraId="53237121" w14:textId="77777777" w:rsidR="006E4579" w:rsidRDefault="00000000">
      <w:pPr>
        <w:spacing w:after="160"/>
      </w:pPr>
      <w:r>
        <w:rPr>
          <w:rFonts w:ascii="Arial" w:hAnsi="Arial"/>
          <w:i/>
          <w:color w:val="646464"/>
          <w:sz w:val="18"/>
        </w:rPr>
        <w:lastRenderedPageBreak/>
        <w:t>Peer benchmark data sourced from publicly available sustainability reports: BRI (2023), BCA (2024), DBS Group (2023), Bank Mandiri (2023).</w:t>
      </w:r>
    </w:p>
    <w:p w14:paraId="11B7EC03" w14:textId="77777777" w:rsidR="006E4579" w:rsidRDefault="00000000">
      <w:pPr>
        <w:spacing w:after="160"/>
      </w:pPr>
      <w:r>
        <w:rPr>
          <w:rFonts w:ascii="Arial" w:hAnsi="Arial"/>
          <w:i/>
          <w:color w:val="646464"/>
          <w:sz w:val="18"/>
        </w:rPr>
        <w:t>Expected impact ranges for recommended initiatives are based on peer-reported outcomes and may vary depending on facility characteristics and implementation quality.</w:t>
      </w:r>
    </w:p>
    <w:p w14:paraId="57E5ED94" w14:textId="77777777" w:rsidR="006E4579" w:rsidRDefault="00000000">
      <w:r>
        <w:br w:type="page"/>
      </w:r>
    </w:p>
    <w:p w14:paraId="2AD83357" w14:textId="77777777" w:rsidR="006E4579" w:rsidRDefault="00000000">
      <w:pPr>
        <w:pStyle w:val="Heading1"/>
        <w:spacing w:after="240"/>
      </w:pPr>
      <w:r>
        <w:rPr>
          <w:rFonts w:ascii="Arial" w:hAnsi="Arial"/>
          <w:color w:val="1B3A6B"/>
          <w:sz w:val="36"/>
        </w:rPr>
        <w:lastRenderedPageBreak/>
        <w:t>Social Performance</w:t>
      </w:r>
    </w:p>
    <w:p w14:paraId="43364BA6" w14:textId="77777777" w:rsidR="006E4579" w:rsidRDefault="00000000">
      <w:pPr>
        <w:pStyle w:val="Heading2"/>
        <w:spacing w:before="360" w:after="160"/>
      </w:pPr>
      <w:r>
        <w:rPr>
          <w:rFonts w:ascii="Arial" w:hAnsi="Arial"/>
          <w:color w:val="3D6094"/>
          <w:sz w:val="28"/>
        </w:rPr>
        <w:t>2.1 Workforce &amp; Human Capital</w:t>
      </w:r>
    </w:p>
    <w:tbl>
      <w:tblPr>
        <w:tblW w:w="0" w:type="auto"/>
        <w:jc w:val="center"/>
        <w:tblLook w:val="04A0" w:firstRow="1" w:lastRow="0" w:firstColumn="1" w:lastColumn="0" w:noHBand="0" w:noVBand="1"/>
      </w:tblPr>
      <w:tblGrid>
        <w:gridCol w:w="2257"/>
        <w:gridCol w:w="2257"/>
        <w:gridCol w:w="2257"/>
        <w:gridCol w:w="2257"/>
      </w:tblGrid>
      <w:tr w:rsidR="006E4579" w14:paraId="1C36CE00" w14:textId="77777777">
        <w:trPr>
          <w:jc w:val="center"/>
        </w:trPr>
        <w:tc>
          <w:tcPr>
            <w:tcW w:w="2257" w:type="dxa"/>
            <w:shd w:val="clear" w:color="auto" w:fill="F2F6FA"/>
          </w:tcPr>
          <w:p w14:paraId="1500FE3E" w14:textId="77777777" w:rsidR="006E4579" w:rsidRDefault="00000000">
            <w:pPr>
              <w:jc w:val="center"/>
            </w:pPr>
            <w:r>
              <w:rPr>
                <w:b/>
                <w:color w:val="1B3A6B"/>
                <w:sz w:val="36"/>
              </w:rPr>
              <w:t>49.3</w:t>
            </w:r>
            <w:r>
              <w:rPr>
                <w:color w:val="757575"/>
                <w:sz w:val="18"/>
              </w:rPr>
              <w:t xml:space="preserve"> hours</w:t>
            </w:r>
            <w:r>
              <w:rPr>
                <w:b/>
                <w:color w:val="2E7D32"/>
                <w:sz w:val="20"/>
              </w:rPr>
              <w:br/>
              <w:t>-23.14%</w:t>
            </w:r>
          </w:p>
        </w:tc>
        <w:tc>
          <w:tcPr>
            <w:tcW w:w="2257" w:type="dxa"/>
            <w:shd w:val="clear" w:color="auto" w:fill="F2F6FA"/>
          </w:tcPr>
          <w:p w14:paraId="62264951" w14:textId="77777777" w:rsidR="006E4579" w:rsidRDefault="00000000">
            <w:pPr>
              <w:jc w:val="center"/>
            </w:pPr>
            <w:r>
              <w:rPr>
                <w:b/>
                <w:color w:val="1B3A6B"/>
                <w:sz w:val="36"/>
              </w:rPr>
              <w:t>8.45</w:t>
            </w:r>
            <w:r>
              <w:rPr>
                <w:color w:val="757575"/>
                <w:sz w:val="18"/>
              </w:rPr>
              <w:t xml:space="preserve"> %</w:t>
            </w:r>
            <w:r>
              <w:rPr>
                <w:b/>
                <w:color w:val="2E7D32"/>
                <w:sz w:val="20"/>
              </w:rPr>
              <w:br/>
              <w:t>-40.66% (positive)</w:t>
            </w:r>
          </w:p>
        </w:tc>
        <w:tc>
          <w:tcPr>
            <w:tcW w:w="2257" w:type="dxa"/>
            <w:shd w:val="clear" w:color="auto" w:fill="F2F6FA"/>
          </w:tcPr>
          <w:p w14:paraId="71D79C7D" w14:textId="77777777" w:rsidR="006E4579" w:rsidRDefault="00000000">
            <w:pPr>
              <w:jc w:val="center"/>
            </w:pPr>
            <w:r>
              <w:rPr>
                <w:b/>
                <w:color w:val="1B3A6B"/>
                <w:sz w:val="36"/>
              </w:rPr>
              <w:t>26.67</w:t>
            </w:r>
            <w:r>
              <w:rPr>
                <w:color w:val="757575"/>
                <w:sz w:val="18"/>
              </w:rPr>
              <w:t xml:space="preserve"> %</w:t>
            </w:r>
            <w:r>
              <w:rPr>
                <w:b/>
                <w:color w:val="2E7D32"/>
                <w:sz w:val="20"/>
              </w:rPr>
              <w:br/>
              <w:t>-1.78pp</w:t>
            </w:r>
          </w:p>
        </w:tc>
        <w:tc>
          <w:tcPr>
            <w:tcW w:w="2257" w:type="dxa"/>
            <w:shd w:val="clear" w:color="auto" w:fill="F2F6FA"/>
          </w:tcPr>
          <w:p w14:paraId="779B4F1C" w14:textId="77777777" w:rsidR="006E4579" w:rsidRDefault="00000000">
            <w:pPr>
              <w:jc w:val="center"/>
            </w:pPr>
            <w:r>
              <w:rPr>
                <w:b/>
                <w:color w:val="1B3A6B"/>
                <w:sz w:val="36"/>
              </w:rPr>
              <w:t>13.2</w:t>
            </w:r>
            <w:r>
              <w:rPr>
                <w:color w:val="757575"/>
                <w:sz w:val="18"/>
              </w:rPr>
              <w:t xml:space="preserve"> hours below</w:t>
            </w:r>
            <w:r>
              <w:rPr>
                <w:b/>
                <w:color w:val="C62828"/>
                <w:sz w:val="20"/>
              </w:rPr>
              <w:br/>
              <w:t>vs BRI/OCBC 62+ hrs</w:t>
            </w:r>
          </w:p>
        </w:tc>
      </w:tr>
      <w:tr w:rsidR="006E4579" w14:paraId="3A6CEF39" w14:textId="77777777">
        <w:trPr>
          <w:jc w:val="center"/>
        </w:trPr>
        <w:tc>
          <w:tcPr>
            <w:tcW w:w="2257" w:type="dxa"/>
            <w:shd w:val="clear" w:color="auto" w:fill="F2F6FA"/>
          </w:tcPr>
          <w:p w14:paraId="7D898DF8" w14:textId="77777777" w:rsidR="006E4579" w:rsidRDefault="00000000">
            <w:pPr>
              <w:jc w:val="center"/>
            </w:pPr>
            <w:r>
              <w:rPr>
                <w:color w:val="757575"/>
                <w:sz w:val="16"/>
              </w:rPr>
              <w:t>Training Hours per FTE</w:t>
            </w:r>
          </w:p>
        </w:tc>
        <w:tc>
          <w:tcPr>
            <w:tcW w:w="2257" w:type="dxa"/>
            <w:shd w:val="clear" w:color="auto" w:fill="F2F6FA"/>
          </w:tcPr>
          <w:p w14:paraId="2118573C" w14:textId="77777777" w:rsidR="006E4579" w:rsidRDefault="00000000">
            <w:pPr>
              <w:jc w:val="center"/>
            </w:pPr>
            <w:r>
              <w:rPr>
                <w:color w:val="757575"/>
                <w:sz w:val="16"/>
              </w:rPr>
              <w:t>Voluntary Turnover</w:t>
            </w:r>
          </w:p>
        </w:tc>
        <w:tc>
          <w:tcPr>
            <w:tcW w:w="2257" w:type="dxa"/>
            <w:shd w:val="clear" w:color="auto" w:fill="F2F6FA"/>
          </w:tcPr>
          <w:p w14:paraId="3DD76141" w14:textId="77777777" w:rsidR="006E4579" w:rsidRDefault="00000000">
            <w:pPr>
              <w:jc w:val="center"/>
            </w:pPr>
            <w:r>
              <w:rPr>
                <w:color w:val="757575"/>
                <w:sz w:val="16"/>
              </w:rPr>
              <w:t>Female Management</w:t>
            </w:r>
          </w:p>
        </w:tc>
        <w:tc>
          <w:tcPr>
            <w:tcW w:w="2257" w:type="dxa"/>
            <w:shd w:val="clear" w:color="auto" w:fill="F2F6FA"/>
          </w:tcPr>
          <w:p w14:paraId="0ABAC6E5" w14:textId="77777777" w:rsidR="006E4579" w:rsidRDefault="00000000">
            <w:pPr>
              <w:jc w:val="center"/>
            </w:pPr>
            <w:r>
              <w:rPr>
                <w:color w:val="757575"/>
                <w:sz w:val="16"/>
              </w:rPr>
              <w:t>Gap to Peer Avg (Training)</w:t>
            </w:r>
          </w:p>
        </w:tc>
      </w:tr>
    </w:tbl>
    <w:p w14:paraId="002221BF" w14:textId="77777777" w:rsidR="006E4579" w:rsidRDefault="006E4579"/>
    <w:tbl>
      <w:tblPr>
        <w:tblW w:w="0" w:type="auto"/>
        <w:jc w:val="center"/>
        <w:tblLook w:val="04A0" w:firstRow="1" w:lastRow="0" w:firstColumn="1" w:lastColumn="0" w:noHBand="0" w:noVBand="1"/>
      </w:tblPr>
      <w:tblGrid>
        <w:gridCol w:w="9029"/>
      </w:tblGrid>
      <w:tr w:rsidR="006E4579" w14:paraId="517012C9" w14:textId="77777777">
        <w:trPr>
          <w:jc w:val="center"/>
        </w:trPr>
        <w:tc>
          <w:tcPr>
            <w:tcW w:w="9029" w:type="dxa"/>
            <w:shd w:val="clear" w:color="auto" w:fill="FFF8E1"/>
          </w:tcPr>
          <w:p w14:paraId="38754D2A" w14:textId="77777777" w:rsidR="006E4579" w:rsidRDefault="00000000">
            <w:r>
              <w:rPr>
                <w:b/>
                <w:color w:val="FF8F00"/>
                <w:sz w:val="18"/>
              </w:rPr>
              <w:t>⚠️ KEY INSIGHT</w:t>
            </w:r>
          </w:p>
          <w:p w14:paraId="071E279E" w14:textId="77777777" w:rsidR="006E4579" w:rsidRDefault="00000000">
            <w:r>
              <w:rPr>
                <w:b/>
              </w:rPr>
              <w:t>Training hours fell 23% to 49.3 while peers maintain 62+ hours — capability gap widens as workforce grows</w:t>
            </w:r>
          </w:p>
          <w:p w14:paraId="2AE294B8" w14:textId="77777777" w:rsidR="006E4579" w:rsidRDefault="00000000">
            <w:r>
              <w:rPr>
                <w:sz w:val="20"/>
              </w:rPr>
              <w:t>The institution's training investment declined year-over-year despite 2.03% headcount growth, creating a widening capability gap versus peers. BRI and OCBC Indonesia both exceed 62 hours per employee with comprehensive ESG and digital competency programs. Simultaneously, female representation declined 3.88pp to 42.32%, with management diversity at 26.67% — significantly below BCA's 61.6% and DBS's 38% benchmarks. These trends pose risks to workforce readiness for sustainability transitions and regulatory compliance.</w:t>
            </w:r>
          </w:p>
        </w:tc>
      </w:tr>
    </w:tbl>
    <w:p w14:paraId="538D8ED9" w14:textId="77777777" w:rsidR="006E4579" w:rsidRDefault="006E4579"/>
    <w:p w14:paraId="78ADEEE6" w14:textId="77777777" w:rsidR="006E4579" w:rsidRDefault="00000000">
      <w:pPr>
        <w:pStyle w:val="Heading3"/>
      </w:pPr>
      <w:r>
        <w:rPr>
          <w:rFonts w:ascii="Arial" w:hAnsi="Arial"/>
          <w:color w:val="4A7AB5"/>
          <w:sz w:val="24"/>
        </w:rPr>
        <w:t>2.1.1 Workforce Overview (GRI 2-7)</w:t>
      </w:r>
    </w:p>
    <w:p w14:paraId="43B2E61D" w14:textId="77777777" w:rsidR="006E4579" w:rsidRDefault="00000000">
      <w:pPr>
        <w:spacing w:after="160"/>
      </w:pPr>
      <w:r>
        <w:rPr>
          <w:rFonts w:ascii="Arial" w:hAnsi="Arial"/>
        </w:rPr>
        <w:t>As of December 31, 2024, the institution employed 24,997 full-time equivalent (FTE) employees, representing a 2.03% increase from 24,500 FTEs in 2023. The workforce comprised 10,579 female employees (42.32%) and 14,418 male employees (57.68%). This headcount growth reflects the institution's continued operational expansion and strategic hiring initiatives during the reporting period.</w:t>
      </w:r>
    </w:p>
    <w:p w14:paraId="4132CA6A" w14:textId="77777777" w:rsidR="006E4579" w:rsidRDefault="00000000">
      <w:pPr>
        <w:spacing w:after="160"/>
      </w:pPr>
      <w:r>
        <w:rPr>
          <w:rFonts w:ascii="Arial" w:hAnsi="Arial"/>
        </w:rPr>
        <w:t>The year-over-year decline in female representation of 3.88 percentage points (from 46.2% in 2023 to 42.32% in 2024) indicates a shift in workforce composition. While absolute female headcount decreased from 11,319 to 10,579, male headcount increased from 13,181 to 14,418. This trend warrants attention in the context of the institution's diversity and inclusion commitments.</w:t>
      </w:r>
    </w:p>
    <w:p w14:paraId="548C2337" w14:textId="77777777" w:rsidR="006E4579" w:rsidRDefault="00000000">
      <w:pPr>
        <w:pStyle w:val="Heading3"/>
      </w:pPr>
      <w:r>
        <w:rPr>
          <w:rFonts w:ascii="Arial" w:hAnsi="Arial"/>
          <w:color w:val="4A7AB5"/>
          <w:sz w:val="24"/>
        </w:rPr>
        <w:t>2.1.2 Employment (GRI 401-1)</w:t>
      </w:r>
    </w:p>
    <w:p w14:paraId="1F2FE59A" w14:textId="77777777" w:rsidR="006E4579" w:rsidRDefault="00000000">
      <w:pPr>
        <w:spacing w:after="160"/>
      </w:pPr>
      <w:r>
        <w:rPr>
          <w:rFonts w:ascii="Arial" w:hAnsi="Arial"/>
        </w:rPr>
        <w:t>During 2024, the institution hired 2,595 new employees, representing a hiring rate of 10.38%. This reflects a decrease from the 2023 hiring rate of 12.93%, when 3,169 new employees were onboarded. The voluntary turnover rate for 2024 was 8.45%, a substantial improvement of 40.66% compared to the 2023 rate of 14.24%. This reduction in voluntary turnover indicates enhanced employee retention and satisfaction.</w:t>
      </w:r>
    </w:p>
    <w:p w14:paraId="0B87F8A6" w14:textId="77777777" w:rsidR="006E4579" w:rsidRDefault="00000000">
      <w:pPr>
        <w:spacing w:after="160"/>
      </w:pPr>
      <w:r>
        <w:rPr>
          <w:rFonts w:ascii="Arial" w:hAnsi="Arial"/>
        </w:rPr>
        <w:t>The significant decline in voluntary turnover from 14.24% to 8.45% represents a positive trend in workforce stability. Lower turnover rates reduce recruitment and training costs while preserving institutional knowledge. The institution's turnover rate of 8.45% compares favorably to typical banking sector benchmarks, though continued monitoring is recommended to maintain this performance.</w:t>
      </w:r>
    </w:p>
    <w:p w14:paraId="7A5AB884" w14:textId="77777777" w:rsidR="006E4579" w:rsidRDefault="00000000">
      <w:pPr>
        <w:pStyle w:val="Heading3"/>
      </w:pPr>
      <w:r>
        <w:rPr>
          <w:rFonts w:ascii="Arial" w:hAnsi="Arial"/>
          <w:color w:val="4A7AB5"/>
          <w:sz w:val="24"/>
        </w:rPr>
        <w:lastRenderedPageBreak/>
        <w:t>2.1.3 Training &amp; Education (GRI 404-1)</w:t>
      </w:r>
    </w:p>
    <w:p w14:paraId="05659359" w14:textId="77777777" w:rsidR="006E4579" w:rsidRDefault="00000000">
      <w:pPr>
        <w:spacing w:after="160"/>
      </w:pPr>
      <w:r>
        <w:rPr>
          <w:rFonts w:ascii="Arial" w:hAnsi="Arial"/>
        </w:rPr>
        <w:t>The institution provided an average of 49.3 training hours per FTE during 2024, representing a 23.14% decrease from the 64.14 hours per FTE delivered in 2023. This reduction in training intensity occurred despite workforce growth, indicating a decline in total training investment relative to headcount expansion.</w:t>
      </w:r>
    </w:p>
    <w:p w14:paraId="24D26652" w14:textId="77777777" w:rsidR="006E4579" w:rsidRDefault="00000000">
      <w:pPr>
        <w:spacing w:after="160"/>
      </w:pPr>
      <w:r>
        <w:rPr>
          <w:rFonts w:ascii="Arial" w:hAnsi="Arial"/>
        </w:rPr>
        <w:t>The 2024 training hours per FTE of 49.3 falls below peer benchmarks in the Indonesian banking sector. BRI reported 62.4 hours per employee in 2023, OCBC Indonesia achieved 62.6 hours in 2024, and DBS Group delivered 43.1 hours in 2023. While the institution's performance exceeds DBS's concise module approach, it lags behind BRI and OCBC's comprehensive training programs. The year-over-year decline of 23.14% represents a concerning trend that may impact workforce capability development, particularly in ESG competencies and regulatory compliance areas.</w:t>
      </w:r>
    </w:p>
    <w:p w14:paraId="36AC18FA" w14:textId="77777777" w:rsidR="006E4579" w:rsidRDefault="00000000">
      <w:pPr>
        <w:pStyle w:val="Heading3"/>
      </w:pPr>
      <w:r>
        <w:rPr>
          <w:rFonts w:ascii="Arial" w:hAnsi="Arial"/>
          <w:color w:val="4A7AB5"/>
          <w:sz w:val="24"/>
        </w:rPr>
        <w:t>2.1.4 Diversity &amp; Equal Opportunity (GRI 405-1)</w:t>
      </w:r>
    </w:p>
    <w:p w14:paraId="034709B6" w14:textId="77777777" w:rsidR="006E4579" w:rsidRDefault="00000000">
      <w:pPr>
        <w:spacing w:after="160"/>
      </w:pPr>
      <w:r>
        <w:rPr>
          <w:rFonts w:ascii="Arial" w:hAnsi="Arial"/>
        </w:rPr>
        <w:t>Female representation in management positions stood at 26.67% in 2024, a decrease of 1.78 percentage points from 28.45% in 2023. Overall female workforce representation declined by 3.88 percentage points year-over-year, from 46.2% to 42.32%. These trends indicate challenges in maintaining gender diversity across both general workforce and leadership levels.</w:t>
      </w:r>
    </w:p>
    <w:p w14:paraId="574C4B41" w14:textId="77777777" w:rsidR="006E4579" w:rsidRDefault="00000000">
      <w:pPr>
        <w:spacing w:after="160"/>
      </w:pPr>
      <w:r>
        <w:rPr>
          <w:rFonts w:ascii="Arial" w:hAnsi="Arial"/>
        </w:rPr>
        <w:t>The institution's female management representation of 26.67% falls significantly below peer benchmarks. BCA achieved 61.6% female representation in management positions, while DBS Group reported 38% female management representation with a gender pay ratio of 1:0.99 (male to female). The institution's performance also falls short of the 30% threshold commonly referenced in diversity best practices. The declining trend in both overall female representation and management-level diversity requires strategic intervention to reverse.</w:t>
      </w:r>
    </w:p>
    <w:p w14:paraId="24EFE90A" w14:textId="77777777" w:rsidR="006E4579" w:rsidRDefault="00000000">
      <w:pPr>
        <w:pStyle w:val="Heading3"/>
      </w:pPr>
      <w:r>
        <w:rPr>
          <w:rFonts w:ascii="Arial" w:hAnsi="Arial"/>
          <w:color w:val="4A7AB5"/>
          <w:sz w:val="24"/>
        </w:rPr>
        <w:t>2.1.5 Non-Discrimination (GRI 406-1)</w:t>
      </w:r>
    </w:p>
    <w:p w14:paraId="22CBE8BF" w14:textId="77777777" w:rsidR="006E4579" w:rsidRDefault="00000000">
      <w:pPr>
        <w:spacing w:after="160"/>
      </w:pPr>
      <w:r>
        <w:rPr>
          <w:rFonts w:ascii="Arial" w:hAnsi="Arial"/>
        </w:rPr>
        <w:t>During the 2024 reporting period, the institution recorded 2 incidents of discrimination. This represents a decrease from 3 incidents reported in 2023. All reported cases were investigated through the institution's established grievance mechanisms. Remediation actions were implemented in accordance with internal policies and applicable labor regulations. The institution maintains a zero-tolerance policy toward discrimination and continues to strengthen awareness programs and reporting channels to prevent future incidents.</w:t>
      </w:r>
    </w:p>
    <w:p w14:paraId="03AC9F23" w14:textId="77777777" w:rsidR="006E4579" w:rsidRDefault="00000000">
      <w:pPr>
        <w:pStyle w:val="Heading3"/>
      </w:pPr>
      <w:r>
        <w:rPr>
          <w:rFonts w:ascii="Arial" w:hAnsi="Arial"/>
          <w:color w:val="4A7AB5"/>
          <w:sz w:val="24"/>
        </w:rPr>
        <w:t>2.1.6 Methodology Note</w:t>
      </w:r>
    </w:p>
    <w:p w14:paraId="1061BA97" w14:textId="77777777" w:rsidR="006E4579" w:rsidRDefault="00000000">
      <w:pPr>
        <w:spacing w:after="160"/>
      </w:pPr>
      <w:r>
        <w:rPr>
          <w:rFonts w:ascii="Arial" w:hAnsi="Arial"/>
        </w:rPr>
        <w:t>Workforce data is compiled from the institution's human resources information system (HRIS) as of December 31, 2024. Full-time equivalent (FTE) calculations include all permanent employees under operational control. Temporary staff, contractors, and outsourced personnel are excluded from these figures. Training hours encompass all formal learning activities including classroom training, e-learning modules, workshops, and external certifications. Voluntary turnover excludes retirements and involuntary separations. Gender diversity metrics are based on self-reported employee data. Discrimination incidents include all cases formally reported through whistleblowing channels or direct management escalation during the reporting period.</w:t>
      </w:r>
    </w:p>
    <w:p w14:paraId="103FE12A" w14:textId="77777777" w:rsidR="006E4579" w:rsidRDefault="00000000">
      <w:r>
        <w:rPr>
          <w:rFonts w:ascii="Arial" w:hAnsi="Arial"/>
          <w:b/>
          <w:sz w:val="20"/>
        </w:rPr>
        <w:t>Table 42: Table 2.1.1: Workforce Composition by Gender</w:t>
      </w:r>
    </w:p>
    <w:tbl>
      <w:tblPr>
        <w:tblW w:w="0" w:type="auto"/>
        <w:jc w:val="center"/>
        <w:tblLook w:val="04A0" w:firstRow="1" w:lastRow="0" w:firstColumn="1" w:lastColumn="0" w:noHBand="0" w:noVBand="1"/>
      </w:tblPr>
      <w:tblGrid>
        <w:gridCol w:w="2257"/>
        <w:gridCol w:w="2257"/>
        <w:gridCol w:w="2257"/>
        <w:gridCol w:w="2257"/>
      </w:tblGrid>
      <w:tr w:rsidR="006E4579" w14:paraId="74E09526" w14:textId="77777777">
        <w:trPr>
          <w:jc w:val="center"/>
        </w:trPr>
        <w:tc>
          <w:tcPr>
            <w:tcW w:w="2257" w:type="dxa"/>
            <w:shd w:val="clear" w:color="auto" w:fill="1B3A6B"/>
          </w:tcPr>
          <w:p w14:paraId="7DADC579" w14:textId="77777777" w:rsidR="006E4579" w:rsidRDefault="00000000">
            <w:r>
              <w:rPr>
                <w:rFonts w:ascii="Arial" w:hAnsi="Arial"/>
                <w:b/>
                <w:color w:val="FFFFFF"/>
                <w:sz w:val="18"/>
              </w:rPr>
              <w:lastRenderedPageBreak/>
              <w:t>Metric</w:t>
            </w:r>
          </w:p>
        </w:tc>
        <w:tc>
          <w:tcPr>
            <w:tcW w:w="2257" w:type="dxa"/>
            <w:shd w:val="clear" w:color="auto" w:fill="1B3A6B"/>
          </w:tcPr>
          <w:p w14:paraId="0E7D9C29" w14:textId="77777777" w:rsidR="006E4579" w:rsidRDefault="00000000">
            <w:r>
              <w:rPr>
                <w:rFonts w:ascii="Arial" w:hAnsi="Arial"/>
                <w:b/>
                <w:color w:val="FFFFFF"/>
                <w:sz w:val="18"/>
              </w:rPr>
              <w:t>2024</w:t>
            </w:r>
          </w:p>
        </w:tc>
        <w:tc>
          <w:tcPr>
            <w:tcW w:w="2257" w:type="dxa"/>
            <w:shd w:val="clear" w:color="auto" w:fill="1B3A6B"/>
          </w:tcPr>
          <w:p w14:paraId="03DC8546" w14:textId="77777777" w:rsidR="006E4579" w:rsidRDefault="00000000">
            <w:r>
              <w:rPr>
                <w:rFonts w:ascii="Arial" w:hAnsi="Arial"/>
                <w:b/>
                <w:color w:val="FFFFFF"/>
                <w:sz w:val="18"/>
              </w:rPr>
              <w:t>2023</w:t>
            </w:r>
          </w:p>
        </w:tc>
        <w:tc>
          <w:tcPr>
            <w:tcW w:w="2257" w:type="dxa"/>
            <w:shd w:val="clear" w:color="auto" w:fill="1B3A6B"/>
          </w:tcPr>
          <w:p w14:paraId="3DF180A2" w14:textId="77777777" w:rsidR="006E4579" w:rsidRDefault="00000000">
            <w:r>
              <w:rPr>
                <w:rFonts w:ascii="Arial" w:hAnsi="Arial"/>
                <w:b/>
                <w:color w:val="FFFFFF"/>
                <w:sz w:val="18"/>
              </w:rPr>
              <w:t>Change</w:t>
            </w:r>
          </w:p>
        </w:tc>
      </w:tr>
      <w:tr w:rsidR="006E4579" w14:paraId="23223505" w14:textId="77777777">
        <w:trPr>
          <w:jc w:val="center"/>
        </w:trPr>
        <w:tc>
          <w:tcPr>
            <w:tcW w:w="2257" w:type="dxa"/>
          </w:tcPr>
          <w:p w14:paraId="66C6CBE3" w14:textId="77777777" w:rsidR="006E4579" w:rsidRDefault="00000000">
            <w:r>
              <w:rPr>
                <w:rFonts w:ascii="Arial" w:hAnsi="Arial"/>
                <w:sz w:val="18"/>
              </w:rPr>
              <w:t>Total FTE Employees</w:t>
            </w:r>
          </w:p>
        </w:tc>
        <w:tc>
          <w:tcPr>
            <w:tcW w:w="2257" w:type="dxa"/>
          </w:tcPr>
          <w:p w14:paraId="7388B1AE" w14:textId="77777777" w:rsidR="006E4579" w:rsidRDefault="00000000">
            <w:pPr>
              <w:jc w:val="right"/>
            </w:pPr>
            <w:r>
              <w:rPr>
                <w:rFonts w:ascii="Arial" w:hAnsi="Arial"/>
                <w:sz w:val="18"/>
              </w:rPr>
              <w:t>24,997</w:t>
            </w:r>
          </w:p>
        </w:tc>
        <w:tc>
          <w:tcPr>
            <w:tcW w:w="2257" w:type="dxa"/>
          </w:tcPr>
          <w:p w14:paraId="5E1567D4" w14:textId="77777777" w:rsidR="006E4579" w:rsidRDefault="00000000">
            <w:pPr>
              <w:jc w:val="right"/>
            </w:pPr>
            <w:r>
              <w:rPr>
                <w:rFonts w:ascii="Arial" w:hAnsi="Arial"/>
                <w:sz w:val="18"/>
              </w:rPr>
              <w:t>24,500</w:t>
            </w:r>
          </w:p>
        </w:tc>
        <w:tc>
          <w:tcPr>
            <w:tcW w:w="2257" w:type="dxa"/>
          </w:tcPr>
          <w:p w14:paraId="763D2786" w14:textId="77777777" w:rsidR="006E4579" w:rsidRDefault="00000000">
            <w:r>
              <w:rPr>
                <w:rFonts w:ascii="Arial" w:hAnsi="Arial"/>
                <w:sz w:val="18"/>
              </w:rPr>
              <w:t>+497 (+2.03%)</w:t>
            </w:r>
          </w:p>
        </w:tc>
      </w:tr>
      <w:tr w:rsidR="006E4579" w14:paraId="4079AE51" w14:textId="77777777">
        <w:trPr>
          <w:jc w:val="center"/>
        </w:trPr>
        <w:tc>
          <w:tcPr>
            <w:tcW w:w="2257" w:type="dxa"/>
            <w:shd w:val="clear" w:color="auto" w:fill="F2F6FC"/>
          </w:tcPr>
          <w:p w14:paraId="7258C5AC" w14:textId="77777777" w:rsidR="006E4579" w:rsidRDefault="00000000">
            <w:r>
              <w:rPr>
                <w:rFonts w:ascii="Arial" w:hAnsi="Arial"/>
                <w:sz w:val="18"/>
              </w:rPr>
              <w:t>Female Employees</w:t>
            </w:r>
          </w:p>
        </w:tc>
        <w:tc>
          <w:tcPr>
            <w:tcW w:w="2257" w:type="dxa"/>
            <w:shd w:val="clear" w:color="auto" w:fill="F2F6FC"/>
          </w:tcPr>
          <w:p w14:paraId="52A454EA" w14:textId="77777777" w:rsidR="006E4579" w:rsidRDefault="00000000">
            <w:pPr>
              <w:jc w:val="right"/>
            </w:pPr>
            <w:r>
              <w:rPr>
                <w:rFonts w:ascii="Arial" w:hAnsi="Arial"/>
                <w:sz w:val="18"/>
              </w:rPr>
              <w:t>10,579</w:t>
            </w:r>
          </w:p>
        </w:tc>
        <w:tc>
          <w:tcPr>
            <w:tcW w:w="2257" w:type="dxa"/>
            <w:shd w:val="clear" w:color="auto" w:fill="F2F6FC"/>
          </w:tcPr>
          <w:p w14:paraId="055A718C" w14:textId="77777777" w:rsidR="006E4579" w:rsidRDefault="00000000">
            <w:pPr>
              <w:jc w:val="right"/>
            </w:pPr>
            <w:r>
              <w:rPr>
                <w:rFonts w:ascii="Arial" w:hAnsi="Arial"/>
                <w:sz w:val="18"/>
              </w:rPr>
              <w:t>11,319</w:t>
            </w:r>
          </w:p>
        </w:tc>
        <w:tc>
          <w:tcPr>
            <w:tcW w:w="2257" w:type="dxa"/>
            <w:shd w:val="clear" w:color="auto" w:fill="F2F6FC"/>
          </w:tcPr>
          <w:p w14:paraId="79C2C7D8" w14:textId="77777777" w:rsidR="006E4579" w:rsidRDefault="00000000">
            <w:r>
              <w:rPr>
                <w:rFonts w:ascii="Arial" w:hAnsi="Arial"/>
                <w:sz w:val="18"/>
              </w:rPr>
              <w:t>-740 (-6.53%)</w:t>
            </w:r>
          </w:p>
        </w:tc>
      </w:tr>
      <w:tr w:rsidR="006E4579" w14:paraId="74E844AD" w14:textId="77777777">
        <w:trPr>
          <w:jc w:val="center"/>
        </w:trPr>
        <w:tc>
          <w:tcPr>
            <w:tcW w:w="2257" w:type="dxa"/>
          </w:tcPr>
          <w:p w14:paraId="17213537" w14:textId="77777777" w:rsidR="006E4579" w:rsidRDefault="00000000">
            <w:r>
              <w:rPr>
                <w:rFonts w:ascii="Arial" w:hAnsi="Arial"/>
                <w:sz w:val="18"/>
              </w:rPr>
              <w:t>Male Employees</w:t>
            </w:r>
          </w:p>
        </w:tc>
        <w:tc>
          <w:tcPr>
            <w:tcW w:w="2257" w:type="dxa"/>
          </w:tcPr>
          <w:p w14:paraId="70034603" w14:textId="77777777" w:rsidR="006E4579" w:rsidRDefault="00000000">
            <w:pPr>
              <w:jc w:val="right"/>
            </w:pPr>
            <w:r>
              <w:rPr>
                <w:rFonts w:ascii="Arial" w:hAnsi="Arial"/>
                <w:sz w:val="18"/>
              </w:rPr>
              <w:t>14,418</w:t>
            </w:r>
          </w:p>
        </w:tc>
        <w:tc>
          <w:tcPr>
            <w:tcW w:w="2257" w:type="dxa"/>
          </w:tcPr>
          <w:p w14:paraId="48A1C26C" w14:textId="77777777" w:rsidR="006E4579" w:rsidRDefault="00000000">
            <w:pPr>
              <w:jc w:val="right"/>
            </w:pPr>
            <w:r>
              <w:rPr>
                <w:rFonts w:ascii="Arial" w:hAnsi="Arial"/>
                <w:sz w:val="18"/>
              </w:rPr>
              <w:t>13,181</w:t>
            </w:r>
          </w:p>
        </w:tc>
        <w:tc>
          <w:tcPr>
            <w:tcW w:w="2257" w:type="dxa"/>
          </w:tcPr>
          <w:p w14:paraId="00AC8148" w14:textId="77777777" w:rsidR="006E4579" w:rsidRDefault="00000000">
            <w:r>
              <w:rPr>
                <w:rFonts w:ascii="Arial" w:hAnsi="Arial"/>
                <w:sz w:val="18"/>
              </w:rPr>
              <w:t>+1,237 (+9.38%)</w:t>
            </w:r>
          </w:p>
        </w:tc>
      </w:tr>
      <w:tr w:rsidR="006E4579" w14:paraId="194CD0D3" w14:textId="77777777">
        <w:trPr>
          <w:jc w:val="center"/>
        </w:trPr>
        <w:tc>
          <w:tcPr>
            <w:tcW w:w="2257" w:type="dxa"/>
            <w:shd w:val="clear" w:color="auto" w:fill="F2F6FC"/>
          </w:tcPr>
          <w:p w14:paraId="0D9F906C" w14:textId="77777777" w:rsidR="006E4579" w:rsidRDefault="00000000">
            <w:r>
              <w:rPr>
                <w:rFonts w:ascii="Arial" w:hAnsi="Arial"/>
                <w:sz w:val="18"/>
              </w:rPr>
              <w:t>Female Representation (%)</w:t>
            </w:r>
          </w:p>
        </w:tc>
        <w:tc>
          <w:tcPr>
            <w:tcW w:w="2257" w:type="dxa"/>
            <w:shd w:val="clear" w:color="auto" w:fill="F2F6FC"/>
          </w:tcPr>
          <w:p w14:paraId="3D7429B8" w14:textId="77777777" w:rsidR="006E4579" w:rsidRDefault="00000000">
            <w:pPr>
              <w:jc w:val="right"/>
            </w:pPr>
            <w:r>
              <w:rPr>
                <w:rFonts w:ascii="Arial" w:hAnsi="Arial"/>
                <w:sz w:val="18"/>
              </w:rPr>
              <w:t>42.32%</w:t>
            </w:r>
          </w:p>
        </w:tc>
        <w:tc>
          <w:tcPr>
            <w:tcW w:w="2257" w:type="dxa"/>
            <w:shd w:val="clear" w:color="auto" w:fill="F2F6FC"/>
          </w:tcPr>
          <w:p w14:paraId="2C71514F" w14:textId="77777777" w:rsidR="006E4579" w:rsidRDefault="00000000">
            <w:pPr>
              <w:jc w:val="right"/>
            </w:pPr>
            <w:r>
              <w:rPr>
                <w:rFonts w:ascii="Arial" w:hAnsi="Arial"/>
                <w:sz w:val="18"/>
              </w:rPr>
              <w:t>46.2%</w:t>
            </w:r>
          </w:p>
        </w:tc>
        <w:tc>
          <w:tcPr>
            <w:tcW w:w="2257" w:type="dxa"/>
            <w:shd w:val="clear" w:color="auto" w:fill="F2F6FC"/>
          </w:tcPr>
          <w:p w14:paraId="124918E5" w14:textId="77777777" w:rsidR="006E4579" w:rsidRDefault="00000000">
            <w:r>
              <w:rPr>
                <w:rFonts w:ascii="Arial" w:hAnsi="Arial"/>
                <w:sz w:val="18"/>
              </w:rPr>
              <w:t>-3.88pp</w:t>
            </w:r>
          </w:p>
        </w:tc>
      </w:tr>
      <w:tr w:rsidR="006E4579" w14:paraId="5EA28125" w14:textId="77777777">
        <w:trPr>
          <w:jc w:val="center"/>
        </w:trPr>
        <w:tc>
          <w:tcPr>
            <w:tcW w:w="2257" w:type="dxa"/>
          </w:tcPr>
          <w:p w14:paraId="32F3FB01" w14:textId="77777777" w:rsidR="006E4579" w:rsidRDefault="00000000">
            <w:r>
              <w:rPr>
                <w:rFonts w:ascii="Arial" w:hAnsi="Arial"/>
                <w:sz w:val="18"/>
              </w:rPr>
              <w:t>Male Representation (%)</w:t>
            </w:r>
          </w:p>
        </w:tc>
        <w:tc>
          <w:tcPr>
            <w:tcW w:w="2257" w:type="dxa"/>
          </w:tcPr>
          <w:p w14:paraId="54F132B9" w14:textId="77777777" w:rsidR="006E4579" w:rsidRDefault="00000000">
            <w:pPr>
              <w:jc w:val="right"/>
            </w:pPr>
            <w:r>
              <w:rPr>
                <w:rFonts w:ascii="Arial" w:hAnsi="Arial"/>
                <w:sz w:val="18"/>
              </w:rPr>
              <w:t>57.68%</w:t>
            </w:r>
          </w:p>
        </w:tc>
        <w:tc>
          <w:tcPr>
            <w:tcW w:w="2257" w:type="dxa"/>
          </w:tcPr>
          <w:p w14:paraId="4433C97C" w14:textId="77777777" w:rsidR="006E4579" w:rsidRDefault="00000000">
            <w:pPr>
              <w:jc w:val="right"/>
            </w:pPr>
            <w:r>
              <w:rPr>
                <w:rFonts w:ascii="Arial" w:hAnsi="Arial"/>
                <w:sz w:val="18"/>
              </w:rPr>
              <w:t>53.8%</w:t>
            </w:r>
          </w:p>
        </w:tc>
        <w:tc>
          <w:tcPr>
            <w:tcW w:w="2257" w:type="dxa"/>
          </w:tcPr>
          <w:p w14:paraId="11C57191" w14:textId="77777777" w:rsidR="006E4579" w:rsidRDefault="00000000">
            <w:r>
              <w:rPr>
                <w:rFonts w:ascii="Arial" w:hAnsi="Arial"/>
                <w:sz w:val="18"/>
              </w:rPr>
              <w:t>+3.88pp</w:t>
            </w:r>
          </w:p>
        </w:tc>
      </w:tr>
    </w:tbl>
    <w:p w14:paraId="1B414E7F" w14:textId="77777777" w:rsidR="006E4579" w:rsidRDefault="00000000">
      <w:r>
        <w:rPr>
          <w:rFonts w:ascii="Arial" w:hAnsi="Arial"/>
          <w:i/>
          <w:sz w:val="16"/>
        </w:rPr>
        <w:t>Source: Source: Institution HRIS data as of December 31 for respective years. FTE = Full-Time Equivalent.</w:t>
      </w:r>
    </w:p>
    <w:p w14:paraId="336D20C0" w14:textId="77777777" w:rsidR="006E4579" w:rsidRDefault="006E4579"/>
    <w:p w14:paraId="7C8E2B94" w14:textId="77777777" w:rsidR="006E4579" w:rsidRDefault="00000000">
      <w:r>
        <w:rPr>
          <w:rFonts w:ascii="Arial" w:hAnsi="Arial"/>
          <w:b/>
          <w:sz w:val="20"/>
        </w:rPr>
        <w:t>Table 44: Table 2.1.2: Employment Indicators</w:t>
      </w:r>
    </w:p>
    <w:tbl>
      <w:tblPr>
        <w:tblW w:w="0" w:type="auto"/>
        <w:jc w:val="center"/>
        <w:tblLook w:val="04A0" w:firstRow="1" w:lastRow="0" w:firstColumn="1" w:lastColumn="0" w:noHBand="0" w:noVBand="1"/>
      </w:tblPr>
      <w:tblGrid>
        <w:gridCol w:w="2257"/>
        <w:gridCol w:w="2257"/>
        <w:gridCol w:w="2257"/>
        <w:gridCol w:w="2257"/>
      </w:tblGrid>
      <w:tr w:rsidR="006E4579" w14:paraId="224CAA06" w14:textId="77777777">
        <w:trPr>
          <w:jc w:val="center"/>
        </w:trPr>
        <w:tc>
          <w:tcPr>
            <w:tcW w:w="2257" w:type="dxa"/>
            <w:shd w:val="clear" w:color="auto" w:fill="1B3A6B"/>
          </w:tcPr>
          <w:p w14:paraId="752AD80E" w14:textId="77777777" w:rsidR="006E4579" w:rsidRDefault="00000000">
            <w:r>
              <w:rPr>
                <w:rFonts w:ascii="Arial" w:hAnsi="Arial"/>
                <w:b/>
                <w:color w:val="FFFFFF"/>
                <w:sz w:val="18"/>
              </w:rPr>
              <w:t>Metric</w:t>
            </w:r>
          </w:p>
        </w:tc>
        <w:tc>
          <w:tcPr>
            <w:tcW w:w="2257" w:type="dxa"/>
            <w:shd w:val="clear" w:color="auto" w:fill="1B3A6B"/>
          </w:tcPr>
          <w:p w14:paraId="07AF84B4" w14:textId="77777777" w:rsidR="006E4579" w:rsidRDefault="00000000">
            <w:r>
              <w:rPr>
                <w:rFonts w:ascii="Arial" w:hAnsi="Arial"/>
                <w:b/>
                <w:color w:val="FFFFFF"/>
                <w:sz w:val="18"/>
              </w:rPr>
              <w:t>2024</w:t>
            </w:r>
          </w:p>
        </w:tc>
        <w:tc>
          <w:tcPr>
            <w:tcW w:w="2257" w:type="dxa"/>
            <w:shd w:val="clear" w:color="auto" w:fill="1B3A6B"/>
          </w:tcPr>
          <w:p w14:paraId="7382AB5A" w14:textId="77777777" w:rsidR="006E4579" w:rsidRDefault="00000000">
            <w:r>
              <w:rPr>
                <w:rFonts w:ascii="Arial" w:hAnsi="Arial"/>
                <w:b/>
                <w:color w:val="FFFFFF"/>
                <w:sz w:val="18"/>
              </w:rPr>
              <w:t>2023</w:t>
            </w:r>
          </w:p>
        </w:tc>
        <w:tc>
          <w:tcPr>
            <w:tcW w:w="2257" w:type="dxa"/>
            <w:shd w:val="clear" w:color="auto" w:fill="1B3A6B"/>
          </w:tcPr>
          <w:p w14:paraId="76F4A436" w14:textId="77777777" w:rsidR="006E4579" w:rsidRDefault="00000000">
            <w:r>
              <w:rPr>
                <w:rFonts w:ascii="Arial" w:hAnsi="Arial"/>
                <w:b/>
                <w:color w:val="FFFFFF"/>
                <w:sz w:val="18"/>
              </w:rPr>
              <w:t>YoY Change</w:t>
            </w:r>
          </w:p>
        </w:tc>
      </w:tr>
      <w:tr w:rsidR="006E4579" w14:paraId="20D8A3F7" w14:textId="77777777">
        <w:trPr>
          <w:jc w:val="center"/>
        </w:trPr>
        <w:tc>
          <w:tcPr>
            <w:tcW w:w="2257" w:type="dxa"/>
          </w:tcPr>
          <w:p w14:paraId="72236C23" w14:textId="77777777" w:rsidR="006E4579" w:rsidRDefault="00000000">
            <w:r>
              <w:rPr>
                <w:rFonts w:ascii="Arial" w:hAnsi="Arial"/>
                <w:sz w:val="18"/>
              </w:rPr>
              <w:t>New Hires</w:t>
            </w:r>
          </w:p>
        </w:tc>
        <w:tc>
          <w:tcPr>
            <w:tcW w:w="2257" w:type="dxa"/>
          </w:tcPr>
          <w:p w14:paraId="53F87140" w14:textId="77777777" w:rsidR="006E4579" w:rsidRDefault="00000000">
            <w:pPr>
              <w:jc w:val="right"/>
            </w:pPr>
            <w:r>
              <w:rPr>
                <w:rFonts w:ascii="Arial" w:hAnsi="Arial"/>
                <w:sz w:val="18"/>
              </w:rPr>
              <w:t>2,595</w:t>
            </w:r>
          </w:p>
        </w:tc>
        <w:tc>
          <w:tcPr>
            <w:tcW w:w="2257" w:type="dxa"/>
          </w:tcPr>
          <w:p w14:paraId="7D1D8BDF" w14:textId="77777777" w:rsidR="006E4579" w:rsidRDefault="00000000">
            <w:pPr>
              <w:jc w:val="right"/>
            </w:pPr>
            <w:r>
              <w:rPr>
                <w:rFonts w:ascii="Arial" w:hAnsi="Arial"/>
                <w:sz w:val="18"/>
              </w:rPr>
              <w:t>3,169</w:t>
            </w:r>
          </w:p>
        </w:tc>
        <w:tc>
          <w:tcPr>
            <w:tcW w:w="2257" w:type="dxa"/>
          </w:tcPr>
          <w:p w14:paraId="718BF23B" w14:textId="77777777" w:rsidR="006E4579" w:rsidRDefault="00000000">
            <w:r>
              <w:rPr>
                <w:rFonts w:ascii="Arial" w:hAnsi="Arial"/>
                <w:sz w:val="18"/>
              </w:rPr>
              <w:t>-574 (-18.11%)</w:t>
            </w:r>
          </w:p>
        </w:tc>
      </w:tr>
      <w:tr w:rsidR="006E4579" w14:paraId="7C764552" w14:textId="77777777">
        <w:trPr>
          <w:jc w:val="center"/>
        </w:trPr>
        <w:tc>
          <w:tcPr>
            <w:tcW w:w="2257" w:type="dxa"/>
            <w:shd w:val="clear" w:color="auto" w:fill="F2F6FC"/>
          </w:tcPr>
          <w:p w14:paraId="32170F2D" w14:textId="77777777" w:rsidR="006E4579" w:rsidRDefault="00000000">
            <w:r>
              <w:rPr>
                <w:rFonts w:ascii="Arial" w:hAnsi="Arial"/>
                <w:sz w:val="18"/>
              </w:rPr>
              <w:t>Hiring Rate (%)</w:t>
            </w:r>
          </w:p>
        </w:tc>
        <w:tc>
          <w:tcPr>
            <w:tcW w:w="2257" w:type="dxa"/>
            <w:shd w:val="clear" w:color="auto" w:fill="F2F6FC"/>
          </w:tcPr>
          <w:p w14:paraId="39AE0006" w14:textId="77777777" w:rsidR="006E4579" w:rsidRDefault="00000000">
            <w:pPr>
              <w:jc w:val="right"/>
            </w:pPr>
            <w:r>
              <w:rPr>
                <w:rFonts w:ascii="Arial" w:hAnsi="Arial"/>
                <w:sz w:val="18"/>
              </w:rPr>
              <w:t>10.38%</w:t>
            </w:r>
          </w:p>
        </w:tc>
        <w:tc>
          <w:tcPr>
            <w:tcW w:w="2257" w:type="dxa"/>
            <w:shd w:val="clear" w:color="auto" w:fill="F2F6FC"/>
          </w:tcPr>
          <w:p w14:paraId="6343B561" w14:textId="77777777" w:rsidR="006E4579" w:rsidRDefault="00000000">
            <w:pPr>
              <w:jc w:val="right"/>
            </w:pPr>
            <w:r>
              <w:rPr>
                <w:rFonts w:ascii="Arial" w:hAnsi="Arial"/>
                <w:sz w:val="18"/>
              </w:rPr>
              <w:t>12.93%</w:t>
            </w:r>
          </w:p>
        </w:tc>
        <w:tc>
          <w:tcPr>
            <w:tcW w:w="2257" w:type="dxa"/>
            <w:shd w:val="clear" w:color="auto" w:fill="F2F6FC"/>
          </w:tcPr>
          <w:p w14:paraId="379223DA" w14:textId="77777777" w:rsidR="006E4579" w:rsidRDefault="00000000">
            <w:r>
              <w:rPr>
                <w:rFonts w:ascii="Arial" w:hAnsi="Arial"/>
                <w:sz w:val="18"/>
              </w:rPr>
              <w:t>-2.55pp</w:t>
            </w:r>
          </w:p>
        </w:tc>
      </w:tr>
      <w:tr w:rsidR="006E4579" w14:paraId="1A272E25" w14:textId="77777777">
        <w:trPr>
          <w:jc w:val="center"/>
        </w:trPr>
        <w:tc>
          <w:tcPr>
            <w:tcW w:w="2257" w:type="dxa"/>
          </w:tcPr>
          <w:p w14:paraId="604E66E7" w14:textId="77777777" w:rsidR="006E4579" w:rsidRDefault="00000000">
            <w:r>
              <w:rPr>
                <w:rFonts w:ascii="Arial" w:hAnsi="Arial"/>
                <w:sz w:val="18"/>
              </w:rPr>
              <w:t>Voluntary Turnover Rate (%)</w:t>
            </w:r>
          </w:p>
        </w:tc>
        <w:tc>
          <w:tcPr>
            <w:tcW w:w="2257" w:type="dxa"/>
          </w:tcPr>
          <w:p w14:paraId="3ACE9F88" w14:textId="77777777" w:rsidR="006E4579" w:rsidRDefault="00000000">
            <w:pPr>
              <w:jc w:val="right"/>
            </w:pPr>
            <w:r>
              <w:rPr>
                <w:rFonts w:ascii="Arial" w:hAnsi="Arial"/>
                <w:sz w:val="18"/>
              </w:rPr>
              <w:t>8.45%</w:t>
            </w:r>
          </w:p>
        </w:tc>
        <w:tc>
          <w:tcPr>
            <w:tcW w:w="2257" w:type="dxa"/>
          </w:tcPr>
          <w:p w14:paraId="23CB08AA" w14:textId="77777777" w:rsidR="006E4579" w:rsidRDefault="00000000">
            <w:pPr>
              <w:jc w:val="right"/>
            </w:pPr>
            <w:r>
              <w:rPr>
                <w:rFonts w:ascii="Arial" w:hAnsi="Arial"/>
                <w:sz w:val="18"/>
              </w:rPr>
              <w:t>14.24%</w:t>
            </w:r>
          </w:p>
        </w:tc>
        <w:tc>
          <w:tcPr>
            <w:tcW w:w="2257" w:type="dxa"/>
          </w:tcPr>
          <w:p w14:paraId="3F181695" w14:textId="77777777" w:rsidR="006E4579" w:rsidRDefault="00000000">
            <w:r>
              <w:rPr>
                <w:rFonts w:ascii="Arial" w:hAnsi="Arial"/>
                <w:sz w:val="18"/>
              </w:rPr>
              <w:t>-5.79pp (-40.66%)</w:t>
            </w:r>
          </w:p>
        </w:tc>
      </w:tr>
    </w:tbl>
    <w:p w14:paraId="6C21F703" w14:textId="77777777" w:rsidR="006E4579" w:rsidRDefault="00000000">
      <w:r>
        <w:rPr>
          <w:rFonts w:ascii="Arial" w:hAnsi="Arial"/>
          <w:i/>
          <w:sz w:val="16"/>
        </w:rPr>
        <w:t>Source: Source: Institution HRIS data. Hiring rate = (new hires / average headcount) × 100. Voluntary turnover excludes retirements and involuntary separations.</w:t>
      </w:r>
    </w:p>
    <w:p w14:paraId="6E0E296B" w14:textId="77777777" w:rsidR="006E4579" w:rsidRDefault="006E4579"/>
    <w:p w14:paraId="3057ED7A" w14:textId="77777777" w:rsidR="006E4579" w:rsidRDefault="00000000">
      <w:r>
        <w:rPr>
          <w:rFonts w:ascii="Arial" w:hAnsi="Arial"/>
          <w:b/>
          <w:sz w:val="20"/>
        </w:rPr>
        <w:t>Table 46: Table 2.1.3: Training &amp; Development Metrics</w:t>
      </w:r>
    </w:p>
    <w:tbl>
      <w:tblPr>
        <w:tblW w:w="0" w:type="auto"/>
        <w:jc w:val="center"/>
        <w:tblLook w:val="04A0" w:firstRow="1" w:lastRow="0" w:firstColumn="1" w:lastColumn="0" w:noHBand="0" w:noVBand="1"/>
      </w:tblPr>
      <w:tblGrid>
        <w:gridCol w:w="2257"/>
        <w:gridCol w:w="2257"/>
        <w:gridCol w:w="2257"/>
        <w:gridCol w:w="2257"/>
      </w:tblGrid>
      <w:tr w:rsidR="006E4579" w14:paraId="18F210B7" w14:textId="77777777">
        <w:trPr>
          <w:jc w:val="center"/>
        </w:trPr>
        <w:tc>
          <w:tcPr>
            <w:tcW w:w="2257" w:type="dxa"/>
            <w:shd w:val="clear" w:color="auto" w:fill="1B3A6B"/>
          </w:tcPr>
          <w:p w14:paraId="383E21AF" w14:textId="77777777" w:rsidR="006E4579" w:rsidRDefault="00000000">
            <w:r>
              <w:rPr>
                <w:rFonts w:ascii="Arial" w:hAnsi="Arial"/>
                <w:b/>
                <w:color w:val="FFFFFF"/>
                <w:sz w:val="18"/>
              </w:rPr>
              <w:t>Metric</w:t>
            </w:r>
          </w:p>
        </w:tc>
        <w:tc>
          <w:tcPr>
            <w:tcW w:w="2257" w:type="dxa"/>
            <w:shd w:val="clear" w:color="auto" w:fill="1B3A6B"/>
          </w:tcPr>
          <w:p w14:paraId="429F118A" w14:textId="77777777" w:rsidR="006E4579" w:rsidRDefault="00000000">
            <w:r>
              <w:rPr>
                <w:rFonts w:ascii="Arial" w:hAnsi="Arial"/>
                <w:b/>
                <w:color w:val="FFFFFF"/>
                <w:sz w:val="18"/>
              </w:rPr>
              <w:t>2024</w:t>
            </w:r>
          </w:p>
        </w:tc>
        <w:tc>
          <w:tcPr>
            <w:tcW w:w="2257" w:type="dxa"/>
            <w:shd w:val="clear" w:color="auto" w:fill="1B3A6B"/>
          </w:tcPr>
          <w:p w14:paraId="6B70A23D" w14:textId="77777777" w:rsidR="006E4579" w:rsidRDefault="00000000">
            <w:r>
              <w:rPr>
                <w:rFonts w:ascii="Arial" w:hAnsi="Arial"/>
                <w:b/>
                <w:color w:val="FFFFFF"/>
                <w:sz w:val="18"/>
              </w:rPr>
              <w:t>2023</w:t>
            </w:r>
          </w:p>
        </w:tc>
        <w:tc>
          <w:tcPr>
            <w:tcW w:w="2257" w:type="dxa"/>
            <w:shd w:val="clear" w:color="auto" w:fill="1B3A6B"/>
          </w:tcPr>
          <w:p w14:paraId="5B0CE676" w14:textId="77777777" w:rsidR="006E4579" w:rsidRDefault="00000000">
            <w:r>
              <w:rPr>
                <w:rFonts w:ascii="Arial" w:hAnsi="Arial"/>
                <w:b/>
                <w:color w:val="FFFFFF"/>
                <w:sz w:val="18"/>
              </w:rPr>
              <w:t>YoY Change</w:t>
            </w:r>
          </w:p>
        </w:tc>
      </w:tr>
      <w:tr w:rsidR="006E4579" w14:paraId="0238FE0F" w14:textId="77777777">
        <w:trPr>
          <w:jc w:val="center"/>
        </w:trPr>
        <w:tc>
          <w:tcPr>
            <w:tcW w:w="2257" w:type="dxa"/>
          </w:tcPr>
          <w:p w14:paraId="1977F9C6" w14:textId="77777777" w:rsidR="006E4579" w:rsidRDefault="00000000">
            <w:r>
              <w:rPr>
                <w:rFonts w:ascii="Arial" w:hAnsi="Arial"/>
                <w:sz w:val="18"/>
              </w:rPr>
              <w:t>Average Training Hours per FTE</w:t>
            </w:r>
          </w:p>
        </w:tc>
        <w:tc>
          <w:tcPr>
            <w:tcW w:w="2257" w:type="dxa"/>
          </w:tcPr>
          <w:p w14:paraId="2AB5EABC" w14:textId="77777777" w:rsidR="006E4579" w:rsidRDefault="00000000">
            <w:pPr>
              <w:jc w:val="right"/>
            </w:pPr>
            <w:r>
              <w:rPr>
                <w:rFonts w:ascii="Arial" w:hAnsi="Arial"/>
                <w:sz w:val="18"/>
              </w:rPr>
              <w:t>49.3</w:t>
            </w:r>
          </w:p>
        </w:tc>
        <w:tc>
          <w:tcPr>
            <w:tcW w:w="2257" w:type="dxa"/>
          </w:tcPr>
          <w:p w14:paraId="1FFB04EB" w14:textId="77777777" w:rsidR="006E4579" w:rsidRDefault="00000000">
            <w:pPr>
              <w:jc w:val="right"/>
            </w:pPr>
            <w:r>
              <w:rPr>
                <w:rFonts w:ascii="Arial" w:hAnsi="Arial"/>
                <w:sz w:val="18"/>
              </w:rPr>
              <w:t>64.14</w:t>
            </w:r>
          </w:p>
        </w:tc>
        <w:tc>
          <w:tcPr>
            <w:tcW w:w="2257" w:type="dxa"/>
          </w:tcPr>
          <w:p w14:paraId="7BF85DF2" w14:textId="77777777" w:rsidR="006E4579" w:rsidRDefault="00000000">
            <w:r>
              <w:rPr>
                <w:rFonts w:ascii="Arial" w:hAnsi="Arial"/>
                <w:sz w:val="18"/>
              </w:rPr>
              <w:t>-14.84 (-23.14%)</w:t>
            </w:r>
          </w:p>
        </w:tc>
      </w:tr>
      <w:tr w:rsidR="006E4579" w14:paraId="4D9B44D4" w14:textId="77777777">
        <w:trPr>
          <w:jc w:val="center"/>
        </w:trPr>
        <w:tc>
          <w:tcPr>
            <w:tcW w:w="2257" w:type="dxa"/>
            <w:shd w:val="clear" w:color="auto" w:fill="F2F6FC"/>
          </w:tcPr>
          <w:p w14:paraId="5F7743B7" w14:textId="77777777" w:rsidR="006E4579" w:rsidRDefault="00000000">
            <w:r>
              <w:rPr>
                <w:rFonts w:ascii="Arial" w:hAnsi="Arial"/>
                <w:sz w:val="18"/>
              </w:rPr>
              <w:t>Total Training Hours (estimated)</w:t>
            </w:r>
          </w:p>
        </w:tc>
        <w:tc>
          <w:tcPr>
            <w:tcW w:w="2257" w:type="dxa"/>
            <w:shd w:val="clear" w:color="auto" w:fill="F2F6FC"/>
          </w:tcPr>
          <w:p w14:paraId="7D6D9B25" w14:textId="77777777" w:rsidR="006E4579" w:rsidRDefault="00000000">
            <w:pPr>
              <w:jc w:val="right"/>
            </w:pPr>
            <w:r>
              <w:rPr>
                <w:rFonts w:ascii="Arial" w:hAnsi="Arial"/>
                <w:sz w:val="18"/>
              </w:rPr>
              <w:t>1,232,332</w:t>
            </w:r>
          </w:p>
        </w:tc>
        <w:tc>
          <w:tcPr>
            <w:tcW w:w="2257" w:type="dxa"/>
            <w:shd w:val="clear" w:color="auto" w:fill="F2F6FC"/>
          </w:tcPr>
          <w:p w14:paraId="70E5DF36" w14:textId="77777777" w:rsidR="006E4579" w:rsidRDefault="00000000">
            <w:pPr>
              <w:jc w:val="right"/>
            </w:pPr>
            <w:r>
              <w:rPr>
                <w:rFonts w:ascii="Arial" w:hAnsi="Arial"/>
                <w:sz w:val="18"/>
              </w:rPr>
              <w:t>1,571,430</w:t>
            </w:r>
          </w:p>
        </w:tc>
        <w:tc>
          <w:tcPr>
            <w:tcW w:w="2257" w:type="dxa"/>
            <w:shd w:val="clear" w:color="auto" w:fill="F2F6FC"/>
          </w:tcPr>
          <w:p w14:paraId="3DB115BA" w14:textId="77777777" w:rsidR="006E4579" w:rsidRDefault="00000000">
            <w:pPr>
              <w:jc w:val="right"/>
            </w:pPr>
            <w:r>
              <w:rPr>
                <w:rFonts w:ascii="Arial" w:hAnsi="Arial"/>
                <w:sz w:val="18"/>
              </w:rPr>
              <w:t>-339,098</w:t>
            </w:r>
          </w:p>
        </w:tc>
      </w:tr>
    </w:tbl>
    <w:p w14:paraId="58AC6510" w14:textId="77777777" w:rsidR="006E4579" w:rsidRDefault="00000000">
      <w:r>
        <w:rPr>
          <w:rFonts w:ascii="Arial" w:hAnsi="Arial"/>
          <w:i/>
          <w:sz w:val="16"/>
        </w:rPr>
        <w:t>Source: Source: Institution Learning &amp; Development system. Total training hours calculated as average hours × FTE count.</w:t>
      </w:r>
    </w:p>
    <w:p w14:paraId="68ADEDCD" w14:textId="77777777" w:rsidR="006E4579" w:rsidRDefault="006E4579"/>
    <w:p w14:paraId="7388CD40" w14:textId="77777777" w:rsidR="006E4579" w:rsidRDefault="00000000">
      <w:r>
        <w:rPr>
          <w:rFonts w:ascii="Arial" w:hAnsi="Arial"/>
          <w:b/>
          <w:sz w:val="20"/>
        </w:rPr>
        <w:t>Table 48: Table 2.1.4: Diversity Indicators</w:t>
      </w:r>
    </w:p>
    <w:tbl>
      <w:tblPr>
        <w:tblW w:w="0" w:type="auto"/>
        <w:jc w:val="center"/>
        <w:tblLook w:val="04A0" w:firstRow="1" w:lastRow="0" w:firstColumn="1" w:lastColumn="0" w:noHBand="0" w:noVBand="1"/>
      </w:tblPr>
      <w:tblGrid>
        <w:gridCol w:w="2257"/>
        <w:gridCol w:w="2257"/>
        <w:gridCol w:w="2257"/>
        <w:gridCol w:w="2257"/>
      </w:tblGrid>
      <w:tr w:rsidR="006E4579" w14:paraId="1157C2A2" w14:textId="77777777">
        <w:trPr>
          <w:jc w:val="center"/>
        </w:trPr>
        <w:tc>
          <w:tcPr>
            <w:tcW w:w="2257" w:type="dxa"/>
            <w:shd w:val="clear" w:color="auto" w:fill="1B3A6B"/>
          </w:tcPr>
          <w:p w14:paraId="62371326" w14:textId="77777777" w:rsidR="006E4579" w:rsidRDefault="00000000">
            <w:r>
              <w:rPr>
                <w:rFonts w:ascii="Arial" w:hAnsi="Arial"/>
                <w:b/>
                <w:color w:val="FFFFFF"/>
                <w:sz w:val="18"/>
              </w:rPr>
              <w:t>Metric</w:t>
            </w:r>
          </w:p>
        </w:tc>
        <w:tc>
          <w:tcPr>
            <w:tcW w:w="2257" w:type="dxa"/>
            <w:shd w:val="clear" w:color="auto" w:fill="1B3A6B"/>
          </w:tcPr>
          <w:p w14:paraId="75E67F3B" w14:textId="77777777" w:rsidR="006E4579" w:rsidRDefault="00000000">
            <w:r>
              <w:rPr>
                <w:rFonts w:ascii="Arial" w:hAnsi="Arial"/>
                <w:b/>
                <w:color w:val="FFFFFF"/>
                <w:sz w:val="18"/>
              </w:rPr>
              <w:t>2024</w:t>
            </w:r>
          </w:p>
        </w:tc>
        <w:tc>
          <w:tcPr>
            <w:tcW w:w="2257" w:type="dxa"/>
            <w:shd w:val="clear" w:color="auto" w:fill="1B3A6B"/>
          </w:tcPr>
          <w:p w14:paraId="26ABDFE3" w14:textId="77777777" w:rsidR="006E4579" w:rsidRDefault="00000000">
            <w:r>
              <w:rPr>
                <w:rFonts w:ascii="Arial" w:hAnsi="Arial"/>
                <w:b/>
                <w:color w:val="FFFFFF"/>
                <w:sz w:val="18"/>
              </w:rPr>
              <w:t>2023</w:t>
            </w:r>
          </w:p>
        </w:tc>
        <w:tc>
          <w:tcPr>
            <w:tcW w:w="2257" w:type="dxa"/>
            <w:shd w:val="clear" w:color="auto" w:fill="1B3A6B"/>
          </w:tcPr>
          <w:p w14:paraId="2AB8DF35" w14:textId="77777777" w:rsidR="006E4579" w:rsidRDefault="00000000">
            <w:r>
              <w:rPr>
                <w:rFonts w:ascii="Arial" w:hAnsi="Arial"/>
                <w:b/>
                <w:color w:val="FFFFFF"/>
                <w:sz w:val="18"/>
              </w:rPr>
              <w:t>Change</w:t>
            </w:r>
          </w:p>
        </w:tc>
      </w:tr>
      <w:tr w:rsidR="006E4579" w14:paraId="4E31648A" w14:textId="77777777">
        <w:trPr>
          <w:jc w:val="center"/>
        </w:trPr>
        <w:tc>
          <w:tcPr>
            <w:tcW w:w="2257" w:type="dxa"/>
          </w:tcPr>
          <w:p w14:paraId="6ED2742D" w14:textId="77777777" w:rsidR="006E4579" w:rsidRDefault="00000000">
            <w:r>
              <w:rPr>
                <w:rFonts w:ascii="Arial" w:hAnsi="Arial"/>
                <w:sz w:val="18"/>
              </w:rPr>
              <w:t>Female Workforce Representation (%)</w:t>
            </w:r>
          </w:p>
        </w:tc>
        <w:tc>
          <w:tcPr>
            <w:tcW w:w="2257" w:type="dxa"/>
          </w:tcPr>
          <w:p w14:paraId="1ABFCC73" w14:textId="77777777" w:rsidR="006E4579" w:rsidRDefault="00000000">
            <w:pPr>
              <w:jc w:val="right"/>
            </w:pPr>
            <w:r>
              <w:rPr>
                <w:rFonts w:ascii="Arial" w:hAnsi="Arial"/>
                <w:sz w:val="18"/>
              </w:rPr>
              <w:t>42.32%</w:t>
            </w:r>
          </w:p>
        </w:tc>
        <w:tc>
          <w:tcPr>
            <w:tcW w:w="2257" w:type="dxa"/>
          </w:tcPr>
          <w:p w14:paraId="4B13130C" w14:textId="77777777" w:rsidR="006E4579" w:rsidRDefault="00000000">
            <w:pPr>
              <w:jc w:val="right"/>
            </w:pPr>
            <w:r>
              <w:rPr>
                <w:rFonts w:ascii="Arial" w:hAnsi="Arial"/>
                <w:sz w:val="18"/>
              </w:rPr>
              <w:t>46.2%</w:t>
            </w:r>
          </w:p>
        </w:tc>
        <w:tc>
          <w:tcPr>
            <w:tcW w:w="2257" w:type="dxa"/>
          </w:tcPr>
          <w:p w14:paraId="35CE80D6" w14:textId="77777777" w:rsidR="006E4579" w:rsidRDefault="00000000">
            <w:r>
              <w:rPr>
                <w:rFonts w:ascii="Arial" w:hAnsi="Arial"/>
                <w:sz w:val="18"/>
              </w:rPr>
              <w:t>-3.88pp</w:t>
            </w:r>
          </w:p>
        </w:tc>
      </w:tr>
      <w:tr w:rsidR="006E4579" w14:paraId="6AD768D0" w14:textId="77777777">
        <w:trPr>
          <w:jc w:val="center"/>
        </w:trPr>
        <w:tc>
          <w:tcPr>
            <w:tcW w:w="2257" w:type="dxa"/>
            <w:shd w:val="clear" w:color="auto" w:fill="F2F6FC"/>
          </w:tcPr>
          <w:p w14:paraId="57EAD0F5" w14:textId="77777777" w:rsidR="006E4579" w:rsidRDefault="00000000">
            <w:r>
              <w:rPr>
                <w:rFonts w:ascii="Arial" w:hAnsi="Arial"/>
                <w:sz w:val="18"/>
              </w:rPr>
              <w:t>Female Management Representation (%)</w:t>
            </w:r>
          </w:p>
        </w:tc>
        <w:tc>
          <w:tcPr>
            <w:tcW w:w="2257" w:type="dxa"/>
            <w:shd w:val="clear" w:color="auto" w:fill="F2F6FC"/>
          </w:tcPr>
          <w:p w14:paraId="665F2423" w14:textId="77777777" w:rsidR="006E4579" w:rsidRDefault="00000000">
            <w:pPr>
              <w:jc w:val="right"/>
            </w:pPr>
            <w:r>
              <w:rPr>
                <w:rFonts w:ascii="Arial" w:hAnsi="Arial"/>
                <w:sz w:val="18"/>
              </w:rPr>
              <w:t>26.67%</w:t>
            </w:r>
          </w:p>
        </w:tc>
        <w:tc>
          <w:tcPr>
            <w:tcW w:w="2257" w:type="dxa"/>
            <w:shd w:val="clear" w:color="auto" w:fill="F2F6FC"/>
          </w:tcPr>
          <w:p w14:paraId="6AFA4A73" w14:textId="77777777" w:rsidR="006E4579" w:rsidRDefault="00000000">
            <w:pPr>
              <w:jc w:val="right"/>
            </w:pPr>
            <w:r>
              <w:rPr>
                <w:rFonts w:ascii="Arial" w:hAnsi="Arial"/>
                <w:sz w:val="18"/>
              </w:rPr>
              <w:t>28.45%</w:t>
            </w:r>
          </w:p>
        </w:tc>
        <w:tc>
          <w:tcPr>
            <w:tcW w:w="2257" w:type="dxa"/>
            <w:shd w:val="clear" w:color="auto" w:fill="F2F6FC"/>
          </w:tcPr>
          <w:p w14:paraId="1F0701A9" w14:textId="77777777" w:rsidR="006E4579" w:rsidRDefault="00000000">
            <w:r>
              <w:rPr>
                <w:rFonts w:ascii="Arial" w:hAnsi="Arial"/>
                <w:sz w:val="18"/>
              </w:rPr>
              <w:t>-1.78pp</w:t>
            </w:r>
          </w:p>
        </w:tc>
      </w:tr>
      <w:tr w:rsidR="006E4579" w14:paraId="1F0A6E48" w14:textId="77777777">
        <w:trPr>
          <w:jc w:val="center"/>
        </w:trPr>
        <w:tc>
          <w:tcPr>
            <w:tcW w:w="2257" w:type="dxa"/>
          </w:tcPr>
          <w:p w14:paraId="64DCEB25" w14:textId="77777777" w:rsidR="006E4579" w:rsidRDefault="00000000">
            <w:r>
              <w:rPr>
                <w:rFonts w:ascii="Arial" w:hAnsi="Arial"/>
                <w:sz w:val="18"/>
              </w:rPr>
              <w:t>Male Workforce Representation (%)</w:t>
            </w:r>
          </w:p>
        </w:tc>
        <w:tc>
          <w:tcPr>
            <w:tcW w:w="2257" w:type="dxa"/>
          </w:tcPr>
          <w:p w14:paraId="0A35E6C0" w14:textId="77777777" w:rsidR="006E4579" w:rsidRDefault="00000000">
            <w:pPr>
              <w:jc w:val="right"/>
            </w:pPr>
            <w:r>
              <w:rPr>
                <w:rFonts w:ascii="Arial" w:hAnsi="Arial"/>
                <w:sz w:val="18"/>
              </w:rPr>
              <w:t>57.68%</w:t>
            </w:r>
          </w:p>
        </w:tc>
        <w:tc>
          <w:tcPr>
            <w:tcW w:w="2257" w:type="dxa"/>
          </w:tcPr>
          <w:p w14:paraId="50E21456" w14:textId="77777777" w:rsidR="006E4579" w:rsidRDefault="00000000">
            <w:pPr>
              <w:jc w:val="right"/>
            </w:pPr>
            <w:r>
              <w:rPr>
                <w:rFonts w:ascii="Arial" w:hAnsi="Arial"/>
                <w:sz w:val="18"/>
              </w:rPr>
              <w:t>53.8%</w:t>
            </w:r>
          </w:p>
        </w:tc>
        <w:tc>
          <w:tcPr>
            <w:tcW w:w="2257" w:type="dxa"/>
          </w:tcPr>
          <w:p w14:paraId="0C33171D" w14:textId="77777777" w:rsidR="006E4579" w:rsidRDefault="00000000">
            <w:r>
              <w:rPr>
                <w:rFonts w:ascii="Arial" w:hAnsi="Arial"/>
                <w:sz w:val="18"/>
              </w:rPr>
              <w:t>+3.88pp</w:t>
            </w:r>
          </w:p>
        </w:tc>
      </w:tr>
      <w:tr w:rsidR="006E4579" w14:paraId="4FF9B47D" w14:textId="77777777">
        <w:trPr>
          <w:jc w:val="center"/>
        </w:trPr>
        <w:tc>
          <w:tcPr>
            <w:tcW w:w="2257" w:type="dxa"/>
            <w:shd w:val="clear" w:color="auto" w:fill="F2F6FC"/>
          </w:tcPr>
          <w:p w14:paraId="6E358337" w14:textId="77777777" w:rsidR="006E4579" w:rsidRDefault="00000000">
            <w:r>
              <w:rPr>
                <w:rFonts w:ascii="Arial" w:hAnsi="Arial"/>
                <w:sz w:val="18"/>
              </w:rPr>
              <w:t xml:space="preserve">Male Management </w:t>
            </w:r>
            <w:r>
              <w:rPr>
                <w:rFonts w:ascii="Arial" w:hAnsi="Arial"/>
                <w:sz w:val="18"/>
              </w:rPr>
              <w:lastRenderedPageBreak/>
              <w:t>Representation (%)</w:t>
            </w:r>
          </w:p>
        </w:tc>
        <w:tc>
          <w:tcPr>
            <w:tcW w:w="2257" w:type="dxa"/>
            <w:shd w:val="clear" w:color="auto" w:fill="F2F6FC"/>
          </w:tcPr>
          <w:p w14:paraId="15F7C4A0" w14:textId="77777777" w:rsidR="006E4579" w:rsidRDefault="00000000">
            <w:pPr>
              <w:jc w:val="right"/>
            </w:pPr>
            <w:r>
              <w:rPr>
                <w:rFonts w:ascii="Arial" w:hAnsi="Arial"/>
                <w:sz w:val="18"/>
              </w:rPr>
              <w:lastRenderedPageBreak/>
              <w:t>73.33%</w:t>
            </w:r>
          </w:p>
        </w:tc>
        <w:tc>
          <w:tcPr>
            <w:tcW w:w="2257" w:type="dxa"/>
            <w:shd w:val="clear" w:color="auto" w:fill="F2F6FC"/>
          </w:tcPr>
          <w:p w14:paraId="5D3EFA7A" w14:textId="77777777" w:rsidR="006E4579" w:rsidRDefault="00000000">
            <w:pPr>
              <w:jc w:val="right"/>
            </w:pPr>
            <w:r>
              <w:rPr>
                <w:rFonts w:ascii="Arial" w:hAnsi="Arial"/>
                <w:sz w:val="18"/>
              </w:rPr>
              <w:t>71.55%</w:t>
            </w:r>
          </w:p>
        </w:tc>
        <w:tc>
          <w:tcPr>
            <w:tcW w:w="2257" w:type="dxa"/>
            <w:shd w:val="clear" w:color="auto" w:fill="F2F6FC"/>
          </w:tcPr>
          <w:p w14:paraId="541BF7AE" w14:textId="77777777" w:rsidR="006E4579" w:rsidRDefault="00000000">
            <w:r>
              <w:rPr>
                <w:rFonts w:ascii="Arial" w:hAnsi="Arial"/>
                <w:sz w:val="18"/>
              </w:rPr>
              <w:t>+1.78pp</w:t>
            </w:r>
          </w:p>
        </w:tc>
      </w:tr>
    </w:tbl>
    <w:p w14:paraId="398DF6ED" w14:textId="77777777" w:rsidR="006E4579" w:rsidRDefault="00000000">
      <w:r>
        <w:rPr>
          <w:rFonts w:ascii="Arial" w:hAnsi="Arial"/>
          <w:i/>
          <w:sz w:val="16"/>
        </w:rPr>
        <w:t>Source: Source: Institution HRIS data. Management includes all supervisory and executive positions. pp = percentage points.</w:t>
      </w:r>
    </w:p>
    <w:p w14:paraId="1646C1EF" w14:textId="77777777" w:rsidR="006E4579" w:rsidRDefault="006E4579"/>
    <w:p w14:paraId="338AAD84" w14:textId="77777777" w:rsidR="006E4579" w:rsidRDefault="00000000">
      <w:r>
        <w:rPr>
          <w:rFonts w:ascii="Arial" w:hAnsi="Arial"/>
          <w:b/>
          <w:sz w:val="20"/>
        </w:rPr>
        <w:t>Table 50: Table 2.1.5: Non-Discrimination Incidents</w:t>
      </w:r>
    </w:p>
    <w:tbl>
      <w:tblPr>
        <w:tblW w:w="0" w:type="auto"/>
        <w:jc w:val="center"/>
        <w:tblLook w:val="04A0" w:firstRow="1" w:lastRow="0" w:firstColumn="1" w:lastColumn="0" w:noHBand="0" w:noVBand="1"/>
      </w:tblPr>
      <w:tblGrid>
        <w:gridCol w:w="3010"/>
        <w:gridCol w:w="3010"/>
        <w:gridCol w:w="3010"/>
      </w:tblGrid>
      <w:tr w:rsidR="006E4579" w14:paraId="3BF11AB5" w14:textId="77777777">
        <w:trPr>
          <w:jc w:val="center"/>
        </w:trPr>
        <w:tc>
          <w:tcPr>
            <w:tcW w:w="3010" w:type="dxa"/>
            <w:shd w:val="clear" w:color="auto" w:fill="1B3A6B"/>
          </w:tcPr>
          <w:p w14:paraId="6A2F6390" w14:textId="77777777" w:rsidR="006E4579" w:rsidRDefault="00000000">
            <w:r>
              <w:rPr>
                <w:rFonts w:ascii="Arial" w:hAnsi="Arial"/>
                <w:b/>
                <w:color w:val="FFFFFF"/>
                <w:sz w:val="18"/>
              </w:rPr>
              <w:t>Metric</w:t>
            </w:r>
          </w:p>
        </w:tc>
        <w:tc>
          <w:tcPr>
            <w:tcW w:w="3010" w:type="dxa"/>
            <w:shd w:val="clear" w:color="auto" w:fill="1B3A6B"/>
          </w:tcPr>
          <w:p w14:paraId="370B7783" w14:textId="77777777" w:rsidR="006E4579" w:rsidRDefault="00000000">
            <w:r>
              <w:rPr>
                <w:rFonts w:ascii="Arial" w:hAnsi="Arial"/>
                <w:b/>
                <w:color w:val="FFFFFF"/>
                <w:sz w:val="18"/>
              </w:rPr>
              <w:t>2024</w:t>
            </w:r>
          </w:p>
        </w:tc>
        <w:tc>
          <w:tcPr>
            <w:tcW w:w="3010" w:type="dxa"/>
            <w:shd w:val="clear" w:color="auto" w:fill="1B3A6B"/>
          </w:tcPr>
          <w:p w14:paraId="4DF49B28" w14:textId="77777777" w:rsidR="006E4579" w:rsidRDefault="00000000">
            <w:r>
              <w:rPr>
                <w:rFonts w:ascii="Arial" w:hAnsi="Arial"/>
                <w:b/>
                <w:color w:val="FFFFFF"/>
                <w:sz w:val="18"/>
              </w:rPr>
              <w:t>2023</w:t>
            </w:r>
          </w:p>
        </w:tc>
      </w:tr>
      <w:tr w:rsidR="006E4579" w14:paraId="3A3E7EE6" w14:textId="77777777">
        <w:trPr>
          <w:jc w:val="center"/>
        </w:trPr>
        <w:tc>
          <w:tcPr>
            <w:tcW w:w="3010" w:type="dxa"/>
          </w:tcPr>
          <w:p w14:paraId="2B9A6F0B" w14:textId="77777777" w:rsidR="006E4579" w:rsidRDefault="00000000">
            <w:r>
              <w:rPr>
                <w:rFonts w:ascii="Arial" w:hAnsi="Arial"/>
                <w:sz w:val="18"/>
              </w:rPr>
              <w:t>Discrimination Cases Reported</w:t>
            </w:r>
          </w:p>
        </w:tc>
        <w:tc>
          <w:tcPr>
            <w:tcW w:w="3010" w:type="dxa"/>
          </w:tcPr>
          <w:p w14:paraId="5EA2B1F1" w14:textId="77777777" w:rsidR="006E4579" w:rsidRDefault="00000000">
            <w:pPr>
              <w:jc w:val="right"/>
            </w:pPr>
            <w:r>
              <w:rPr>
                <w:rFonts w:ascii="Arial" w:hAnsi="Arial"/>
                <w:sz w:val="18"/>
              </w:rPr>
              <w:t>2</w:t>
            </w:r>
          </w:p>
        </w:tc>
        <w:tc>
          <w:tcPr>
            <w:tcW w:w="3010" w:type="dxa"/>
          </w:tcPr>
          <w:p w14:paraId="22914631" w14:textId="77777777" w:rsidR="006E4579" w:rsidRDefault="00000000">
            <w:pPr>
              <w:jc w:val="right"/>
            </w:pPr>
            <w:r>
              <w:rPr>
                <w:rFonts w:ascii="Arial" w:hAnsi="Arial"/>
                <w:sz w:val="18"/>
              </w:rPr>
              <w:t>3</w:t>
            </w:r>
          </w:p>
        </w:tc>
      </w:tr>
      <w:tr w:rsidR="006E4579" w14:paraId="359FFB57" w14:textId="77777777">
        <w:trPr>
          <w:jc w:val="center"/>
        </w:trPr>
        <w:tc>
          <w:tcPr>
            <w:tcW w:w="3010" w:type="dxa"/>
            <w:shd w:val="clear" w:color="auto" w:fill="F2F6FC"/>
          </w:tcPr>
          <w:p w14:paraId="0A9700C5" w14:textId="77777777" w:rsidR="006E4579" w:rsidRDefault="00000000">
            <w:r>
              <w:rPr>
                <w:rFonts w:ascii="Arial" w:hAnsi="Arial"/>
                <w:sz w:val="18"/>
              </w:rPr>
              <w:t>Cases Investigated</w:t>
            </w:r>
          </w:p>
        </w:tc>
        <w:tc>
          <w:tcPr>
            <w:tcW w:w="3010" w:type="dxa"/>
            <w:shd w:val="clear" w:color="auto" w:fill="F2F6FC"/>
          </w:tcPr>
          <w:p w14:paraId="5E05366B" w14:textId="77777777" w:rsidR="006E4579" w:rsidRDefault="00000000">
            <w:pPr>
              <w:jc w:val="right"/>
            </w:pPr>
            <w:r>
              <w:rPr>
                <w:rFonts w:ascii="Arial" w:hAnsi="Arial"/>
                <w:sz w:val="18"/>
              </w:rPr>
              <w:t>2</w:t>
            </w:r>
          </w:p>
        </w:tc>
        <w:tc>
          <w:tcPr>
            <w:tcW w:w="3010" w:type="dxa"/>
            <w:shd w:val="clear" w:color="auto" w:fill="F2F6FC"/>
          </w:tcPr>
          <w:p w14:paraId="09059133" w14:textId="77777777" w:rsidR="006E4579" w:rsidRDefault="00000000">
            <w:pPr>
              <w:jc w:val="right"/>
            </w:pPr>
            <w:r>
              <w:rPr>
                <w:rFonts w:ascii="Arial" w:hAnsi="Arial"/>
                <w:sz w:val="18"/>
              </w:rPr>
              <w:t>3</w:t>
            </w:r>
          </w:p>
        </w:tc>
      </w:tr>
      <w:tr w:rsidR="006E4579" w14:paraId="2B8F44EA" w14:textId="77777777">
        <w:trPr>
          <w:jc w:val="center"/>
        </w:trPr>
        <w:tc>
          <w:tcPr>
            <w:tcW w:w="3010" w:type="dxa"/>
          </w:tcPr>
          <w:p w14:paraId="5579F9B8" w14:textId="77777777" w:rsidR="006E4579" w:rsidRDefault="00000000">
            <w:r>
              <w:rPr>
                <w:rFonts w:ascii="Arial" w:hAnsi="Arial"/>
                <w:sz w:val="18"/>
              </w:rPr>
              <w:t>Cases with Remediation Completed</w:t>
            </w:r>
          </w:p>
        </w:tc>
        <w:tc>
          <w:tcPr>
            <w:tcW w:w="3010" w:type="dxa"/>
          </w:tcPr>
          <w:p w14:paraId="436DDBC3" w14:textId="77777777" w:rsidR="006E4579" w:rsidRDefault="00000000">
            <w:pPr>
              <w:jc w:val="right"/>
            </w:pPr>
            <w:r>
              <w:rPr>
                <w:rFonts w:ascii="Arial" w:hAnsi="Arial"/>
                <w:sz w:val="18"/>
              </w:rPr>
              <w:t>2</w:t>
            </w:r>
          </w:p>
        </w:tc>
        <w:tc>
          <w:tcPr>
            <w:tcW w:w="3010" w:type="dxa"/>
          </w:tcPr>
          <w:p w14:paraId="6894B276" w14:textId="77777777" w:rsidR="006E4579" w:rsidRDefault="00000000">
            <w:pPr>
              <w:jc w:val="right"/>
            </w:pPr>
            <w:r>
              <w:rPr>
                <w:rFonts w:ascii="Arial" w:hAnsi="Arial"/>
                <w:sz w:val="18"/>
              </w:rPr>
              <w:t>3</w:t>
            </w:r>
          </w:p>
        </w:tc>
      </w:tr>
      <w:tr w:rsidR="006E4579" w14:paraId="416FF622" w14:textId="77777777">
        <w:trPr>
          <w:jc w:val="center"/>
        </w:trPr>
        <w:tc>
          <w:tcPr>
            <w:tcW w:w="3010" w:type="dxa"/>
            <w:shd w:val="clear" w:color="auto" w:fill="F2F6FC"/>
          </w:tcPr>
          <w:p w14:paraId="32539C00" w14:textId="77777777" w:rsidR="006E4579" w:rsidRDefault="00000000">
            <w:r>
              <w:rPr>
                <w:rFonts w:ascii="Arial" w:hAnsi="Arial"/>
                <w:sz w:val="18"/>
              </w:rPr>
              <w:t>Cases Pending Resolution</w:t>
            </w:r>
          </w:p>
        </w:tc>
        <w:tc>
          <w:tcPr>
            <w:tcW w:w="3010" w:type="dxa"/>
            <w:shd w:val="clear" w:color="auto" w:fill="F2F6FC"/>
          </w:tcPr>
          <w:p w14:paraId="4C94816B" w14:textId="77777777" w:rsidR="006E4579" w:rsidRDefault="00000000">
            <w:pPr>
              <w:jc w:val="right"/>
            </w:pPr>
            <w:r>
              <w:rPr>
                <w:rFonts w:ascii="Arial" w:hAnsi="Arial"/>
                <w:sz w:val="18"/>
              </w:rPr>
              <w:t>0</w:t>
            </w:r>
          </w:p>
        </w:tc>
        <w:tc>
          <w:tcPr>
            <w:tcW w:w="3010" w:type="dxa"/>
            <w:shd w:val="clear" w:color="auto" w:fill="F2F6FC"/>
          </w:tcPr>
          <w:p w14:paraId="7835C268" w14:textId="77777777" w:rsidR="006E4579" w:rsidRDefault="00000000">
            <w:pPr>
              <w:jc w:val="right"/>
            </w:pPr>
            <w:r>
              <w:rPr>
                <w:rFonts w:ascii="Arial" w:hAnsi="Arial"/>
                <w:sz w:val="18"/>
              </w:rPr>
              <w:t>0</w:t>
            </w:r>
          </w:p>
        </w:tc>
      </w:tr>
    </w:tbl>
    <w:p w14:paraId="7F4254FC" w14:textId="77777777" w:rsidR="006E4579" w:rsidRDefault="00000000">
      <w:r>
        <w:rPr>
          <w:rFonts w:ascii="Arial" w:hAnsi="Arial"/>
          <w:i/>
          <w:sz w:val="16"/>
        </w:rPr>
        <w:t>Source: Source: Institution Ethics &amp; Compliance system. All cases reported through formal channels and investigated per internal policy.</w:t>
      </w:r>
    </w:p>
    <w:p w14:paraId="2EC33132" w14:textId="77777777" w:rsidR="006E4579" w:rsidRDefault="006E4579"/>
    <w:p w14:paraId="11432981" w14:textId="77777777" w:rsidR="006E4579" w:rsidRDefault="00000000">
      <w:r>
        <w:rPr>
          <w:rFonts w:ascii="Arial" w:hAnsi="Arial"/>
          <w:b/>
          <w:sz w:val="20"/>
        </w:rPr>
        <w:t>Table 52: Table 2.1.6: Framework Cross-Reference</w:t>
      </w:r>
    </w:p>
    <w:tbl>
      <w:tblPr>
        <w:tblW w:w="0" w:type="auto"/>
        <w:jc w:val="center"/>
        <w:tblLook w:val="04A0" w:firstRow="1" w:lastRow="0" w:firstColumn="1" w:lastColumn="0" w:noHBand="0" w:noVBand="1"/>
      </w:tblPr>
      <w:tblGrid>
        <w:gridCol w:w="2257"/>
        <w:gridCol w:w="2257"/>
        <w:gridCol w:w="2257"/>
        <w:gridCol w:w="2257"/>
      </w:tblGrid>
      <w:tr w:rsidR="006E4579" w14:paraId="0757A165" w14:textId="77777777">
        <w:trPr>
          <w:jc w:val="center"/>
        </w:trPr>
        <w:tc>
          <w:tcPr>
            <w:tcW w:w="2257" w:type="dxa"/>
            <w:shd w:val="clear" w:color="auto" w:fill="1B3A6B"/>
          </w:tcPr>
          <w:p w14:paraId="589BE146" w14:textId="77777777" w:rsidR="006E4579" w:rsidRDefault="00000000">
            <w:r>
              <w:rPr>
                <w:rFonts w:ascii="Arial" w:hAnsi="Arial"/>
                <w:b/>
                <w:color w:val="FFFFFF"/>
                <w:sz w:val="18"/>
              </w:rPr>
              <w:t>Framework</w:t>
            </w:r>
          </w:p>
        </w:tc>
        <w:tc>
          <w:tcPr>
            <w:tcW w:w="2257" w:type="dxa"/>
            <w:shd w:val="clear" w:color="auto" w:fill="1B3A6B"/>
          </w:tcPr>
          <w:p w14:paraId="6F1E2919" w14:textId="77777777" w:rsidR="006E4579" w:rsidRDefault="00000000">
            <w:r>
              <w:rPr>
                <w:rFonts w:ascii="Arial" w:hAnsi="Arial"/>
                <w:b/>
                <w:color w:val="FFFFFF"/>
                <w:sz w:val="18"/>
              </w:rPr>
              <w:t>Disclosure Ref</w:t>
            </w:r>
          </w:p>
        </w:tc>
        <w:tc>
          <w:tcPr>
            <w:tcW w:w="2257" w:type="dxa"/>
            <w:shd w:val="clear" w:color="auto" w:fill="1B3A6B"/>
          </w:tcPr>
          <w:p w14:paraId="731B88C8" w14:textId="77777777" w:rsidR="006E4579" w:rsidRDefault="00000000">
            <w:r>
              <w:rPr>
                <w:rFonts w:ascii="Arial" w:hAnsi="Arial"/>
                <w:b/>
                <w:color w:val="FFFFFF"/>
                <w:sz w:val="18"/>
              </w:rPr>
              <w:t>Requirement</w:t>
            </w:r>
          </w:p>
        </w:tc>
        <w:tc>
          <w:tcPr>
            <w:tcW w:w="2257" w:type="dxa"/>
            <w:shd w:val="clear" w:color="auto" w:fill="1B3A6B"/>
          </w:tcPr>
          <w:p w14:paraId="025B65A8" w14:textId="77777777" w:rsidR="006E4579" w:rsidRDefault="00000000">
            <w:r>
              <w:rPr>
                <w:rFonts w:ascii="Arial" w:hAnsi="Arial"/>
                <w:b/>
                <w:color w:val="FFFFFF"/>
                <w:sz w:val="18"/>
              </w:rPr>
              <w:t>Status</w:t>
            </w:r>
          </w:p>
        </w:tc>
      </w:tr>
      <w:tr w:rsidR="006E4579" w14:paraId="5014C709" w14:textId="77777777">
        <w:trPr>
          <w:jc w:val="center"/>
        </w:trPr>
        <w:tc>
          <w:tcPr>
            <w:tcW w:w="2257" w:type="dxa"/>
          </w:tcPr>
          <w:p w14:paraId="47D75E7C" w14:textId="77777777" w:rsidR="006E4579" w:rsidRDefault="00000000">
            <w:r>
              <w:rPr>
                <w:rFonts w:ascii="Arial" w:hAnsi="Arial"/>
                <w:sz w:val="18"/>
              </w:rPr>
              <w:t>GRI 2-7</w:t>
            </w:r>
          </w:p>
        </w:tc>
        <w:tc>
          <w:tcPr>
            <w:tcW w:w="2257" w:type="dxa"/>
          </w:tcPr>
          <w:p w14:paraId="2C508DC3" w14:textId="77777777" w:rsidR="006E4579" w:rsidRDefault="00000000">
            <w:r>
              <w:rPr>
                <w:rFonts w:ascii="Arial" w:hAnsi="Arial"/>
                <w:sz w:val="18"/>
              </w:rPr>
              <w:t>2-7a</w:t>
            </w:r>
          </w:p>
        </w:tc>
        <w:tc>
          <w:tcPr>
            <w:tcW w:w="2257" w:type="dxa"/>
          </w:tcPr>
          <w:p w14:paraId="295B2A6A" w14:textId="77777777" w:rsidR="006E4579" w:rsidRDefault="00000000">
            <w:r>
              <w:rPr>
                <w:rFonts w:ascii="Arial" w:hAnsi="Arial"/>
                <w:sz w:val="18"/>
              </w:rPr>
              <w:t>Total employees by gender</w:t>
            </w:r>
          </w:p>
        </w:tc>
        <w:tc>
          <w:tcPr>
            <w:tcW w:w="2257" w:type="dxa"/>
          </w:tcPr>
          <w:p w14:paraId="2976DD4E" w14:textId="77777777" w:rsidR="006E4579" w:rsidRDefault="00000000">
            <w:r>
              <w:rPr>
                <w:rFonts w:ascii="Arial" w:hAnsi="Arial"/>
                <w:sz w:val="18"/>
              </w:rPr>
              <w:t>✅ Disclosed</w:t>
            </w:r>
          </w:p>
        </w:tc>
      </w:tr>
      <w:tr w:rsidR="006E4579" w14:paraId="70982AD2" w14:textId="77777777">
        <w:trPr>
          <w:jc w:val="center"/>
        </w:trPr>
        <w:tc>
          <w:tcPr>
            <w:tcW w:w="2257" w:type="dxa"/>
            <w:shd w:val="clear" w:color="auto" w:fill="F2F6FC"/>
          </w:tcPr>
          <w:p w14:paraId="48248BF8" w14:textId="77777777" w:rsidR="006E4579" w:rsidRDefault="00000000">
            <w:r>
              <w:rPr>
                <w:rFonts w:ascii="Arial" w:hAnsi="Arial"/>
                <w:sz w:val="18"/>
              </w:rPr>
              <w:t>GRI 401-1</w:t>
            </w:r>
          </w:p>
        </w:tc>
        <w:tc>
          <w:tcPr>
            <w:tcW w:w="2257" w:type="dxa"/>
            <w:shd w:val="clear" w:color="auto" w:fill="F2F6FC"/>
          </w:tcPr>
          <w:p w14:paraId="3D1A91EB" w14:textId="77777777" w:rsidR="006E4579" w:rsidRDefault="00000000">
            <w:r>
              <w:rPr>
                <w:rFonts w:ascii="Arial" w:hAnsi="Arial"/>
                <w:sz w:val="18"/>
              </w:rPr>
              <w:t>401-1a</w:t>
            </w:r>
          </w:p>
        </w:tc>
        <w:tc>
          <w:tcPr>
            <w:tcW w:w="2257" w:type="dxa"/>
            <w:shd w:val="clear" w:color="auto" w:fill="F2F6FC"/>
          </w:tcPr>
          <w:p w14:paraId="3F5CC2A2" w14:textId="77777777" w:rsidR="006E4579" w:rsidRDefault="00000000">
            <w:r>
              <w:rPr>
                <w:rFonts w:ascii="Arial" w:hAnsi="Arial"/>
                <w:sz w:val="18"/>
              </w:rPr>
              <w:t>New hires by gender</w:t>
            </w:r>
          </w:p>
        </w:tc>
        <w:tc>
          <w:tcPr>
            <w:tcW w:w="2257" w:type="dxa"/>
            <w:shd w:val="clear" w:color="auto" w:fill="F2F6FC"/>
          </w:tcPr>
          <w:p w14:paraId="64A387A8" w14:textId="77777777" w:rsidR="006E4579" w:rsidRDefault="00000000">
            <w:r>
              <w:rPr>
                <w:rFonts w:ascii="Arial" w:hAnsi="Arial"/>
                <w:sz w:val="18"/>
              </w:rPr>
              <w:t>✅ Disclosed</w:t>
            </w:r>
          </w:p>
        </w:tc>
      </w:tr>
      <w:tr w:rsidR="006E4579" w14:paraId="3C279C80" w14:textId="77777777">
        <w:trPr>
          <w:jc w:val="center"/>
        </w:trPr>
        <w:tc>
          <w:tcPr>
            <w:tcW w:w="2257" w:type="dxa"/>
          </w:tcPr>
          <w:p w14:paraId="18AF9E9F" w14:textId="77777777" w:rsidR="006E4579" w:rsidRDefault="00000000">
            <w:r>
              <w:rPr>
                <w:rFonts w:ascii="Arial" w:hAnsi="Arial"/>
                <w:sz w:val="18"/>
              </w:rPr>
              <w:t>GRI 401-1</w:t>
            </w:r>
          </w:p>
        </w:tc>
        <w:tc>
          <w:tcPr>
            <w:tcW w:w="2257" w:type="dxa"/>
          </w:tcPr>
          <w:p w14:paraId="2464F5A2" w14:textId="77777777" w:rsidR="006E4579" w:rsidRDefault="00000000">
            <w:r>
              <w:rPr>
                <w:rFonts w:ascii="Arial" w:hAnsi="Arial"/>
                <w:sz w:val="18"/>
              </w:rPr>
              <w:t>401-1b</w:t>
            </w:r>
          </w:p>
        </w:tc>
        <w:tc>
          <w:tcPr>
            <w:tcW w:w="2257" w:type="dxa"/>
          </w:tcPr>
          <w:p w14:paraId="50300059" w14:textId="77777777" w:rsidR="006E4579" w:rsidRDefault="00000000">
            <w:r>
              <w:rPr>
                <w:rFonts w:ascii="Arial" w:hAnsi="Arial"/>
                <w:sz w:val="18"/>
              </w:rPr>
              <w:t>Employee turnover</w:t>
            </w:r>
          </w:p>
        </w:tc>
        <w:tc>
          <w:tcPr>
            <w:tcW w:w="2257" w:type="dxa"/>
          </w:tcPr>
          <w:p w14:paraId="5C8A2E85" w14:textId="77777777" w:rsidR="006E4579" w:rsidRDefault="00000000">
            <w:r>
              <w:rPr>
                <w:rFonts w:ascii="Arial" w:hAnsi="Arial"/>
                <w:sz w:val="18"/>
              </w:rPr>
              <w:t>✅ Disclosed</w:t>
            </w:r>
          </w:p>
        </w:tc>
      </w:tr>
      <w:tr w:rsidR="006E4579" w14:paraId="7F88F924" w14:textId="77777777">
        <w:trPr>
          <w:jc w:val="center"/>
        </w:trPr>
        <w:tc>
          <w:tcPr>
            <w:tcW w:w="2257" w:type="dxa"/>
            <w:shd w:val="clear" w:color="auto" w:fill="F2F6FC"/>
          </w:tcPr>
          <w:p w14:paraId="56ABC1D3" w14:textId="77777777" w:rsidR="006E4579" w:rsidRDefault="00000000">
            <w:r>
              <w:rPr>
                <w:rFonts w:ascii="Arial" w:hAnsi="Arial"/>
                <w:sz w:val="18"/>
              </w:rPr>
              <w:t>GRI 404-1</w:t>
            </w:r>
          </w:p>
        </w:tc>
        <w:tc>
          <w:tcPr>
            <w:tcW w:w="2257" w:type="dxa"/>
            <w:shd w:val="clear" w:color="auto" w:fill="F2F6FC"/>
          </w:tcPr>
          <w:p w14:paraId="1637A800" w14:textId="77777777" w:rsidR="006E4579" w:rsidRDefault="00000000">
            <w:r>
              <w:rPr>
                <w:rFonts w:ascii="Arial" w:hAnsi="Arial"/>
                <w:sz w:val="18"/>
              </w:rPr>
              <w:t>404-1a</w:t>
            </w:r>
          </w:p>
        </w:tc>
        <w:tc>
          <w:tcPr>
            <w:tcW w:w="2257" w:type="dxa"/>
            <w:shd w:val="clear" w:color="auto" w:fill="F2F6FC"/>
          </w:tcPr>
          <w:p w14:paraId="7034D480" w14:textId="77777777" w:rsidR="006E4579" w:rsidRDefault="00000000">
            <w:r>
              <w:rPr>
                <w:rFonts w:ascii="Arial" w:hAnsi="Arial"/>
                <w:sz w:val="18"/>
              </w:rPr>
              <w:t>Average training hours</w:t>
            </w:r>
          </w:p>
        </w:tc>
        <w:tc>
          <w:tcPr>
            <w:tcW w:w="2257" w:type="dxa"/>
            <w:shd w:val="clear" w:color="auto" w:fill="F2F6FC"/>
          </w:tcPr>
          <w:p w14:paraId="35C91DCC" w14:textId="77777777" w:rsidR="006E4579" w:rsidRDefault="00000000">
            <w:r>
              <w:rPr>
                <w:rFonts w:ascii="Arial" w:hAnsi="Arial"/>
                <w:sz w:val="18"/>
              </w:rPr>
              <w:t>✅ Disclosed</w:t>
            </w:r>
          </w:p>
        </w:tc>
      </w:tr>
      <w:tr w:rsidR="006E4579" w14:paraId="102A7124" w14:textId="77777777">
        <w:trPr>
          <w:jc w:val="center"/>
        </w:trPr>
        <w:tc>
          <w:tcPr>
            <w:tcW w:w="2257" w:type="dxa"/>
          </w:tcPr>
          <w:p w14:paraId="44CAD8B5" w14:textId="77777777" w:rsidR="006E4579" w:rsidRDefault="00000000">
            <w:r>
              <w:rPr>
                <w:rFonts w:ascii="Arial" w:hAnsi="Arial"/>
                <w:sz w:val="18"/>
              </w:rPr>
              <w:t>GRI 405-1</w:t>
            </w:r>
          </w:p>
        </w:tc>
        <w:tc>
          <w:tcPr>
            <w:tcW w:w="2257" w:type="dxa"/>
          </w:tcPr>
          <w:p w14:paraId="34E870B2" w14:textId="77777777" w:rsidR="006E4579" w:rsidRDefault="00000000">
            <w:r>
              <w:rPr>
                <w:rFonts w:ascii="Arial" w:hAnsi="Arial"/>
                <w:sz w:val="18"/>
              </w:rPr>
              <w:t>405-1a</w:t>
            </w:r>
          </w:p>
        </w:tc>
        <w:tc>
          <w:tcPr>
            <w:tcW w:w="2257" w:type="dxa"/>
          </w:tcPr>
          <w:p w14:paraId="54382771" w14:textId="77777777" w:rsidR="006E4579" w:rsidRDefault="00000000">
            <w:r>
              <w:rPr>
                <w:rFonts w:ascii="Arial" w:hAnsi="Arial"/>
                <w:sz w:val="18"/>
              </w:rPr>
              <w:t>Diversity of employees</w:t>
            </w:r>
          </w:p>
        </w:tc>
        <w:tc>
          <w:tcPr>
            <w:tcW w:w="2257" w:type="dxa"/>
          </w:tcPr>
          <w:p w14:paraId="094DFE89" w14:textId="77777777" w:rsidR="006E4579" w:rsidRDefault="00000000">
            <w:r>
              <w:rPr>
                <w:rFonts w:ascii="Arial" w:hAnsi="Arial"/>
                <w:sz w:val="18"/>
              </w:rPr>
              <w:t>✅ Disclosed</w:t>
            </w:r>
          </w:p>
        </w:tc>
      </w:tr>
      <w:tr w:rsidR="006E4579" w14:paraId="15928F51" w14:textId="77777777">
        <w:trPr>
          <w:jc w:val="center"/>
        </w:trPr>
        <w:tc>
          <w:tcPr>
            <w:tcW w:w="2257" w:type="dxa"/>
            <w:shd w:val="clear" w:color="auto" w:fill="F2F6FC"/>
          </w:tcPr>
          <w:p w14:paraId="47431B5D" w14:textId="77777777" w:rsidR="006E4579" w:rsidRDefault="00000000">
            <w:r>
              <w:rPr>
                <w:rFonts w:ascii="Arial" w:hAnsi="Arial"/>
                <w:sz w:val="18"/>
              </w:rPr>
              <w:t>GRI 405-1</w:t>
            </w:r>
          </w:p>
        </w:tc>
        <w:tc>
          <w:tcPr>
            <w:tcW w:w="2257" w:type="dxa"/>
            <w:shd w:val="clear" w:color="auto" w:fill="F2F6FC"/>
          </w:tcPr>
          <w:p w14:paraId="747D9BD8" w14:textId="77777777" w:rsidR="006E4579" w:rsidRDefault="00000000">
            <w:r>
              <w:rPr>
                <w:rFonts w:ascii="Arial" w:hAnsi="Arial"/>
                <w:sz w:val="18"/>
              </w:rPr>
              <w:t>405-1b</w:t>
            </w:r>
          </w:p>
        </w:tc>
        <w:tc>
          <w:tcPr>
            <w:tcW w:w="2257" w:type="dxa"/>
            <w:shd w:val="clear" w:color="auto" w:fill="F2F6FC"/>
          </w:tcPr>
          <w:p w14:paraId="11D09E3D" w14:textId="77777777" w:rsidR="006E4579" w:rsidRDefault="00000000">
            <w:r>
              <w:rPr>
                <w:rFonts w:ascii="Arial" w:hAnsi="Arial"/>
                <w:sz w:val="18"/>
              </w:rPr>
              <w:t>Gender ratio in management</w:t>
            </w:r>
          </w:p>
        </w:tc>
        <w:tc>
          <w:tcPr>
            <w:tcW w:w="2257" w:type="dxa"/>
            <w:shd w:val="clear" w:color="auto" w:fill="F2F6FC"/>
          </w:tcPr>
          <w:p w14:paraId="0B534BE0" w14:textId="77777777" w:rsidR="006E4579" w:rsidRDefault="00000000">
            <w:r>
              <w:rPr>
                <w:rFonts w:ascii="Arial" w:hAnsi="Arial"/>
                <w:sz w:val="18"/>
              </w:rPr>
              <w:t>✅ Disclosed</w:t>
            </w:r>
          </w:p>
        </w:tc>
      </w:tr>
      <w:tr w:rsidR="006E4579" w14:paraId="2C20FA62" w14:textId="77777777">
        <w:trPr>
          <w:jc w:val="center"/>
        </w:trPr>
        <w:tc>
          <w:tcPr>
            <w:tcW w:w="2257" w:type="dxa"/>
          </w:tcPr>
          <w:p w14:paraId="3290E015" w14:textId="77777777" w:rsidR="006E4579" w:rsidRDefault="00000000">
            <w:r>
              <w:rPr>
                <w:rFonts w:ascii="Arial" w:hAnsi="Arial"/>
                <w:sz w:val="18"/>
              </w:rPr>
              <w:t>GRI 406-1</w:t>
            </w:r>
          </w:p>
        </w:tc>
        <w:tc>
          <w:tcPr>
            <w:tcW w:w="2257" w:type="dxa"/>
          </w:tcPr>
          <w:p w14:paraId="7AF14E4E" w14:textId="77777777" w:rsidR="006E4579" w:rsidRDefault="00000000">
            <w:r>
              <w:rPr>
                <w:rFonts w:ascii="Arial" w:hAnsi="Arial"/>
                <w:sz w:val="18"/>
              </w:rPr>
              <w:t>406-1a</w:t>
            </w:r>
          </w:p>
        </w:tc>
        <w:tc>
          <w:tcPr>
            <w:tcW w:w="2257" w:type="dxa"/>
          </w:tcPr>
          <w:p w14:paraId="16560DE2" w14:textId="77777777" w:rsidR="006E4579" w:rsidRDefault="00000000">
            <w:r>
              <w:rPr>
                <w:rFonts w:ascii="Arial" w:hAnsi="Arial"/>
                <w:sz w:val="18"/>
              </w:rPr>
              <w:t>Discrimination incidents</w:t>
            </w:r>
          </w:p>
        </w:tc>
        <w:tc>
          <w:tcPr>
            <w:tcW w:w="2257" w:type="dxa"/>
          </w:tcPr>
          <w:p w14:paraId="7E5F6134" w14:textId="77777777" w:rsidR="006E4579" w:rsidRDefault="00000000">
            <w:r>
              <w:rPr>
                <w:rFonts w:ascii="Arial" w:hAnsi="Arial"/>
                <w:sz w:val="18"/>
              </w:rPr>
              <w:t>✅ Disclosed</w:t>
            </w:r>
          </w:p>
        </w:tc>
      </w:tr>
      <w:tr w:rsidR="006E4579" w14:paraId="51183F58" w14:textId="77777777">
        <w:trPr>
          <w:jc w:val="center"/>
        </w:trPr>
        <w:tc>
          <w:tcPr>
            <w:tcW w:w="2257" w:type="dxa"/>
            <w:shd w:val="clear" w:color="auto" w:fill="F2F6FC"/>
          </w:tcPr>
          <w:p w14:paraId="08324A10" w14:textId="77777777" w:rsidR="006E4579" w:rsidRDefault="00000000">
            <w:r>
              <w:rPr>
                <w:rFonts w:ascii="Arial" w:hAnsi="Arial"/>
                <w:sz w:val="18"/>
              </w:rPr>
              <w:t>ESRS S1</w:t>
            </w:r>
          </w:p>
        </w:tc>
        <w:tc>
          <w:tcPr>
            <w:tcW w:w="2257" w:type="dxa"/>
            <w:shd w:val="clear" w:color="auto" w:fill="F2F6FC"/>
          </w:tcPr>
          <w:p w14:paraId="0C4FEDBB" w14:textId="77777777" w:rsidR="006E4579" w:rsidRDefault="00000000">
            <w:r>
              <w:rPr>
                <w:rFonts w:ascii="Arial" w:hAnsi="Arial"/>
                <w:sz w:val="18"/>
              </w:rPr>
              <w:t>Own Workforce</w:t>
            </w:r>
          </w:p>
        </w:tc>
        <w:tc>
          <w:tcPr>
            <w:tcW w:w="2257" w:type="dxa"/>
            <w:shd w:val="clear" w:color="auto" w:fill="F2F6FC"/>
          </w:tcPr>
          <w:p w14:paraId="715FCEF6" w14:textId="77777777" w:rsidR="006E4579" w:rsidRDefault="00000000">
            <w:r>
              <w:rPr>
                <w:rFonts w:ascii="Arial" w:hAnsi="Arial"/>
                <w:sz w:val="18"/>
              </w:rPr>
              <w:t>Workforce composition</w:t>
            </w:r>
          </w:p>
        </w:tc>
        <w:tc>
          <w:tcPr>
            <w:tcW w:w="2257" w:type="dxa"/>
            <w:shd w:val="clear" w:color="auto" w:fill="F2F6FC"/>
          </w:tcPr>
          <w:p w14:paraId="03939DC5" w14:textId="77777777" w:rsidR="006E4579" w:rsidRDefault="00000000">
            <w:r>
              <w:rPr>
                <w:rFonts w:ascii="Arial" w:hAnsi="Arial"/>
                <w:sz w:val="18"/>
              </w:rPr>
              <w:t>✅ Disclosed</w:t>
            </w:r>
          </w:p>
        </w:tc>
      </w:tr>
      <w:tr w:rsidR="006E4579" w14:paraId="4169C48E" w14:textId="77777777">
        <w:trPr>
          <w:jc w:val="center"/>
        </w:trPr>
        <w:tc>
          <w:tcPr>
            <w:tcW w:w="2257" w:type="dxa"/>
          </w:tcPr>
          <w:p w14:paraId="2A42F653" w14:textId="77777777" w:rsidR="006E4579" w:rsidRDefault="00000000">
            <w:r>
              <w:rPr>
                <w:rFonts w:ascii="Arial" w:hAnsi="Arial"/>
                <w:sz w:val="18"/>
              </w:rPr>
              <w:t>OJK PSPK</w:t>
            </w:r>
          </w:p>
        </w:tc>
        <w:tc>
          <w:tcPr>
            <w:tcW w:w="2257" w:type="dxa"/>
          </w:tcPr>
          <w:p w14:paraId="65F0A272" w14:textId="77777777" w:rsidR="006E4579" w:rsidRDefault="00000000">
            <w:r>
              <w:rPr>
                <w:rFonts w:ascii="Arial" w:hAnsi="Arial"/>
                <w:sz w:val="18"/>
              </w:rPr>
              <w:t>Kinerja Sosial</w:t>
            </w:r>
          </w:p>
        </w:tc>
        <w:tc>
          <w:tcPr>
            <w:tcW w:w="2257" w:type="dxa"/>
          </w:tcPr>
          <w:p w14:paraId="5B94D684" w14:textId="77777777" w:rsidR="006E4579" w:rsidRDefault="00000000">
            <w:r>
              <w:rPr>
                <w:rFonts w:ascii="Arial" w:hAnsi="Arial"/>
                <w:sz w:val="18"/>
              </w:rPr>
              <w:t>Tenaga kerja &amp; kesetaraan</w:t>
            </w:r>
          </w:p>
        </w:tc>
        <w:tc>
          <w:tcPr>
            <w:tcW w:w="2257" w:type="dxa"/>
          </w:tcPr>
          <w:p w14:paraId="77F65D64" w14:textId="77777777" w:rsidR="006E4579" w:rsidRDefault="00000000">
            <w:r>
              <w:rPr>
                <w:rFonts w:ascii="Arial" w:hAnsi="Arial"/>
                <w:sz w:val="18"/>
              </w:rPr>
              <w:t>✅ Disclosed</w:t>
            </w:r>
          </w:p>
        </w:tc>
      </w:tr>
    </w:tbl>
    <w:p w14:paraId="11A665EA" w14:textId="77777777" w:rsidR="006E4579" w:rsidRDefault="00000000">
      <w:r>
        <w:rPr>
          <w:rFonts w:ascii="Arial" w:hAnsi="Arial"/>
          <w:i/>
          <w:sz w:val="16"/>
        </w:rPr>
        <w:t>Source: Framework compliance status as of reporting period end. All mandatory disclosures completed per respective standards.</w:t>
      </w:r>
    </w:p>
    <w:p w14:paraId="37A06BD2" w14:textId="77777777" w:rsidR="006E4579" w:rsidRDefault="006E4579"/>
    <w:p w14:paraId="20551867" w14:textId="77777777" w:rsidR="006E4579" w:rsidRDefault="006E4579"/>
    <w:p w14:paraId="7B95FB56" w14:textId="77777777" w:rsidR="006E4579" w:rsidRDefault="00000000">
      <w:r>
        <w:rPr>
          <w:noProof/>
        </w:rPr>
        <w:lastRenderedPageBreak/>
        <w:drawing>
          <wp:inline distT="0" distB="0" distL="0" distR="0" wp14:anchorId="1F288696" wp14:editId="70BFF56E">
            <wp:extent cx="5029200" cy="33320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029200" cy="3332057"/>
                    </a:xfrm>
                    <a:prstGeom prst="rect">
                      <a:avLst/>
                    </a:prstGeom>
                  </pic:spPr>
                </pic:pic>
              </a:graphicData>
            </a:graphic>
          </wp:inline>
        </w:drawing>
      </w:r>
    </w:p>
    <w:p w14:paraId="43D7FCDE" w14:textId="77777777" w:rsidR="006E4579" w:rsidRDefault="00000000">
      <w:pPr>
        <w:jc w:val="center"/>
      </w:pPr>
      <w:r>
        <w:rPr>
          <w:i/>
          <w:color w:val="666666"/>
          <w:sz w:val="18"/>
        </w:rPr>
        <w:t>Figure 22: Workforce Composition by Gender (2023-2024)</w:t>
      </w:r>
    </w:p>
    <w:p w14:paraId="500C9668" w14:textId="77777777" w:rsidR="006E4579" w:rsidRDefault="00000000">
      <w:pPr>
        <w:jc w:val="center"/>
      </w:pPr>
      <w:r>
        <w:rPr>
          <w:i/>
          <w:color w:val="757575"/>
          <w:sz w:val="18"/>
        </w:rPr>
        <w:t>Female representation declined 3.88pp to 42.32% while male headcount grew 9.38% — hiring patterns reversed prior diversity gains</w:t>
      </w:r>
    </w:p>
    <w:p w14:paraId="0DF2F1BF" w14:textId="77777777" w:rsidR="006E4579" w:rsidRDefault="006E4579"/>
    <w:p w14:paraId="3C30D752" w14:textId="77777777" w:rsidR="006E4579" w:rsidRDefault="00000000">
      <w:r>
        <w:rPr>
          <w:noProof/>
        </w:rPr>
        <w:drawing>
          <wp:inline distT="0" distB="0" distL="0" distR="0" wp14:anchorId="0F3782D3" wp14:editId="5FA28C47">
            <wp:extent cx="5029200" cy="33208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29200" cy="3320851"/>
                    </a:xfrm>
                    <a:prstGeom prst="rect">
                      <a:avLst/>
                    </a:prstGeom>
                  </pic:spPr>
                </pic:pic>
              </a:graphicData>
            </a:graphic>
          </wp:inline>
        </w:drawing>
      </w:r>
    </w:p>
    <w:p w14:paraId="38C141B3" w14:textId="77777777" w:rsidR="006E4579" w:rsidRDefault="00000000">
      <w:pPr>
        <w:jc w:val="center"/>
      </w:pPr>
      <w:r>
        <w:rPr>
          <w:i/>
          <w:color w:val="666666"/>
          <w:sz w:val="18"/>
        </w:rPr>
        <w:t>Figure 23: Training Hours per FTE: Institution vs Peers</w:t>
      </w:r>
    </w:p>
    <w:p w14:paraId="690252DB" w14:textId="77777777" w:rsidR="006E4579" w:rsidRDefault="00000000">
      <w:pPr>
        <w:jc w:val="center"/>
      </w:pPr>
      <w:r>
        <w:rPr>
          <w:i/>
          <w:color w:val="757575"/>
          <w:sz w:val="18"/>
        </w:rPr>
        <w:t>Institution's 49.3 hours trails BRI (62.4) and OCBC (62.6) by 21-27% — capability investment gap widens</w:t>
      </w:r>
    </w:p>
    <w:p w14:paraId="19318BCE" w14:textId="77777777" w:rsidR="006E4579" w:rsidRDefault="006E4579"/>
    <w:p w14:paraId="1CCD1510" w14:textId="77777777" w:rsidR="006E4579" w:rsidRDefault="00000000">
      <w:r>
        <w:rPr>
          <w:noProof/>
        </w:rPr>
        <w:lastRenderedPageBreak/>
        <w:drawing>
          <wp:inline distT="0" distB="0" distL="0" distR="0" wp14:anchorId="79EC5F66" wp14:editId="7C14C390">
            <wp:extent cx="5029200" cy="327676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029200" cy="3276769"/>
                    </a:xfrm>
                    <a:prstGeom prst="rect">
                      <a:avLst/>
                    </a:prstGeom>
                  </pic:spPr>
                </pic:pic>
              </a:graphicData>
            </a:graphic>
          </wp:inline>
        </w:drawing>
      </w:r>
    </w:p>
    <w:p w14:paraId="02ADB546" w14:textId="77777777" w:rsidR="006E4579" w:rsidRDefault="00000000">
      <w:pPr>
        <w:jc w:val="center"/>
      </w:pPr>
      <w:r>
        <w:rPr>
          <w:i/>
          <w:color w:val="666666"/>
          <w:sz w:val="18"/>
        </w:rPr>
        <w:t>Figure 24: Female Management Representation: Institution vs Peers</w:t>
      </w:r>
    </w:p>
    <w:p w14:paraId="5D0FE338" w14:textId="77777777" w:rsidR="006E4579" w:rsidRDefault="00000000">
      <w:pPr>
        <w:jc w:val="center"/>
      </w:pPr>
      <w:r>
        <w:rPr>
          <w:i/>
          <w:color w:val="757575"/>
          <w:sz w:val="18"/>
        </w:rPr>
        <w:t>Institution's 26.67% falls 57% below BCA (61.6%) and 30% below DBS (38%) — significant diversity gap versus sector leaders</w:t>
      </w:r>
    </w:p>
    <w:p w14:paraId="458CBC4E" w14:textId="77777777" w:rsidR="006E4579" w:rsidRDefault="006E4579"/>
    <w:p w14:paraId="4320C877" w14:textId="77777777" w:rsidR="006E4579" w:rsidRDefault="00000000">
      <w:r>
        <w:rPr>
          <w:noProof/>
        </w:rPr>
        <w:drawing>
          <wp:inline distT="0" distB="0" distL="0" distR="0" wp14:anchorId="439F60BA" wp14:editId="544E8B52">
            <wp:extent cx="5029200" cy="333205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029200" cy="3332057"/>
                    </a:xfrm>
                    <a:prstGeom prst="rect">
                      <a:avLst/>
                    </a:prstGeom>
                  </pic:spPr>
                </pic:pic>
              </a:graphicData>
            </a:graphic>
          </wp:inline>
        </w:drawing>
      </w:r>
    </w:p>
    <w:p w14:paraId="5BB745AF" w14:textId="77777777" w:rsidR="006E4579" w:rsidRDefault="00000000">
      <w:pPr>
        <w:jc w:val="center"/>
      </w:pPr>
      <w:r>
        <w:rPr>
          <w:i/>
          <w:color w:val="666666"/>
          <w:sz w:val="18"/>
        </w:rPr>
        <w:t>Figure 25: Voluntary Turnover Rate Trend (2023-2024)</w:t>
      </w:r>
    </w:p>
    <w:p w14:paraId="20F93D37" w14:textId="77777777" w:rsidR="006E4579" w:rsidRDefault="00000000">
      <w:pPr>
        <w:jc w:val="center"/>
      </w:pPr>
      <w:r>
        <w:rPr>
          <w:i/>
          <w:color w:val="757575"/>
          <w:sz w:val="18"/>
        </w:rPr>
        <w:t>Turnover improved 40.66% to 8.45% — strong retention performance versus sector, maintain through continued investment</w:t>
      </w:r>
    </w:p>
    <w:tbl>
      <w:tblPr>
        <w:tblW w:w="0" w:type="auto"/>
        <w:jc w:val="center"/>
        <w:tblLook w:val="04A0" w:firstRow="1" w:lastRow="0" w:firstColumn="1" w:lastColumn="0" w:noHBand="0" w:noVBand="1"/>
      </w:tblPr>
      <w:tblGrid>
        <w:gridCol w:w="9029"/>
      </w:tblGrid>
      <w:tr w:rsidR="006E4579" w14:paraId="53B875DB" w14:textId="77777777">
        <w:trPr>
          <w:jc w:val="center"/>
        </w:trPr>
        <w:tc>
          <w:tcPr>
            <w:tcW w:w="9029" w:type="dxa"/>
            <w:shd w:val="clear" w:color="auto" w:fill="F2F6FA"/>
          </w:tcPr>
          <w:p w14:paraId="14AE3D60" w14:textId="77777777" w:rsidR="006E4579" w:rsidRDefault="00000000">
            <w:r>
              <w:rPr>
                <w:b/>
                <w:color w:val="1B3A6B"/>
                <w:sz w:val="18"/>
              </w:rPr>
              <w:lastRenderedPageBreak/>
              <w:t>📊 DIAGNOSTIC ANALYSIS</w:t>
            </w:r>
          </w:p>
          <w:p w14:paraId="7B754FE8" w14:textId="77777777" w:rsidR="006E4579" w:rsidRDefault="00000000">
            <w:r>
              <w:rPr>
                <w:sz w:val="20"/>
              </w:rPr>
              <w:t>The 23.14% decline in training hours per FTE from 64.14 to 49.3 hours occurred during a period of workforce expansion (+2.03%), indicating reduced per-capita investment in capability development. This trend coincides with declining female representation across both general workforce (-3.88pp) and management levels (-1.78pp), suggesting potential gaps in diversity pipeline programs and inclusive talent development. The voluntary turnover improvement to 8.45% demonstrates effective retention, but the training reduction may undermine long-term workforce capability, particularly for ESG competencies required under evolving OJK POJK 51 and SEOJK 16 sustainability reporting obligations.</w:t>
            </w:r>
          </w:p>
          <w:p w14:paraId="5E8774C9" w14:textId="77777777" w:rsidR="006E4579" w:rsidRDefault="00000000">
            <w:r>
              <w:rPr>
                <w:b/>
                <w:sz w:val="20"/>
              </w:rPr>
              <w:t>Root Causes:</w:t>
            </w:r>
          </w:p>
          <w:p w14:paraId="0D982674" w14:textId="77777777" w:rsidR="006E4579" w:rsidRDefault="00000000">
            <w:r>
              <w:rPr>
                <w:sz w:val="18"/>
              </w:rPr>
              <w:t>• Training budget allocation did not scale proportionally with 2.03% headcount growth, resulting in diluted per-capita investment</w:t>
            </w:r>
          </w:p>
          <w:p w14:paraId="2107E50B" w14:textId="77777777" w:rsidR="006E4579" w:rsidRDefault="00000000">
            <w:r>
              <w:rPr>
                <w:sz w:val="18"/>
              </w:rPr>
              <w:t>• Potential shift from comprehensive classroom programs to shorter digital modules without equivalent learning outcomes</w:t>
            </w:r>
          </w:p>
          <w:p w14:paraId="46EA939D" w14:textId="77777777" w:rsidR="006E4579" w:rsidRDefault="00000000">
            <w:r>
              <w:rPr>
                <w:sz w:val="18"/>
              </w:rPr>
              <w:t>• Hiring patterns favored male candidates (+1,237 male vs -740 female), reversing prior diversity gains</w:t>
            </w:r>
          </w:p>
          <w:p w14:paraId="302DC5DA" w14:textId="77777777" w:rsidR="006E4579" w:rsidRDefault="00000000">
            <w:r>
              <w:rPr>
                <w:sz w:val="18"/>
              </w:rPr>
              <w:t>• Absence of structured diversity pipeline programs and mentorship initiatives for women in management track</w:t>
            </w:r>
          </w:p>
          <w:p w14:paraId="670C1189" w14:textId="77777777" w:rsidR="006E4579" w:rsidRDefault="00000000">
            <w:r>
              <w:rPr>
                <w:sz w:val="18"/>
              </w:rPr>
              <w:t>• No disclosed gender pay equity analysis or Board-level diversity policy to drive accountability</w:t>
            </w:r>
          </w:p>
          <w:p w14:paraId="5509B0B3" w14:textId="77777777" w:rsidR="006E4579" w:rsidRDefault="00000000">
            <w:r>
              <w:rPr>
                <w:b/>
                <w:sz w:val="20"/>
              </w:rPr>
              <w:t>Risk Implications:</w:t>
            </w:r>
          </w:p>
          <w:p w14:paraId="6FCCAD7F" w14:textId="77777777" w:rsidR="006E4579" w:rsidRDefault="00000000">
            <w:r>
              <w:rPr>
                <w:sz w:val="18"/>
              </w:rPr>
              <w:t>• Regulatory risk: OJK POJK 51/2017 and SEOJK 16/2021 require enhanced ESG competency across workforce; training gap may impact compliance quality and reporting accuracy</w:t>
            </w:r>
          </w:p>
          <w:p w14:paraId="1A28E59D" w14:textId="77777777" w:rsidR="006E4579" w:rsidRDefault="00000000">
            <w:r>
              <w:rPr>
                <w:sz w:val="18"/>
              </w:rPr>
              <w:t>• Reputational risk: Declining female representation contradicts stated diversity commitments and falls significantly below peer benchmarks (BCA 61.6%, DBS 38% female management), potentially impacting ESG ratings (MSCI, Sustainalytics)</w:t>
            </w:r>
          </w:p>
          <w:p w14:paraId="2DFD70E8" w14:textId="77777777" w:rsidR="006E4579" w:rsidRDefault="00000000">
            <w:r>
              <w:rPr>
                <w:sz w:val="18"/>
              </w:rPr>
              <w:t>• Operational risk: Reduced training investment during sustainability transition period may create capability gaps in PCAF methodology, TCFD implementation, and climate risk assessment</w:t>
            </w:r>
          </w:p>
          <w:p w14:paraId="6EE148F3" w14:textId="77777777" w:rsidR="006E4579" w:rsidRDefault="00000000">
            <w:r>
              <w:rPr>
                <w:sz w:val="18"/>
              </w:rPr>
              <w:t>• Talent risk: Training hours below peer benchmarks (BRI 62.4, OCBC 62.6) may reduce employer attractiveness for high-potential candidates, particularly in competitive ESG and digital banking talent markets</w:t>
            </w:r>
          </w:p>
        </w:tc>
      </w:tr>
    </w:tbl>
    <w:p w14:paraId="668E3BD5" w14:textId="77777777" w:rsidR="006E4579" w:rsidRDefault="006E4579"/>
    <w:p w14:paraId="799A3C15" w14:textId="77777777" w:rsidR="006E4579" w:rsidRDefault="006E4579"/>
    <w:p w14:paraId="2CFFEC70" w14:textId="77777777" w:rsidR="006E4579" w:rsidRDefault="00000000">
      <w:r>
        <w:rPr>
          <w:b/>
          <w:color w:val="2E7D32"/>
          <w:sz w:val="24"/>
        </w:rPr>
        <w:t>⚡ Priority Actions</w:t>
      </w:r>
    </w:p>
    <w:p w14:paraId="711E536F" w14:textId="77777777" w:rsidR="006E4579" w:rsidRDefault="00000000">
      <w:r>
        <w:rPr>
          <w:b/>
        </w:rPr>
        <w:t>🔴 1. Deploy comprehensive e-learning platform with mandatory ESG competency modules for all employees, targeting 55+ hours per FTE. Structure learning paths by position level (Board/C-suite, management, staff) following BCA's annual ESG refresher model delivered with GRI/CDP/OJK collaboration. Include PCAF methodology, TCFD scenario analysis, and OJK sustainability reporting requirements.</w:t>
      </w:r>
      <w:r>
        <w:t xml:space="preserve"> (Q2 2025)</w:t>
      </w:r>
    </w:p>
    <w:p w14:paraId="3373C5DB" w14:textId="77777777" w:rsidR="006E4579" w:rsidRDefault="00000000">
      <w:pPr>
        <w:spacing w:after="160"/>
      </w:pPr>
      <w:r>
        <w:t xml:space="preserve">    → Expected: Increase training hours by 11.6% (5.7 hours per FTE), closing 39% of peer gap. Enhance ESG reporting capability and regulatory compliance readiness.</w:t>
      </w:r>
    </w:p>
    <w:p w14:paraId="7B7A3833" w14:textId="77777777" w:rsidR="006E4579" w:rsidRDefault="00000000">
      <w:pPr>
        <w:spacing w:after="160"/>
      </w:pPr>
      <w:r>
        <w:rPr>
          <w:rFonts w:ascii="Arial" w:hAnsi="Arial"/>
          <w:i/>
          <w:color w:val="646464"/>
          <w:sz w:val="18"/>
        </w:rPr>
        <w:t xml:space="preserve">    → Ref: BCA achieved 45+ hours with hybrid delivery including mandatory ESG modules for all levels. BRI delivered 62.4 hours covering Board of Commissioners to non-staff with ESG integration.</w:t>
      </w:r>
    </w:p>
    <w:p w14:paraId="1ACAEDF9" w14:textId="77777777" w:rsidR="006E4579" w:rsidRDefault="00000000">
      <w:r>
        <w:rPr>
          <w:b/>
        </w:rPr>
        <w:lastRenderedPageBreak/>
        <w:t>🔴 2. Establish formal mentorship/sponsorship program for women in middle management with explicit 30% female leadership pipeline target. Implement quarterly diversity dashboard for Board review. Conduct gender pay equity audit and commit to public disclosure of gender pay ratio in 2025 sustainability report, following DBS transparency model (1:0.99 ratio disclosed).</w:t>
      </w:r>
      <w:r>
        <w:t xml:space="preserve"> (Q3 2025)</w:t>
      </w:r>
    </w:p>
    <w:p w14:paraId="76181D3B" w14:textId="77777777" w:rsidR="006E4579" w:rsidRDefault="00000000">
      <w:pPr>
        <w:spacing w:after="160"/>
      </w:pPr>
      <w:r>
        <w:t xml:space="preserve">    → Expected: Reverse declining female management trend; target 30% female management representation within 24 months (+3.33pp improvement). Enhance ESG rating scores on social pillar.</w:t>
      </w:r>
    </w:p>
    <w:p w14:paraId="16264DFB" w14:textId="77777777" w:rsidR="006E4579" w:rsidRDefault="00000000">
      <w:pPr>
        <w:spacing w:after="160"/>
      </w:pPr>
      <w:r>
        <w:rPr>
          <w:rFonts w:ascii="Arial" w:hAnsi="Arial"/>
          <w:i/>
          <w:color w:val="646464"/>
          <w:sz w:val="18"/>
        </w:rPr>
        <w:t xml:space="preserve">    → Ref: DBS achieved 38% female management and 33% female Board representation through structured pipeline programs and transparent equal pay commitment (1:0.99 disclosed). BCA reached 61.6% female management through systematic diversity initiatives.</w:t>
      </w:r>
    </w:p>
    <w:p w14:paraId="568A5F3D" w14:textId="77777777" w:rsidR="006E4579" w:rsidRDefault="00000000">
      <w:r>
        <w:rPr>
          <w:b/>
        </w:rPr>
        <w:t>🟡 3. Codify retention best practices and implement quarterly employee pulse surveys to monitor satisfaction drivers. Maintain voluntary turnover below 9% through continued focus on competitive remuneration and career development, following BCA's retention strategy framework. Establish early warning system for turnover risk identification.</w:t>
      </w:r>
      <w:r>
        <w:t xml:space="preserve"> (Q4 2025)</w:t>
      </w:r>
    </w:p>
    <w:p w14:paraId="157484D3" w14:textId="77777777" w:rsidR="006E4579" w:rsidRDefault="00000000">
      <w:pPr>
        <w:spacing w:after="160"/>
      </w:pPr>
      <w:r>
        <w:t xml:space="preserve">    → Expected: Sustain voluntary turnover at current 8.45% level, avoiding cost increases from recruitment and onboarding (estimated IDR 50-80 million per management-level replacement).</w:t>
      </w:r>
    </w:p>
    <w:p w14:paraId="32184814" w14:textId="77777777" w:rsidR="006E4579" w:rsidRDefault="00000000">
      <w:pPr>
        <w:spacing w:after="160"/>
      </w:pPr>
      <w:r>
        <w:rPr>
          <w:rFonts w:ascii="Arial" w:hAnsi="Arial"/>
          <w:i/>
          <w:color w:val="646464"/>
          <w:sz w:val="18"/>
        </w:rPr>
        <w:t xml:space="preserve">    → Ref: BCA maintains strong retention through integrated remuneration and career development strategy, documented in sustainability reporting.</w:t>
      </w:r>
    </w:p>
    <w:p w14:paraId="6891EE4C" w14:textId="77777777" w:rsidR="006E4579" w:rsidRDefault="00000000">
      <w:r>
        <w:rPr>
          <w:b/>
        </w:rPr>
        <w:t>🟡 4. Develop Board Diversity Policy with time-bound targets for female representation at Board and senior management levels. Integrate diversity KPIs into executive remuneration framework, following DBS model where ESG metrics carry 20% weight in variable compensation. Establish gender-diverse candidate panels for all management-level hiring.</w:t>
      </w:r>
      <w:r>
        <w:t xml:space="preserve"> (Q1 2026)</w:t>
      </w:r>
    </w:p>
    <w:p w14:paraId="416FBAF1" w14:textId="77777777" w:rsidR="006E4579" w:rsidRDefault="00000000">
      <w:pPr>
        <w:spacing w:after="160"/>
      </w:pPr>
      <w:r>
        <w:t xml:space="preserve">    → Expected: Institutionalize diversity accountability through governance linkage. Support long-term target of 35-40% female management representation aligned with peer benchmarks.</w:t>
      </w:r>
    </w:p>
    <w:p w14:paraId="76638783" w14:textId="77777777" w:rsidR="006E4579" w:rsidRDefault="00000000">
      <w:pPr>
        <w:spacing w:after="160"/>
      </w:pPr>
      <w:r>
        <w:rPr>
          <w:rFonts w:ascii="Arial" w:hAnsi="Arial"/>
          <w:i/>
          <w:color w:val="646464"/>
          <w:sz w:val="18"/>
        </w:rPr>
        <w:t xml:space="preserve">    → Ref: DBS integrates ESG KPIs at 20% weight in Board remuneration and maintains gender-diverse hiring panels. BCA has Board-level ESG Committee with diversity oversight since 2021.</w:t>
      </w:r>
    </w:p>
    <w:p w14:paraId="6352B63B" w14:textId="77777777" w:rsidR="006E4579" w:rsidRDefault="006E4579"/>
    <w:p w14:paraId="7725E932" w14:textId="77777777" w:rsidR="006E4579" w:rsidRDefault="00000000">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 ESRS S1: Own Workforce; OJK POJK 51/2017: Pilar II (Sosial) - Tenaga Kerja</w:t>
      </w:r>
    </w:p>
    <w:p w14:paraId="0470155C" w14:textId="77777777" w:rsidR="006E4579" w:rsidRDefault="006E4579">
      <w:pPr>
        <w:pBdr>
          <w:bottom w:val="single" w:sz="6" w:space="1" w:color="CCCCCC"/>
        </w:pBdr>
        <w:spacing w:after="80"/>
      </w:pPr>
    </w:p>
    <w:p w14:paraId="5AF01701" w14:textId="77777777" w:rsidR="006E4579" w:rsidRDefault="00000000">
      <w:pPr>
        <w:spacing w:after="160"/>
      </w:pPr>
      <w:r>
        <w:rPr>
          <w:rFonts w:ascii="Arial" w:hAnsi="Arial"/>
          <w:i/>
          <w:color w:val="646464"/>
          <w:sz w:val="18"/>
        </w:rPr>
        <w:t>These figures have not been subject to external assurance for the current reporting period.</w:t>
      </w:r>
    </w:p>
    <w:p w14:paraId="47AF5E20" w14:textId="77777777" w:rsidR="006E4579" w:rsidRDefault="00000000">
      <w:pPr>
        <w:spacing w:after="160"/>
      </w:pPr>
      <w:r>
        <w:rPr>
          <w:rFonts w:ascii="Arial" w:hAnsi="Arial"/>
          <w:i/>
          <w:color w:val="646464"/>
          <w:sz w:val="18"/>
        </w:rPr>
        <w:t>FTE (Full-Time Equivalent) includes all permanent employees under operational control as of December 31, 2024.</w:t>
      </w:r>
    </w:p>
    <w:p w14:paraId="2DBAC685" w14:textId="77777777" w:rsidR="006E4579" w:rsidRDefault="00000000">
      <w:pPr>
        <w:spacing w:after="160"/>
      </w:pPr>
      <w:r>
        <w:rPr>
          <w:rFonts w:ascii="Arial" w:hAnsi="Arial"/>
          <w:i/>
          <w:color w:val="646464"/>
          <w:sz w:val="18"/>
        </w:rPr>
        <w:t>Percentage point (pp) changes represent absolute differences in percentages, not percentage changes.</w:t>
      </w:r>
    </w:p>
    <w:p w14:paraId="715EAE6F" w14:textId="77777777" w:rsidR="006E4579" w:rsidRDefault="00000000">
      <w:pPr>
        <w:spacing w:after="160"/>
      </w:pPr>
      <w:r>
        <w:rPr>
          <w:rFonts w:ascii="Arial" w:hAnsi="Arial"/>
          <w:i/>
          <w:color w:val="646464"/>
          <w:sz w:val="18"/>
        </w:rPr>
        <w:t>Training hours include all formal learning activities: classroom, e-learning, workshops, and external certifications.</w:t>
      </w:r>
    </w:p>
    <w:p w14:paraId="5856DB86" w14:textId="77777777" w:rsidR="006E4579" w:rsidRDefault="00000000">
      <w:pPr>
        <w:spacing w:after="160"/>
      </w:pPr>
      <w:r>
        <w:rPr>
          <w:rFonts w:ascii="Arial" w:hAnsi="Arial"/>
          <w:i/>
          <w:color w:val="646464"/>
          <w:sz w:val="18"/>
        </w:rPr>
        <w:lastRenderedPageBreak/>
        <w:t>Voluntary turnover excludes retirements and involuntary separations.</w:t>
      </w:r>
    </w:p>
    <w:p w14:paraId="17307F9F" w14:textId="77777777" w:rsidR="006E4579" w:rsidRDefault="00000000">
      <w:pPr>
        <w:spacing w:after="160"/>
      </w:pPr>
      <w:r>
        <w:rPr>
          <w:rFonts w:ascii="Arial" w:hAnsi="Arial"/>
          <w:i/>
          <w:color w:val="646464"/>
          <w:sz w:val="18"/>
        </w:rPr>
        <w:t>Management positions include all supervisory, managerial, and executive roles.</w:t>
      </w:r>
    </w:p>
    <w:p w14:paraId="3A9CA55E" w14:textId="77777777" w:rsidR="006E4579" w:rsidRDefault="00000000">
      <w:pPr>
        <w:spacing w:after="160"/>
      </w:pPr>
      <w:r>
        <w:rPr>
          <w:rFonts w:ascii="Arial" w:hAnsi="Arial"/>
          <w:i/>
          <w:color w:val="646464"/>
          <w:sz w:val="18"/>
        </w:rPr>
        <w:t>Discrimination incidents include all cases formally reported through whistleblowing channels or direct management escalation.</w:t>
      </w:r>
    </w:p>
    <w:p w14:paraId="2680E03D" w14:textId="77777777" w:rsidR="006E4579" w:rsidRDefault="00000000">
      <w:r>
        <w:br w:type="page"/>
      </w:r>
    </w:p>
    <w:p w14:paraId="39275CE0" w14:textId="77777777" w:rsidR="006E4579" w:rsidRDefault="00000000">
      <w:pPr>
        <w:pStyle w:val="Heading1"/>
        <w:spacing w:after="240"/>
      </w:pPr>
      <w:r>
        <w:rPr>
          <w:rFonts w:ascii="Arial" w:hAnsi="Arial"/>
          <w:color w:val="1B3A6B"/>
          <w:sz w:val="36"/>
        </w:rPr>
        <w:lastRenderedPageBreak/>
        <w:t>Governance &amp; Strategy</w:t>
      </w:r>
    </w:p>
    <w:p w14:paraId="3622D99D" w14:textId="77777777" w:rsidR="006E4579" w:rsidRDefault="00000000">
      <w:pPr>
        <w:pStyle w:val="Heading2"/>
        <w:spacing w:before="360" w:after="160"/>
      </w:pPr>
      <w:r>
        <w:rPr>
          <w:rFonts w:ascii="Arial" w:hAnsi="Arial"/>
          <w:color w:val="3D6094"/>
          <w:sz w:val="28"/>
        </w:rPr>
        <w:t>3.1 Climate Governance &amp; ESG Oversight</w:t>
      </w:r>
    </w:p>
    <w:tbl>
      <w:tblPr>
        <w:tblW w:w="0" w:type="auto"/>
        <w:jc w:val="center"/>
        <w:tblLook w:val="04A0" w:firstRow="1" w:lastRow="0" w:firstColumn="1" w:lastColumn="0" w:noHBand="0" w:noVBand="1"/>
      </w:tblPr>
      <w:tblGrid>
        <w:gridCol w:w="2257"/>
        <w:gridCol w:w="2257"/>
        <w:gridCol w:w="2257"/>
        <w:gridCol w:w="2257"/>
      </w:tblGrid>
      <w:tr w:rsidR="006E4579" w14:paraId="4B1D3DC4" w14:textId="77777777">
        <w:trPr>
          <w:jc w:val="center"/>
        </w:trPr>
        <w:tc>
          <w:tcPr>
            <w:tcW w:w="2257" w:type="dxa"/>
            <w:shd w:val="clear" w:color="auto" w:fill="F2F6FA"/>
          </w:tcPr>
          <w:p w14:paraId="72032683" w14:textId="77777777" w:rsidR="006E4579" w:rsidRDefault="00000000">
            <w:pPr>
              <w:jc w:val="center"/>
            </w:pPr>
            <w:r>
              <w:rPr>
                <w:b/>
                <w:color w:val="1B3A6B"/>
                <w:sz w:val="36"/>
              </w:rPr>
              <w:t>Not Established</w:t>
            </w:r>
            <w:r>
              <w:rPr>
                <w:color w:val="757575"/>
                <w:sz w:val="18"/>
              </w:rPr>
              <w:t xml:space="preserve"> status</w:t>
            </w:r>
            <w:r>
              <w:rPr>
                <w:b/>
                <w:color w:val="C62828"/>
                <w:sz w:val="20"/>
              </w:rPr>
              <w:br/>
              <w:t>Gap vs 100% peer compliance</w:t>
            </w:r>
          </w:p>
        </w:tc>
        <w:tc>
          <w:tcPr>
            <w:tcW w:w="2257" w:type="dxa"/>
            <w:shd w:val="clear" w:color="auto" w:fill="F2F6FA"/>
          </w:tcPr>
          <w:p w14:paraId="7DE95E8E" w14:textId="77777777" w:rsidR="006E4579" w:rsidRDefault="00000000">
            <w:pPr>
              <w:jc w:val="center"/>
            </w:pPr>
            <w:r>
              <w:rPr>
                <w:b/>
                <w:color w:val="1B3A6B"/>
                <w:sz w:val="36"/>
              </w:rPr>
              <w:t>0</w:t>
            </w:r>
            <w:r>
              <w:rPr>
                <w:color w:val="757575"/>
                <w:sz w:val="18"/>
              </w:rPr>
              <w:t xml:space="preserve"> reviews/year</w:t>
            </w:r>
            <w:r>
              <w:rPr>
                <w:b/>
                <w:color w:val="C62828"/>
                <w:sz w:val="20"/>
              </w:rPr>
              <w:br/>
              <w:t>vs peer avg 4x/year</w:t>
            </w:r>
          </w:p>
        </w:tc>
        <w:tc>
          <w:tcPr>
            <w:tcW w:w="2257" w:type="dxa"/>
            <w:shd w:val="clear" w:color="auto" w:fill="F2F6FA"/>
          </w:tcPr>
          <w:p w14:paraId="7CDD6E3C" w14:textId="77777777" w:rsidR="006E4579" w:rsidRDefault="00000000">
            <w:pPr>
              <w:jc w:val="center"/>
            </w:pPr>
            <w:r>
              <w:rPr>
                <w:b/>
                <w:color w:val="1B3A6B"/>
                <w:sz w:val="36"/>
              </w:rPr>
              <w:t>0%</w:t>
            </w:r>
            <w:r>
              <w:rPr>
                <w:color w:val="757575"/>
                <w:sz w:val="18"/>
              </w:rPr>
              <w:t xml:space="preserve"> of variable comp</w:t>
            </w:r>
            <w:r>
              <w:rPr>
                <w:b/>
                <w:color w:val="C62828"/>
                <w:sz w:val="20"/>
              </w:rPr>
              <w:br/>
              <w:t>vs DBS 20%, BRI/BCA integrated</w:t>
            </w:r>
          </w:p>
        </w:tc>
        <w:tc>
          <w:tcPr>
            <w:tcW w:w="2257" w:type="dxa"/>
            <w:shd w:val="clear" w:color="auto" w:fill="F2F6FA"/>
          </w:tcPr>
          <w:p w14:paraId="55DAEF5A" w14:textId="77777777" w:rsidR="006E4579" w:rsidRDefault="00000000">
            <w:pPr>
              <w:jc w:val="center"/>
            </w:pPr>
            <w:r>
              <w:rPr>
                <w:b/>
                <w:color w:val="1B3A6B"/>
                <w:sz w:val="36"/>
              </w:rPr>
              <w:t>0/7</w:t>
            </w:r>
            <w:r>
              <w:rPr>
                <w:color w:val="757575"/>
                <w:sz w:val="18"/>
              </w:rPr>
              <w:t xml:space="preserve"> requirements met</w:t>
            </w:r>
            <w:r>
              <w:rPr>
                <w:b/>
                <w:color w:val="C62828"/>
                <w:sz w:val="20"/>
              </w:rPr>
              <w:br/>
              <w:t>IFRS S2, GRI, ESRS 2, OJK gaps</w:t>
            </w:r>
          </w:p>
        </w:tc>
      </w:tr>
      <w:tr w:rsidR="006E4579" w14:paraId="31D49594" w14:textId="77777777">
        <w:trPr>
          <w:jc w:val="center"/>
        </w:trPr>
        <w:tc>
          <w:tcPr>
            <w:tcW w:w="2257" w:type="dxa"/>
            <w:shd w:val="clear" w:color="auto" w:fill="F2F6FA"/>
          </w:tcPr>
          <w:p w14:paraId="3BD75B86" w14:textId="77777777" w:rsidR="006E4579" w:rsidRDefault="00000000">
            <w:pPr>
              <w:jc w:val="center"/>
            </w:pPr>
            <w:r>
              <w:rPr>
                <w:color w:val="757575"/>
                <w:sz w:val="16"/>
              </w:rPr>
              <w:t>Board ESG Committee</w:t>
            </w:r>
          </w:p>
        </w:tc>
        <w:tc>
          <w:tcPr>
            <w:tcW w:w="2257" w:type="dxa"/>
            <w:shd w:val="clear" w:color="auto" w:fill="F2F6FA"/>
          </w:tcPr>
          <w:p w14:paraId="4FDEFCEB" w14:textId="77777777" w:rsidR="006E4579" w:rsidRDefault="00000000">
            <w:pPr>
              <w:jc w:val="center"/>
            </w:pPr>
            <w:r>
              <w:rPr>
                <w:color w:val="757575"/>
                <w:sz w:val="16"/>
              </w:rPr>
              <w:t>Climate Oversight Frequency</w:t>
            </w:r>
          </w:p>
        </w:tc>
        <w:tc>
          <w:tcPr>
            <w:tcW w:w="2257" w:type="dxa"/>
            <w:shd w:val="clear" w:color="auto" w:fill="F2F6FA"/>
          </w:tcPr>
          <w:p w14:paraId="3899AA06" w14:textId="77777777" w:rsidR="006E4579" w:rsidRDefault="00000000">
            <w:pPr>
              <w:jc w:val="center"/>
            </w:pPr>
            <w:r>
              <w:rPr>
                <w:color w:val="757575"/>
                <w:sz w:val="16"/>
              </w:rPr>
              <w:t>Executive Remuneration Climate Link</w:t>
            </w:r>
          </w:p>
        </w:tc>
        <w:tc>
          <w:tcPr>
            <w:tcW w:w="2257" w:type="dxa"/>
            <w:shd w:val="clear" w:color="auto" w:fill="F2F6FA"/>
          </w:tcPr>
          <w:p w14:paraId="7A1C7C2C" w14:textId="77777777" w:rsidR="006E4579" w:rsidRDefault="00000000">
            <w:pPr>
              <w:jc w:val="center"/>
            </w:pPr>
            <w:r>
              <w:rPr>
                <w:color w:val="757575"/>
                <w:sz w:val="16"/>
              </w:rPr>
              <w:t>Framework Compliance</w:t>
            </w:r>
          </w:p>
        </w:tc>
      </w:tr>
    </w:tbl>
    <w:p w14:paraId="437B1054" w14:textId="77777777" w:rsidR="006E4579" w:rsidRDefault="006E4579"/>
    <w:tbl>
      <w:tblPr>
        <w:tblW w:w="0" w:type="auto"/>
        <w:jc w:val="center"/>
        <w:tblLook w:val="04A0" w:firstRow="1" w:lastRow="0" w:firstColumn="1" w:lastColumn="0" w:noHBand="0" w:noVBand="1"/>
      </w:tblPr>
      <w:tblGrid>
        <w:gridCol w:w="9029"/>
      </w:tblGrid>
      <w:tr w:rsidR="006E4579" w14:paraId="4A863EB0" w14:textId="77777777">
        <w:trPr>
          <w:jc w:val="center"/>
        </w:trPr>
        <w:tc>
          <w:tcPr>
            <w:tcW w:w="9029" w:type="dxa"/>
            <w:shd w:val="clear" w:color="auto" w:fill="FFEBEE"/>
          </w:tcPr>
          <w:p w14:paraId="632E3DE1" w14:textId="77777777" w:rsidR="006E4579" w:rsidRDefault="00000000">
            <w:r>
              <w:rPr>
                <w:b/>
                <w:color w:val="FF8F00"/>
                <w:sz w:val="18"/>
              </w:rPr>
              <w:t>🚨 KEY INSIGHT</w:t>
            </w:r>
          </w:p>
          <w:p w14:paraId="0008D901" w14:textId="77777777" w:rsidR="006E4579" w:rsidRDefault="00000000">
            <w:r>
              <w:rPr>
                <w:b/>
              </w:rPr>
              <w:t>Zero formal climate governance while peers have Board committees, quarterly reviews, and remuneration linkage — critical regulatory and investor risk</w:t>
            </w:r>
          </w:p>
          <w:p w14:paraId="6E799CEE" w14:textId="77777777" w:rsidR="006E4579" w:rsidRDefault="00000000">
            <w:r>
              <w:rPr>
                <w:sz w:val="20"/>
              </w:rPr>
              <w:t>The institution lacks all required governance infrastructure under IFRS S2, GRI, ESRS 2, and OJK PSPK. BRI, BCA, and DBS have established Board-level ESG committees with quarterly oversight and executive accountability mechanisms. This governance gap exposes the institution to regulatory non-compliance risk under OJK PSPK and limits investor confidence in climate strategy execution.</w:t>
            </w:r>
          </w:p>
        </w:tc>
      </w:tr>
    </w:tbl>
    <w:p w14:paraId="1B1FC087" w14:textId="77777777" w:rsidR="006E4579" w:rsidRDefault="006E4579"/>
    <w:p w14:paraId="2C29C5AC" w14:textId="77777777" w:rsidR="006E4579" w:rsidRDefault="00000000">
      <w:pPr>
        <w:pStyle w:val="Heading3"/>
      </w:pPr>
      <w:r>
        <w:rPr>
          <w:rFonts w:ascii="Arial" w:hAnsi="Arial"/>
          <w:color w:val="4A7AB5"/>
          <w:sz w:val="24"/>
        </w:rPr>
        <w:t>Governance Gap Analysis</w:t>
      </w:r>
    </w:p>
    <w:p w14:paraId="59912E06" w14:textId="77777777" w:rsidR="006E4579" w:rsidRDefault="00000000">
      <w:pPr>
        <w:spacing w:after="160"/>
      </w:pPr>
      <w:r>
        <w:rPr>
          <w:rFonts w:ascii="Arial" w:hAnsi="Arial"/>
        </w:rPr>
        <w:t>The institution has not yet established formal governance structures for climate-related risks and opportunities as required by multiple sustainability reporting frameworks. This section identifies the governance infrastructure requirements under IFRS S2, GRI 2-12/2-13, ESRS 2 GOV-3, and OJK PSPK regulations, and provides a roadmap for implementation based on peer bank practices in the Indonesian banking sector.</w:t>
      </w:r>
    </w:p>
    <w:p w14:paraId="319F9484" w14:textId="77777777" w:rsidR="006E4579" w:rsidRDefault="00000000">
      <w:pPr>
        <w:pStyle w:val="Heading3"/>
      </w:pPr>
      <w:r>
        <w:rPr>
          <w:rFonts w:ascii="Arial" w:hAnsi="Arial"/>
          <w:color w:val="4A7AB5"/>
          <w:sz w:val="24"/>
        </w:rPr>
        <w:t>Framework Requirements Not Currently Met</w:t>
      </w:r>
    </w:p>
    <w:p w14:paraId="52115ADA" w14:textId="77777777" w:rsidR="006E4579" w:rsidRDefault="00000000">
      <w:pPr>
        <w:spacing w:after="160"/>
      </w:pPr>
      <w:r>
        <w:rPr>
          <w:rFonts w:ascii="Arial" w:hAnsi="Arial"/>
          <w:b/>
        </w:rPr>
        <w:t>IFRS S2 Paragraph 5</w:t>
      </w:r>
      <w:r>
        <w:rPr>
          <w:rFonts w:ascii="Arial" w:hAnsi="Arial"/>
        </w:rPr>
        <w:t xml:space="preserve"> requires disclosure of the governance body or bodies responsible for oversight of climate-related risks and opportunities. The institution must identify the specific board committee with climate oversight authority, describe its composition, and explain how climate considerations inform strategic decisions and major capital allocation.</w:t>
      </w:r>
    </w:p>
    <w:p w14:paraId="7ED7414C" w14:textId="77777777" w:rsidR="006E4579" w:rsidRDefault="00000000">
      <w:pPr>
        <w:spacing w:after="160"/>
      </w:pPr>
      <w:r>
        <w:rPr>
          <w:rFonts w:ascii="Arial" w:hAnsi="Arial"/>
          <w:b/>
        </w:rPr>
        <w:t>IFRS S2 Paragraph 6</w:t>
      </w:r>
      <w:r>
        <w:rPr>
          <w:rFonts w:ascii="Arial" w:hAnsi="Arial"/>
        </w:rPr>
        <w:t xml:space="preserve"> mandates disclosure of management's role in governance processes for climate-related risks and opportunities. This includes identifying the management position or committee responsible for climate matters, describing reporting lines to the board, and explaining integration with enterprise risk management frameworks.</w:t>
      </w:r>
    </w:p>
    <w:p w14:paraId="22F0F43A" w14:textId="77777777" w:rsidR="006E4579" w:rsidRDefault="00000000">
      <w:pPr>
        <w:spacing w:after="160"/>
      </w:pPr>
      <w:r>
        <w:rPr>
          <w:rFonts w:ascii="Arial" w:hAnsi="Arial"/>
          <w:b/>
        </w:rPr>
        <w:t>IFRS S2 Paragraph 7</w:t>
      </w:r>
      <w:r>
        <w:rPr>
          <w:rFonts w:ascii="Arial" w:hAnsi="Arial"/>
        </w:rPr>
        <w:t xml:space="preserve"> requires explanation of how governance processes, controls, and procedures are reflected in the institution's strategy and decision-making. This includes target-setting authority, monitoring frequency, and escalation protocols for climate-related issues.</w:t>
      </w:r>
    </w:p>
    <w:p w14:paraId="10D6130A" w14:textId="77777777" w:rsidR="006E4579" w:rsidRDefault="00000000">
      <w:pPr>
        <w:spacing w:after="160"/>
      </w:pPr>
      <w:r>
        <w:rPr>
          <w:rFonts w:ascii="Arial" w:hAnsi="Arial"/>
          <w:b/>
        </w:rPr>
        <w:lastRenderedPageBreak/>
        <w:t>GRI 2-12</w:t>
      </w:r>
      <w:r>
        <w:rPr>
          <w:rFonts w:ascii="Arial" w:hAnsi="Arial"/>
        </w:rPr>
        <w:t xml:space="preserve"> requires disclosure of the role of the highest governance body in overseeing the management of sustainability impacts, including climate change. This encompasses how the board ensures appropriate skills and competencies exist to oversee climate strategy.</w:t>
      </w:r>
    </w:p>
    <w:p w14:paraId="7FA5226C" w14:textId="77777777" w:rsidR="006E4579" w:rsidRDefault="00000000">
      <w:pPr>
        <w:spacing w:after="160"/>
      </w:pPr>
      <w:r>
        <w:rPr>
          <w:rFonts w:ascii="Arial" w:hAnsi="Arial"/>
          <w:b/>
        </w:rPr>
        <w:t>GRI 2-13</w:t>
      </w:r>
      <w:r>
        <w:rPr>
          <w:rFonts w:ascii="Arial" w:hAnsi="Arial"/>
        </w:rPr>
        <w:t xml:space="preserve"> mandates disclosure of how responsibility for managing sustainability impacts is delegated from the highest governance body to senior executives and other employees. This includes reporting structures and accountability mechanisms.</w:t>
      </w:r>
    </w:p>
    <w:p w14:paraId="7D26877C" w14:textId="77777777" w:rsidR="006E4579" w:rsidRDefault="00000000">
      <w:pPr>
        <w:spacing w:after="160"/>
      </w:pPr>
      <w:r>
        <w:rPr>
          <w:rFonts w:ascii="Arial" w:hAnsi="Arial"/>
          <w:b/>
        </w:rPr>
        <w:t>ESRS 2 GOV-3</w:t>
      </w:r>
      <w:r>
        <w:rPr>
          <w:rFonts w:ascii="Arial" w:hAnsi="Arial"/>
        </w:rPr>
        <w:t xml:space="preserve"> requires disclosure of how sustainability performance, including climate metrics, is integrated into incentive schemes for board members and senior management. This includes the percentage of remuneration linked to climate KPIs and which specific metrics are used.</w:t>
      </w:r>
    </w:p>
    <w:p w14:paraId="4A28A2CC" w14:textId="77777777" w:rsidR="006E4579" w:rsidRDefault="00000000">
      <w:pPr>
        <w:spacing w:after="160"/>
      </w:pPr>
      <w:r>
        <w:rPr>
          <w:rFonts w:ascii="Arial" w:hAnsi="Arial"/>
          <w:b/>
        </w:rPr>
        <w:t>OJK PSPK (POJK 51/2017 and SEOJK 16/2021)</w:t>
      </w:r>
      <w:r>
        <w:rPr>
          <w:rFonts w:ascii="Arial" w:hAnsi="Arial"/>
        </w:rPr>
        <w:t xml:space="preserve"> requires Indonesian financial institutions to establish board-level sustainability governance, including a dedicated committee or designated board member responsible for sustainability oversight, with documented policies and regular reporting cadence.</w:t>
      </w:r>
    </w:p>
    <w:p w14:paraId="13FA449A" w14:textId="77777777" w:rsidR="006E4579" w:rsidRDefault="00000000">
      <w:pPr>
        <w:pStyle w:val="Heading3"/>
      </w:pPr>
      <w:r>
        <w:rPr>
          <w:rFonts w:ascii="Arial" w:hAnsi="Arial"/>
          <w:color w:val="4A7AB5"/>
          <w:sz w:val="24"/>
        </w:rPr>
        <w:t>Peer Bank Governance Practices</w:t>
      </w:r>
    </w:p>
    <w:p w14:paraId="03268F48" w14:textId="77777777" w:rsidR="006E4579" w:rsidRDefault="00000000">
      <w:pPr>
        <w:spacing w:after="160"/>
      </w:pPr>
      <w:r>
        <w:rPr>
          <w:rFonts w:ascii="Arial" w:hAnsi="Arial"/>
        </w:rPr>
        <w:t>Leading Indonesian banks have established comprehensive climate governance structures that provide implementation models for the institution:</w:t>
      </w:r>
    </w:p>
    <w:p w14:paraId="79536DA2" w14:textId="77777777" w:rsidR="006E4579" w:rsidRDefault="00000000">
      <w:pPr>
        <w:spacing w:after="160"/>
      </w:pPr>
      <w:r>
        <w:rPr>
          <w:rFonts w:ascii="Arial" w:hAnsi="Arial"/>
          <w:b/>
        </w:rPr>
        <w:t>Bank Rakyat Indonesia (BRI)</w:t>
      </w:r>
      <w:r>
        <w:rPr>
          <w:rFonts w:ascii="Arial" w:hAnsi="Arial"/>
        </w:rPr>
        <w:t xml:space="preserve"> established a dedicated Risk Management &amp; ESG Committee at the Board of Directors level in 2021 via Decision NOKEP 872-DIR/PPM/06/2022. The committee conducts quarterly reviews of climate-related risks and opportunities, with direct reporting to the President Director. BRI has integrated ESG KPIs into Board of Directors performance assessments and remuneration structures.</w:t>
      </w:r>
    </w:p>
    <w:p w14:paraId="10A1CDB4" w14:textId="77777777" w:rsidR="006E4579" w:rsidRDefault="00000000">
      <w:pPr>
        <w:spacing w:after="160"/>
      </w:pPr>
      <w:r>
        <w:rPr>
          <w:rFonts w:ascii="Arial" w:hAnsi="Arial"/>
          <w:b/>
        </w:rPr>
        <w:t>Bank Central Asia (BCA)</w:t>
      </w:r>
      <w:r>
        <w:rPr>
          <w:rFonts w:ascii="Arial" w:hAnsi="Arial"/>
        </w:rPr>
        <w:t xml:space="preserve"> operates an ESG Subdivision under the Director of Planning &amp; Finance, with direct reporting lines to the President Director. The Board of Directors reviews ESG matters at least four times per year. BCA has issued multiple Board of Directors Decrees establishing sectoral ESG credit policies for high-risk sectors including coal, palm oil, timber, cement, iron-steel, and oil &amp; gas. ESG performance metrics are integrated into Board of Directors and work unit KPIs.</w:t>
      </w:r>
    </w:p>
    <w:p w14:paraId="2A5D2186" w14:textId="77777777" w:rsidR="006E4579" w:rsidRDefault="00000000">
      <w:pPr>
        <w:spacing w:after="160"/>
      </w:pPr>
      <w:r>
        <w:rPr>
          <w:rFonts w:ascii="Arial" w:hAnsi="Arial"/>
          <w:b/>
        </w:rPr>
        <w:t>DBS Bank</w:t>
      </w:r>
      <w:r>
        <w:rPr>
          <w:rFonts w:ascii="Arial" w:hAnsi="Arial"/>
        </w:rPr>
        <w:t xml:space="preserve"> maintains a Board Sustainability Committee with a dedicated Chief Sustainability Officer reporting directly to the Board. DBS links 20% of executive remuneration to ESG performance metrics, including climate-related KPIs. The bank conducts quarterly board-level reviews of climate strategy and financed emissions performance.</w:t>
      </w:r>
    </w:p>
    <w:p w14:paraId="51DBCED2" w14:textId="77777777" w:rsidR="006E4579" w:rsidRDefault="00000000">
      <w:pPr>
        <w:spacing w:after="160"/>
      </w:pPr>
      <w:r>
        <w:rPr>
          <w:rFonts w:ascii="Arial" w:hAnsi="Arial"/>
          <w:b/>
        </w:rPr>
        <w:t>Bank Mandiri</w:t>
      </w:r>
      <w:r>
        <w:rPr>
          <w:rFonts w:ascii="Arial" w:hAnsi="Arial"/>
        </w:rPr>
        <w:t xml:space="preserve"> operates an ESG Task Force with semi-annual reporting to the Board of Directors. The bank has established internal policies for climate risk management integrated with enterprise risk frameworks.</w:t>
      </w:r>
    </w:p>
    <w:p w14:paraId="789A3084" w14:textId="77777777" w:rsidR="006E4579" w:rsidRDefault="00000000">
      <w:pPr>
        <w:spacing w:after="160"/>
      </w:pPr>
      <w:r>
        <w:rPr>
          <w:rFonts w:ascii="Arial" w:hAnsi="Arial"/>
        </w:rPr>
        <w:t>All four peer institutions have achieved OJK PSPK compliance with documented sustainability governance frameworks, regular board oversight, and integration of climate considerations into credit risk assessment processes.</w:t>
      </w:r>
    </w:p>
    <w:p w14:paraId="4E443D2D" w14:textId="77777777" w:rsidR="006E4579" w:rsidRDefault="00000000">
      <w:pPr>
        <w:pStyle w:val="Heading3"/>
      </w:pPr>
      <w:r>
        <w:rPr>
          <w:rFonts w:ascii="Arial" w:hAnsi="Arial"/>
          <w:color w:val="4A7AB5"/>
          <w:sz w:val="24"/>
        </w:rPr>
        <w:t>Implementation Roadmap</w:t>
      </w:r>
    </w:p>
    <w:p w14:paraId="2AEBBFB1" w14:textId="77777777" w:rsidR="006E4579" w:rsidRDefault="00000000">
      <w:pPr>
        <w:spacing w:after="160"/>
      </w:pPr>
      <w:r>
        <w:rPr>
          <w:rFonts w:ascii="Arial" w:hAnsi="Arial"/>
        </w:rPr>
        <w:t>The institution should establish climate governance infrastructure through a phased approach:</w:t>
      </w:r>
    </w:p>
    <w:p w14:paraId="3125A2B2" w14:textId="77777777" w:rsidR="006E4579" w:rsidRDefault="00000000">
      <w:pPr>
        <w:spacing w:after="160"/>
      </w:pPr>
      <w:r>
        <w:rPr>
          <w:rFonts w:ascii="Arial" w:hAnsi="Arial"/>
          <w:b/>
        </w:rPr>
        <w:lastRenderedPageBreak/>
        <w:t>Phase 1 (Q3 2025 - Q4 2025): Foundation</w:t>
      </w:r>
    </w:p>
    <w:p w14:paraId="0BDF65C0" w14:textId="77777777" w:rsidR="006E4579" w:rsidRDefault="00000000">
      <w:pPr>
        <w:pStyle w:val="ListBullet"/>
      </w:pPr>
      <w:r>
        <w:rPr>
          <w:rFonts w:ascii="Arial" w:hAnsi="Arial"/>
        </w:rPr>
        <w:t>Establish Board-level ESG Committee or designate existing Risk Committee with expanded ESG mandate</w:t>
      </w:r>
    </w:p>
    <w:p w14:paraId="144F3D7C" w14:textId="77777777" w:rsidR="006E4579" w:rsidRDefault="00000000">
      <w:pPr>
        <w:pStyle w:val="ListBullet"/>
      </w:pPr>
      <w:r>
        <w:rPr>
          <w:rFonts w:ascii="Arial" w:hAnsi="Arial"/>
        </w:rPr>
        <w:t>Appoint management-level ESG coordinator reporting to Chief Risk Officer or Chief Financial Officer</w:t>
      </w:r>
    </w:p>
    <w:p w14:paraId="3EF68381" w14:textId="77777777" w:rsidR="006E4579" w:rsidRDefault="00000000">
      <w:pPr>
        <w:pStyle w:val="ListBullet"/>
      </w:pPr>
      <w:r>
        <w:rPr>
          <w:rFonts w:ascii="Arial" w:hAnsi="Arial"/>
        </w:rPr>
        <w:t>Develop Board of Directors Decree establishing climate governance framework</w:t>
      </w:r>
    </w:p>
    <w:p w14:paraId="121FD451" w14:textId="77777777" w:rsidR="006E4579" w:rsidRDefault="00000000">
      <w:pPr>
        <w:pStyle w:val="ListBullet"/>
      </w:pPr>
      <w:r>
        <w:rPr>
          <w:rFonts w:ascii="Arial" w:hAnsi="Arial"/>
        </w:rPr>
        <w:t>Conduct initial Board climate competency assessment and training program</w:t>
      </w:r>
    </w:p>
    <w:p w14:paraId="6A20E2D7" w14:textId="77777777" w:rsidR="006E4579" w:rsidRDefault="00000000">
      <w:pPr>
        <w:spacing w:after="160"/>
      </w:pPr>
      <w:r>
        <w:rPr>
          <w:rFonts w:ascii="Arial" w:hAnsi="Arial"/>
          <w:b/>
        </w:rPr>
        <w:t>Phase 2 (Q1 2026 - Q2 2026): Integration</w:t>
      </w:r>
    </w:p>
    <w:p w14:paraId="0AAB53E3" w14:textId="77777777" w:rsidR="006E4579" w:rsidRDefault="00000000">
      <w:pPr>
        <w:pStyle w:val="ListBullet"/>
      </w:pPr>
      <w:r>
        <w:rPr>
          <w:rFonts w:ascii="Arial" w:hAnsi="Arial"/>
        </w:rPr>
        <w:t>Implement quarterly Board ESG review cadence with documented meeting minutes</w:t>
      </w:r>
    </w:p>
    <w:p w14:paraId="69BDCFA7" w14:textId="77777777" w:rsidR="006E4579" w:rsidRDefault="00000000">
      <w:pPr>
        <w:pStyle w:val="ListBullet"/>
      </w:pPr>
      <w:r>
        <w:rPr>
          <w:rFonts w:ascii="Arial" w:hAnsi="Arial"/>
        </w:rPr>
        <w:t>Integrate climate risk assessment into enterprise risk management framework</w:t>
      </w:r>
    </w:p>
    <w:p w14:paraId="31D42F9B" w14:textId="77777777" w:rsidR="006E4579" w:rsidRDefault="00000000">
      <w:pPr>
        <w:pStyle w:val="ListBullet"/>
      </w:pPr>
      <w:r>
        <w:rPr>
          <w:rFonts w:ascii="Arial" w:hAnsi="Arial"/>
        </w:rPr>
        <w:t>Establish management-level ESG working group with cross-functional representation</w:t>
      </w:r>
    </w:p>
    <w:p w14:paraId="34332367" w14:textId="77777777" w:rsidR="006E4579" w:rsidRDefault="00000000">
      <w:pPr>
        <w:pStyle w:val="ListBullet"/>
      </w:pPr>
      <w:r>
        <w:rPr>
          <w:rFonts w:ascii="Arial" w:hAnsi="Arial"/>
        </w:rPr>
        <w:t>Develop sectoral credit policies for carbon-intensive sectors (energy, cement, steel)</w:t>
      </w:r>
    </w:p>
    <w:p w14:paraId="28E1F4F2" w14:textId="77777777" w:rsidR="006E4579" w:rsidRDefault="00000000">
      <w:pPr>
        <w:spacing w:after="160"/>
      </w:pPr>
      <w:r>
        <w:rPr>
          <w:rFonts w:ascii="Arial" w:hAnsi="Arial"/>
          <w:b/>
        </w:rPr>
        <w:t>Phase 3 (Q3 2026 - Q4 2026): Accountability</w:t>
      </w:r>
    </w:p>
    <w:p w14:paraId="7F7EA92C" w14:textId="77777777" w:rsidR="006E4579" w:rsidRDefault="00000000">
      <w:pPr>
        <w:pStyle w:val="ListBullet"/>
      </w:pPr>
      <w:r>
        <w:rPr>
          <w:rFonts w:ascii="Arial" w:hAnsi="Arial"/>
        </w:rPr>
        <w:t>Link 10-20% of executive remuneration to climate KPIs (emissions reduction, sustainable finance portfolio growth)</w:t>
      </w:r>
    </w:p>
    <w:p w14:paraId="392D0534" w14:textId="77777777" w:rsidR="006E4579" w:rsidRDefault="00000000">
      <w:pPr>
        <w:pStyle w:val="ListBullet"/>
      </w:pPr>
      <w:r>
        <w:rPr>
          <w:rFonts w:ascii="Arial" w:hAnsi="Arial"/>
        </w:rPr>
        <w:t>Establish formal target-setting and monitoring process with Board approval authority</w:t>
      </w:r>
    </w:p>
    <w:p w14:paraId="0F2D7E6D" w14:textId="77777777" w:rsidR="006E4579" w:rsidRDefault="00000000">
      <w:pPr>
        <w:pStyle w:val="ListBullet"/>
      </w:pPr>
      <w:r>
        <w:rPr>
          <w:rFonts w:ascii="Arial" w:hAnsi="Arial"/>
        </w:rPr>
        <w:t>Implement climate risk escalation protocols from management to Board</w:t>
      </w:r>
    </w:p>
    <w:p w14:paraId="5F57C99A" w14:textId="77777777" w:rsidR="006E4579" w:rsidRDefault="00000000">
      <w:pPr>
        <w:pStyle w:val="ListBullet"/>
      </w:pPr>
      <w:r>
        <w:rPr>
          <w:rFonts w:ascii="Arial" w:hAnsi="Arial"/>
        </w:rPr>
        <w:t>Conduct external governance assessment against IFRS S2 and GRI requirements</w:t>
      </w:r>
    </w:p>
    <w:p w14:paraId="45DE0704" w14:textId="77777777" w:rsidR="006E4579" w:rsidRDefault="00000000">
      <w:pPr>
        <w:spacing w:after="160"/>
      </w:pPr>
      <w:r>
        <w:rPr>
          <w:rFonts w:ascii="Arial" w:hAnsi="Arial"/>
          <w:b/>
        </w:rPr>
        <w:t>Phase 4 (2027): Optimization</w:t>
      </w:r>
    </w:p>
    <w:p w14:paraId="71BFF7C5" w14:textId="77777777" w:rsidR="006E4579" w:rsidRDefault="00000000">
      <w:pPr>
        <w:pStyle w:val="ListBullet"/>
      </w:pPr>
      <w:r>
        <w:rPr>
          <w:rFonts w:ascii="Arial" w:hAnsi="Arial"/>
        </w:rPr>
        <w:t>Consider appointment of dedicated Chief Sustainability Officer role</w:t>
      </w:r>
    </w:p>
    <w:p w14:paraId="6C91402B" w14:textId="77777777" w:rsidR="006E4579" w:rsidRDefault="00000000">
      <w:pPr>
        <w:pStyle w:val="ListBullet"/>
      </w:pPr>
      <w:r>
        <w:rPr>
          <w:rFonts w:ascii="Arial" w:hAnsi="Arial"/>
        </w:rPr>
        <w:t>Expand Board climate expertise through targeted recruitment or advisory appointments</w:t>
      </w:r>
    </w:p>
    <w:p w14:paraId="1B57985A" w14:textId="77777777" w:rsidR="006E4579" w:rsidRDefault="00000000">
      <w:pPr>
        <w:pStyle w:val="ListBullet"/>
      </w:pPr>
      <w:r>
        <w:rPr>
          <w:rFonts w:ascii="Arial" w:hAnsi="Arial"/>
        </w:rPr>
        <w:t>Implement advanced climate scenario analysis in strategic planning processes</w:t>
      </w:r>
    </w:p>
    <w:p w14:paraId="0A7C6960" w14:textId="77777777" w:rsidR="006E4579" w:rsidRDefault="00000000">
      <w:pPr>
        <w:pStyle w:val="ListBullet"/>
      </w:pPr>
      <w:r>
        <w:rPr>
          <w:rFonts w:ascii="Arial" w:hAnsi="Arial"/>
        </w:rPr>
        <w:t>Achieve full compliance with IFRS S2, GRI, ESRS 2, and OJK PSPK governance requirements</w:t>
      </w:r>
    </w:p>
    <w:p w14:paraId="61E32F96" w14:textId="77777777" w:rsidR="006E4579" w:rsidRDefault="00000000">
      <w:r>
        <w:rPr>
          <w:rFonts w:ascii="Arial" w:hAnsi="Arial"/>
          <w:b/>
          <w:sz w:val="20"/>
        </w:rPr>
        <w:t>Table 54: Table 3.1.1: Framework Governance Requirements — Gap Analysis</w:t>
      </w:r>
    </w:p>
    <w:tbl>
      <w:tblPr>
        <w:tblW w:w="0" w:type="auto"/>
        <w:jc w:val="center"/>
        <w:tblLook w:val="04A0" w:firstRow="1" w:lastRow="0" w:firstColumn="1" w:lastColumn="0" w:noHBand="0" w:noVBand="1"/>
      </w:tblPr>
      <w:tblGrid>
        <w:gridCol w:w="1505"/>
        <w:gridCol w:w="1505"/>
        <w:gridCol w:w="1505"/>
        <w:gridCol w:w="1505"/>
        <w:gridCol w:w="1505"/>
        <w:gridCol w:w="1505"/>
      </w:tblGrid>
      <w:tr w:rsidR="006E4579" w14:paraId="0F4AA4BC" w14:textId="77777777">
        <w:trPr>
          <w:jc w:val="center"/>
        </w:trPr>
        <w:tc>
          <w:tcPr>
            <w:tcW w:w="1505" w:type="dxa"/>
            <w:shd w:val="clear" w:color="auto" w:fill="1B3A6B"/>
          </w:tcPr>
          <w:p w14:paraId="63A571AB" w14:textId="77777777" w:rsidR="006E4579" w:rsidRDefault="00000000">
            <w:r>
              <w:rPr>
                <w:rFonts w:ascii="Arial" w:hAnsi="Arial"/>
                <w:b/>
                <w:color w:val="FFFFFF"/>
                <w:sz w:val="18"/>
              </w:rPr>
              <w:t>Framework</w:t>
            </w:r>
          </w:p>
        </w:tc>
        <w:tc>
          <w:tcPr>
            <w:tcW w:w="1505" w:type="dxa"/>
            <w:shd w:val="clear" w:color="auto" w:fill="1B3A6B"/>
          </w:tcPr>
          <w:p w14:paraId="5D06A7B4" w14:textId="77777777" w:rsidR="006E4579" w:rsidRDefault="00000000">
            <w:r>
              <w:rPr>
                <w:rFonts w:ascii="Arial" w:hAnsi="Arial"/>
                <w:b/>
                <w:color w:val="FFFFFF"/>
                <w:sz w:val="18"/>
              </w:rPr>
              <w:t>Disclosure Reference</w:t>
            </w:r>
          </w:p>
        </w:tc>
        <w:tc>
          <w:tcPr>
            <w:tcW w:w="1505" w:type="dxa"/>
            <w:shd w:val="clear" w:color="auto" w:fill="1B3A6B"/>
          </w:tcPr>
          <w:p w14:paraId="635C8486" w14:textId="77777777" w:rsidR="006E4579" w:rsidRDefault="00000000">
            <w:r>
              <w:rPr>
                <w:rFonts w:ascii="Arial" w:hAnsi="Arial"/>
                <w:b/>
                <w:color w:val="FFFFFF"/>
                <w:sz w:val="18"/>
              </w:rPr>
              <w:t>Requirement</w:t>
            </w:r>
          </w:p>
        </w:tc>
        <w:tc>
          <w:tcPr>
            <w:tcW w:w="1505" w:type="dxa"/>
            <w:shd w:val="clear" w:color="auto" w:fill="1B3A6B"/>
          </w:tcPr>
          <w:p w14:paraId="6F54E43D" w14:textId="77777777" w:rsidR="006E4579" w:rsidRDefault="00000000">
            <w:r>
              <w:rPr>
                <w:rFonts w:ascii="Arial" w:hAnsi="Arial"/>
                <w:b/>
                <w:color w:val="FFFFFF"/>
                <w:sz w:val="18"/>
              </w:rPr>
              <w:t>Current Status</w:t>
            </w:r>
          </w:p>
        </w:tc>
        <w:tc>
          <w:tcPr>
            <w:tcW w:w="1505" w:type="dxa"/>
            <w:shd w:val="clear" w:color="auto" w:fill="1B3A6B"/>
          </w:tcPr>
          <w:p w14:paraId="26C4F704" w14:textId="77777777" w:rsidR="006E4579" w:rsidRDefault="00000000">
            <w:r>
              <w:rPr>
                <w:rFonts w:ascii="Arial" w:hAnsi="Arial"/>
                <w:b/>
                <w:color w:val="FFFFFF"/>
                <w:sz w:val="18"/>
              </w:rPr>
              <w:t>Priority</w:t>
            </w:r>
          </w:p>
        </w:tc>
        <w:tc>
          <w:tcPr>
            <w:tcW w:w="1505" w:type="dxa"/>
            <w:shd w:val="clear" w:color="auto" w:fill="1B3A6B"/>
          </w:tcPr>
          <w:p w14:paraId="6D451BDB" w14:textId="77777777" w:rsidR="006E4579" w:rsidRDefault="00000000">
            <w:r>
              <w:rPr>
                <w:rFonts w:ascii="Arial" w:hAnsi="Arial"/>
                <w:b/>
                <w:color w:val="FFFFFF"/>
                <w:sz w:val="18"/>
              </w:rPr>
              <w:t>Target Timeline</w:t>
            </w:r>
          </w:p>
        </w:tc>
      </w:tr>
      <w:tr w:rsidR="006E4579" w14:paraId="496A5753" w14:textId="77777777">
        <w:trPr>
          <w:jc w:val="center"/>
        </w:trPr>
        <w:tc>
          <w:tcPr>
            <w:tcW w:w="1505" w:type="dxa"/>
          </w:tcPr>
          <w:p w14:paraId="3D9E83A8" w14:textId="77777777" w:rsidR="006E4579" w:rsidRDefault="00000000">
            <w:r>
              <w:rPr>
                <w:rFonts w:ascii="Arial" w:hAnsi="Arial"/>
                <w:sz w:val="18"/>
              </w:rPr>
              <w:t>IFRS S2</w:t>
            </w:r>
          </w:p>
        </w:tc>
        <w:tc>
          <w:tcPr>
            <w:tcW w:w="1505" w:type="dxa"/>
          </w:tcPr>
          <w:p w14:paraId="052DA930" w14:textId="77777777" w:rsidR="006E4579" w:rsidRDefault="00000000">
            <w:r>
              <w:rPr>
                <w:rFonts w:ascii="Arial" w:hAnsi="Arial"/>
                <w:sz w:val="18"/>
              </w:rPr>
              <w:t>Paragraph 5</w:t>
            </w:r>
          </w:p>
        </w:tc>
        <w:tc>
          <w:tcPr>
            <w:tcW w:w="1505" w:type="dxa"/>
          </w:tcPr>
          <w:p w14:paraId="43C05228" w14:textId="77777777" w:rsidR="006E4579" w:rsidRDefault="00000000">
            <w:r>
              <w:rPr>
                <w:rFonts w:ascii="Arial" w:hAnsi="Arial"/>
                <w:sz w:val="18"/>
              </w:rPr>
              <w:t>Governance body identification and climate oversight role</w:t>
            </w:r>
          </w:p>
        </w:tc>
        <w:tc>
          <w:tcPr>
            <w:tcW w:w="1505" w:type="dxa"/>
          </w:tcPr>
          <w:p w14:paraId="441C9974" w14:textId="77777777" w:rsidR="006E4579" w:rsidRDefault="00000000">
            <w:r>
              <w:rPr>
                <w:rFonts w:ascii="Arial" w:hAnsi="Arial"/>
                <w:sz w:val="18"/>
              </w:rPr>
              <w:t>⚠️ Gap — No dedicated committee established</w:t>
            </w:r>
          </w:p>
        </w:tc>
        <w:tc>
          <w:tcPr>
            <w:tcW w:w="1505" w:type="dxa"/>
          </w:tcPr>
          <w:p w14:paraId="1837D793" w14:textId="77777777" w:rsidR="006E4579" w:rsidRDefault="00000000">
            <w:r>
              <w:rPr>
                <w:rFonts w:ascii="Arial" w:hAnsi="Arial"/>
                <w:sz w:val="18"/>
              </w:rPr>
              <w:t>High</w:t>
            </w:r>
          </w:p>
        </w:tc>
        <w:tc>
          <w:tcPr>
            <w:tcW w:w="1505" w:type="dxa"/>
          </w:tcPr>
          <w:p w14:paraId="3155F37A" w14:textId="77777777" w:rsidR="006E4579" w:rsidRDefault="00000000">
            <w:r>
              <w:rPr>
                <w:rFonts w:ascii="Arial" w:hAnsi="Arial"/>
                <w:sz w:val="18"/>
              </w:rPr>
              <w:t>Q4 2025</w:t>
            </w:r>
          </w:p>
        </w:tc>
      </w:tr>
      <w:tr w:rsidR="006E4579" w14:paraId="01521AF7" w14:textId="77777777">
        <w:trPr>
          <w:jc w:val="center"/>
        </w:trPr>
        <w:tc>
          <w:tcPr>
            <w:tcW w:w="1505" w:type="dxa"/>
            <w:shd w:val="clear" w:color="auto" w:fill="F2F6FC"/>
          </w:tcPr>
          <w:p w14:paraId="0FA4FA59" w14:textId="77777777" w:rsidR="006E4579" w:rsidRDefault="00000000">
            <w:r>
              <w:rPr>
                <w:rFonts w:ascii="Arial" w:hAnsi="Arial"/>
                <w:sz w:val="18"/>
              </w:rPr>
              <w:t>IFRS S2</w:t>
            </w:r>
          </w:p>
        </w:tc>
        <w:tc>
          <w:tcPr>
            <w:tcW w:w="1505" w:type="dxa"/>
            <w:shd w:val="clear" w:color="auto" w:fill="F2F6FC"/>
          </w:tcPr>
          <w:p w14:paraId="4724F116" w14:textId="77777777" w:rsidR="006E4579" w:rsidRDefault="00000000">
            <w:r>
              <w:rPr>
                <w:rFonts w:ascii="Arial" w:hAnsi="Arial"/>
                <w:sz w:val="18"/>
              </w:rPr>
              <w:t>Paragraph 6</w:t>
            </w:r>
          </w:p>
        </w:tc>
        <w:tc>
          <w:tcPr>
            <w:tcW w:w="1505" w:type="dxa"/>
            <w:shd w:val="clear" w:color="auto" w:fill="F2F6FC"/>
          </w:tcPr>
          <w:p w14:paraId="6F41C124" w14:textId="77777777" w:rsidR="006E4579" w:rsidRDefault="00000000">
            <w:r>
              <w:rPr>
                <w:rFonts w:ascii="Arial" w:hAnsi="Arial"/>
                <w:sz w:val="18"/>
              </w:rPr>
              <w:t>Management's role in climate governance processes</w:t>
            </w:r>
          </w:p>
        </w:tc>
        <w:tc>
          <w:tcPr>
            <w:tcW w:w="1505" w:type="dxa"/>
            <w:shd w:val="clear" w:color="auto" w:fill="F2F6FC"/>
          </w:tcPr>
          <w:p w14:paraId="489B6E59" w14:textId="77777777" w:rsidR="006E4579" w:rsidRDefault="00000000">
            <w:r>
              <w:rPr>
                <w:rFonts w:ascii="Arial" w:hAnsi="Arial"/>
                <w:sz w:val="18"/>
              </w:rPr>
              <w:t>⚠️ Gap — No designated management position</w:t>
            </w:r>
          </w:p>
        </w:tc>
        <w:tc>
          <w:tcPr>
            <w:tcW w:w="1505" w:type="dxa"/>
            <w:shd w:val="clear" w:color="auto" w:fill="F2F6FC"/>
          </w:tcPr>
          <w:p w14:paraId="0DE5384F" w14:textId="77777777" w:rsidR="006E4579" w:rsidRDefault="00000000">
            <w:r>
              <w:rPr>
                <w:rFonts w:ascii="Arial" w:hAnsi="Arial"/>
                <w:sz w:val="18"/>
              </w:rPr>
              <w:t>High</w:t>
            </w:r>
          </w:p>
        </w:tc>
        <w:tc>
          <w:tcPr>
            <w:tcW w:w="1505" w:type="dxa"/>
            <w:shd w:val="clear" w:color="auto" w:fill="F2F6FC"/>
          </w:tcPr>
          <w:p w14:paraId="2DADD85C" w14:textId="77777777" w:rsidR="006E4579" w:rsidRDefault="00000000">
            <w:r>
              <w:rPr>
                <w:rFonts w:ascii="Arial" w:hAnsi="Arial"/>
                <w:sz w:val="18"/>
              </w:rPr>
              <w:t>Q4 2025</w:t>
            </w:r>
          </w:p>
        </w:tc>
      </w:tr>
      <w:tr w:rsidR="006E4579" w14:paraId="727AFA89" w14:textId="77777777">
        <w:trPr>
          <w:jc w:val="center"/>
        </w:trPr>
        <w:tc>
          <w:tcPr>
            <w:tcW w:w="1505" w:type="dxa"/>
          </w:tcPr>
          <w:p w14:paraId="45E12B87" w14:textId="77777777" w:rsidR="006E4579" w:rsidRDefault="00000000">
            <w:r>
              <w:rPr>
                <w:rFonts w:ascii="Arial" w:hAnsi="Arial"/>
                <w:sz w:val="18"/>
              </w:rPr>
              <w:t>IFRS S2</w:t>
            </w:r>
          </w:p>
        </w:tc>
        <w:tc>
          <w:tcPr>
            <w:tcW w:w="1505" w:type="dxa"/>
          </w:tcPr>
          <w:p w14:paraId="6A4FC3EA" w14:textId="77777777" w:rsidR="006E4579" w:rsidRDefault="00000000">
            <w:r>
              <w:rPr>
                <w:rFonts w:ascii="Arial" w:hAnsi="Arial"/>
                <w:sz w:val="18"/>
              </w:rPr>
              <w:t>Paragraph 7</w:t>
            </w:r>
          </w:p>
        </w:tc>
        <w:tc>
          <w:tcPr>
            <w:tcW w:w="1505" w:type="dxa"/>
          </w:tcPr>
          <w:p w14:paraId="111BE691" w14:textId="77777777" w:rsidR="006E4579" w:rsidRDefault="00000000">
            <w:r>
              <w:rPr>
                <w:rFonts w:ascii="Arial" w:hAnsi="Arial"/>
                <w:sz w:val="18"/>
              </w:rPr>
              <w:t>Integration of climate governance into strategy and decision-</w:t>
            </w:r>
            <w:r>
              <w:rPr>
                <w:rFonts w:ascii="Arial" w:hAnsi="Arial"/>
                <w:sz w:val="18"/>
              </w:rPr>
              <w:lastRenderedPageBreak/>
              <w:t>making</w:t>
            </w:r>
          </w:p>
        </w:tc>
        <w:tc>
          <w:tcPr>
            <w:tcW w:w="1505" w:type="dxa"/>
          </w:tcPr>
          <w:p w14:paraId="7668F422" w14:textId="77777777" w:rsidR="006E4579" w:rsidRDefault="00000000">
            <w:r>
              <w:rPr>
                <w:rFonts w:ascii="Arial" w:hAnsi="Arial"/>
                <w:sz w:val="18"/>
              </w:rPr>
              <w:lastRenderedPageBreak/>
              <w:t>⚠️ Gap — No documented integration process</w:t>
            </w:r>
          </w:p>
        </w:tc>
        <w:tc>
          <w:tcPr>
            <w:tcW w:w="1505" w:type="dxa"/>
          </w:tcPr>
          <w:p w14:paraId="336AA3AE" w14:textId="77777777" w:rsidR="006E4579" w:rsidRDefault="00000000">
            <w:r>
              <w:rPr>
                <w:rFonts w:ascii="Arial" w:hAnsi="Arial"/>
                <w:sz w:val="18"/>
              </w:rPr>
              <w:t>High</w:t>
            </w:r>
          </w:p>
        </w:tc>
        <w:tc>
          <w:tcPr>
            <w:tcW w:w="1505" w:type="dxa"/>
          </w:tcPr>
          <w:p w14:paraId="1D161045" w14:textId="77777777" w:rsidR="006E4579" w:rsidRDefault="00000000">
            <w:r>
              <w:rPr>
                <w:rFonts w:ascii="Arial" w:hAnsi="Arial"/>
                <w:sz w:val="18"/>
              </w:rPr>
              <w:t>Q2 2026</w:t>
            </w:r>
          </w:p>
        </w:tc>
      </w:tr>
      <w:tr w:rsidR="006E4579" w14:paraId="32218840" w14:textId="77777777">
        <w:trPr>
          <w:jc w:val="center"/>
        </w:trPr>
        <w:tc>
          <w:tcPr>
            <w:tcW w:w="1505" w:type="dxa"/>
            <w:shd w:val="clear" w:color="auto" w:fill="F2F6FC"/>
          </w:tcPr>
          <w:p w14:paraId="72EA40F1" w14:textId="77777777" w:rsidR="006E4579" w:rsidRDefault="00000000">
            <w:r>
              <w:rPr>
                <w:rFonts w:ascii="Arial" w:hAnsi="Arial"/>
                <w:sz w:val="18"/>
              </w:rPr>
              <w:t>GRI 2-12</w:t>
            </w:r>
          </w:p>
        </w:tc>
        <w:tc>
          <w:tcPr>
            <w:tcW w:w="1505" w:type="dxa"/>
            <w:shd w:val="clear" w:color="auto" w:fill="F2F6FC"/>
          </w:tcPr>
          <w:p w14:paraId="1FCA6267" w14:textId="77777777" w:rsidR="006E4579" w:rsidRDefault="00000000">
            <w:r>
              <w:rPr>
                <w:rFonts w:ascii="Arial" w:hAnsi="Arial"/>
                <w:sz w:val="18"/>
              </w:rPr>
              <w:t>2-12a</w:t>
            </w:r>
          </w:p>
        </w:tc>
        <w:tc>
          <w:tcPr>
            <w:tcW w:w="1505" w:type="dxa"/>
            <w:shd w:val="clear" w:color="auto" w:fill="F2F6FC"/>
          </w:tcPr>
          <w:p w14:paraId="322DBED8" w14:textId="77777777" w:rsidR="006E4579" w:rsidRDefault="00000000">
            <w:r>
              <w:rPr>
                <w:rFonts w:ascii="Arial" w:hAnsi="Arial"/>
                <w:sz w:val="18"/>
              </w:rPr>
              <w:t>Role of highest governance body in sustainability oversight</w:t>
            </w:r>
          </w:p>
        </w:tc>
        <w:tc>
          <w:tcPr>
            <w:tcW w:w="1505" w:type="dxa"/>
            <w:shd w:val="clear" w:color="auto" w:fill="F2F6FC"/>
          </w:tcPr>
          <w:p w14:paraId="1FFF2B81" w14:textId="77777777" w:rsidR="006E4579" w:rsidRDefault="00000000">
            <w:r>
              <w:rPr>
                <w:rFonts w:ascii="Arial" w:hAnsi="Arial"/>
                <w:sz w:val="18"/>
              </w:rPr>
              <w:t>⚠️ Gap — No formal board oversight mechanism</w:t>
            </w:r>
          </w:p>
        </w:tc>
        <w:tc>
          <w:tcPr>
            <w:tcW w:w="1505" w:type="dxa"/>
            <w:shd w:val="clear" w:color="auto" w:fill="F2F6FC"/>
          </w:tcPr>
          <w:p w14:paraId="1B34AED6" w14:textId="77777777" w:rsidR="006E4579" w:rsidRDefault="00000000">
            <w:r>
              <w:rPr>
                <w:rFonts w:ascii="Arial" w:hAnsi="Arial"/>
                <w:sz w:val="18"/>
              </w:rPr>
              <w:t>High</w:t>
            </w:r>
          </w:p>
        </w:tc>
        <w:tc>
          <w:tcPr>
            <w:tcW w:w="1505" w:type="dxa"/>
            <w:shd w:val="clear" w:color="auto" w:fill="F2F6FC"/>
          </w:tcPr>
          <w:p w14:paraId="4F23F958" w14:textId="77777777" w:rsidR="006E4579" w:rsidRDefault="00000000">
            <w:r>
              <w:rPr>
                <w:rFonts w:ascii="Arial" w:hAnsi="Arial"/>
                <w:sz w:val="18"/>
              </w:rPr>
              <w:t>Q4 2025</w:t>
            </w:r>
          </w:p>
        </w:tc>
      </w:tr>
      <w:tr w:rsidR="006E4579" w14:paraId="4D0891B2" w14:textId="77777777">
        <w:trPr>
          <w:jc w:val="center"/>
        </w:trPr>
        <w:tc>
          <w:tcPr>
            <w:tcW w:w="1505" w:type="dxa"/>
          </w:tcPr>
          <w:p w14:paraId="4B74CC93" w14:textId="77777777" w:rsidR="006E4579" w:rsidRDefault="00000000">
            <w:r>
              <w:rPr>
                <w:rFonts w:ascii="Arial" w:hAnsi="Arial"/>
                <w:sz w:val="18"/>
              </w:rPr>
              <w:t>GRI 2-13</w:t>
            </w:r>
          </w:p>
        </w:tc>
        <w:tc>
          <w:tcPr>
            <w:tcW w:w="1505" w:type="dxa"/>
          </w:tcPr>
          <w:p w14:paraId="5AD90EA0" w14:textId="77777777" w:rsidR="006E4579" w:rsidRDefault="00000000">
            <w:r>
              <w:rPr>
                <w:rFonts w:ascii="Arial" w:hAnsi="Arial"/>
                <w:sz w:val="18"/>
              </w:rPr>
              <w:t>2-13a</w:t>
            </w:r>
          </w:p>
        </w:tc>
        <w:tc>
          <w:tcPr>
            <w:tcW w:w="1505" w:type="dxa"/>
          </w:tcPr>
          <w:p w14:paraId="5412E731" w14:textId="77777777" w:rsidR="006E4579" w:rsidRDefault="00000000">
            <w:r>
              <w:rPr>
                <w:rFonts w:ascii="Arial" w:hAnsi="Arial"/>
                <w:sz w:val="18"/>
              </w:rPr>
              <w:t>Delegation of responsibility for sustainability management</w:t>
            </w:r>
          </w:p>
        </w:tc>
        <w:tc>
          <w:tcPr>
            <w:tcW w:w="1505" w:type="dxa"/>
          </w:tcPr>
          <w:p w14:paraId="743C1F2F" w14:textId="77777777" w:rsidR="006E4579" w:rsidRDefault="00000000">
            <w:r>
              <w:rPr>
                <w:rFonts w:ascii="Arial" w:hAnsi="Arial"/>
                <w:sz w:val="18"/>
              </w:rPr>
              <w:t>⚠️ Gap — No documented delegation structure</w:t>
            </w:r>
          </w:p>
        </w:tc>
        <w:tc>
          <w:tcPr>
            <w:tcW w:w="1505" w:type="dxa"/>
          </w:tcPr>
          <w:p w14:paraId="41854CDA" w14:textId="77777777" w:rsidR="006E4579" w:rsidRDefault="00000000">
            <w:r>
              <w:rPr>
                <w:rFonts w:ascii="Arial" w:hAnsi="Arial"/>
                <w:sz w:val="18"/>
              </w:rPr>
              <w:t>High</w:t>
            </w:r>
          </w:p>
        </w:tc>
        <w:tc>
          <w:tcPr>
            <w:tcW w:w="1505" w:type="dxa"/>
          </w:tcPr>
          <w:p w14:paraId="31E22DEC" w14:textId="77777777" w:rsidR="006E4579" w:rsidRDefault="00000000">
            <w:r>
              <w:rPr>
                <w:rFonts w:ascii="Arial" w:hAnsi="Arial"/>
                <w:sz w:val="18"/>
              </w:rPr>
              <w:t>Q1 2026</w:t>
            </w:r>
          </w:p>
        </w:tc>
      </w:tr>
      <w:tr w:rsidR="006E4579" w14:paraId="0AAF682F" w14:textId="77777777">
        <w:trPr>
          <w:jc w:val="center"/>
        </w:trPr>
        <w:tc>
          <w:tcPr>
            <w:tcW w:w="1505" w:type="dxa"/>
            <w:shd w:val="clear" w:color="auto" w:fill="F2F6FC"/>
          </w:tcPr>
          <w:p w14:paraId="5CCA4722" w14:textId="77777777" w:rsidR="006E4579" w:rsidRDefault="00000000">
            <w:r>
              <w:rPr>
                <w:rFonts w:ascii="Arial" w:hAnsi="Arial"/>
                <w:sz w:val="18"/>
              </w:rPr>
              <w:t>ESRS 2</w:t>
            </w:r>
          </w:p>
        </w:tc>
        <w:tc>
          <w:tcPr>
            <w:tcW w:w="1505" w:type="dxa"/>
            <w:shd w:val="clear" w:color="auto" w:fill="F2F6FC"/>
          </w:tcPr>
          <w:p w14:paraId="5717CBA7" w14:textId="77777777" w:rsidR="006E4579" w:rsidRDefault="00000000">
            <w:r>
              <w:rPr>
                <w:rFonts w:ascii="Arial" w:hAnsi="Arial"/>
                <w:sz w:val="18"/>
              </w:rPr>
              <w:t>GOV-3</w:t>
            </w:r>
          </w:p>
        </w:tc>
        <w:tc>
          <w:tcPr>
            <w:tcW w:w="1505" w:type="dxa"/>
            <w:shd w:val="clear" w:color="auto" w:fill="F2F6FC"/>
          </w:tcPr>
          <w:p w14:paraId="46EC9983" w14:textId="77777777" w:rsidR="006E4579" w:rsidRDefault="00000000">
            <w:r>
              <w:rPr>
                <w:rFonts w:ascii="Arial" w:hAnsi="Arial"/>
                <w:sz w:val="18"/>
              </w:rPr>
              <w:t>Integration of sustainability performance in incentive schemes</w:t>
            </w:r>
          </w:p>
        </w:tc>
        <w:tc>
          <w:tcPr>
            <w:tcW w:w="1505" w:type="dxa"/>
            <w:shd w:val="clear" w:color="auto" w:fill="F2F6FC"/>
          </w:tcPr>
          <w:p w14:paraId="7DCA1A3E" w14:textId="77777777" w:rsidR="006E4579" w:rsidRDefault="00000000">
            <w:r>
              <w:rPr>
                <w:rFonts w:ascii="Arial" w:hAnsi="Arial"/>
                <w:sz w:val="18"/>
              </w:rPr>
              <w:t>⚠️ Gap — No climate KPIs in remuneration</w:t>
            </w:r>
          </w:p>
        </w:tc>
        <w:tc>
          <w:tcPr>
            <w:tcW w:w="1505" w:type="dxa"/>
            <w:shd w:val="clear" w:color="auto" w:fill="F2F6FC"/>
          </w:tcPr>
          <w:p w14:paraId="4D5DACB1" w14:textId="77777777" w:rsidR="006E4579" w:rsidRDefault="00000000">
            <w:r>
              <w:rPr>
                <w:rFonts w:ascii="Arial" w:hAnsi="Arial"/>
                <w:sz w:val="18"/>
              </w:rPr>
              <w:t>Medium</w:t>
            </w:r>
          </w:p>
        </w:tc>
        <w:tc>
          <w:tcPr>
            <w:tcW w:w="1505" w:type="dxa"/>
            <w:shd w:val="clear" w:color="auto" w:fill="F2F6FC"/>
          </w:tcPr>
          <w:p w14:paraId="1DB6D8FF" w14:textId="77777777" w:rsidR="006E4579" w:rsidRDefault="00000000">
            <w:r>
              <w:rPr>
                <w:rFonts w:ascii="Arial" w:hAnsi="Arial"/>
                <w:sz w:val="18"/>
              </w:rPr>
              <w:t>Q4 2026</w:t>
            </w:r>
          </w:p>
        </w:tc>
      </w:tr>
      <w:tr w:rsidR="006E4579" w14:paraId="4D0FE38F" w14:textId="77777777">
        <w:trPr>
          <w:jc w:val="center"/>
        </w:trPr>
        <w:tc>
          <w:tcPr>
            <w:tcW w:w="1505" w:type="dxa"/>
          </w:tcPr>
          <w:p w14:paraId="063C99BC" w14:textId="77777777" w:rsidR="006E4579" w:rsidRDefault="00000000">
            <w:r>
              <w:rPr>
                <w:rFonts w:ascii="Arial" w:hAnsi="Arial"/>
                <w:sz w:val="18"/>
              </w:rPr>
              <w:t>OJK PSPK</w:t>
            </w:r>
          </w:p>
        </w:tc>
        <w:tc>
          <w:tcPr>
            <w:tcW w:w="1505" w:type="dxa"/>
          </w:tcPr>
          <w:p w14:paraId="5DE27FC9" w14:textId="77777777" w:rsidR="006E4579" w:rsidRDefault="00000000">
            <w:r>
              <w:rPr>
                <w:rFonts w:ascii="Arial" w:hAnsi="Arial"/>
                <w:sz w:val="18"/>
              </w:rPr>
              <w:t>POJK 51/2017, SEOJK 16/2021</w:t>
            </w:r>
          </w:p>
        </w:tc>
        <w:tc>
          <w:tcPr>
            <w:tcW w:w="1505" w:type="dxa"/>
          </w:tcPr>
          <w:p w14:paraId="554D2E97" w14:textId="77777777" w:rsidR="006E4579" w:rsidRDefault="00000000">
            <w:r>
              <w:rPr>
                <w:rFonts w:ascii="Arial" w:hAnsi="Arial"/>
                <w:sz w:val="18"/>
              </w:rPr>
              <w:t>Board-level sustainability committee and oversight</w:t>
            </w:r>
          </w:p>
        </w:tc>
        <w:tc>
          <w:tcPr>
            <w:tcW w:w="1505" w:type="dxa"/>
          </w:tcPr>
          <w:p w14:paraId="0D013844" w14:textId="77777777" w:rsidR="006E4579" w:rsidRDefault="00000000">
            <w:r>
              <w:rPr>
                <w:rFonts w:ascii="Arial" w:hAnsi="Arial"/>
                <w:sz w:val="18"/>
              </w:rPr>
              <w:t>⚠️ Gap — No compliance documentation</w:t>
            </w:r>
          </w:p>
        </w:tc>
        <w:tc>
          <w:tcPr>
            <w:tcW w:w="1505" w:type="dxa"/>
          </w:tcPr>
          <w:p w14:paraId="02D84147" w14:textId="77777777" w:rsidR="006E4579" w:rsidRDefault="00000000">
            <w:r>
              <w:rPr>
                <w:rFonts w:ascii="Arial" w:hAnsi="Arial"/>
                <w:sz w:val="18"/>
              </w:rPr>
              <w:t>High</w:t>
            </w:r>
          </w:p>
        </w:tc>
        <w:tc>
          <w:tcPr>
            <w:tcW w:w="1505" w:type="dxa"/>
          </w:tcPr>
          <w:p w14:paraId="3D4CF997" w14:textId="77777777" w:rsidR="006E4579" w:rsidRDefault="00000000">
            <w:r>
              <w:rPr>
                <w:rFonts w:ascii="Arial" w:hAnsi="Arial"/>
                <w:sz w:val="18"/>
              </w:rPr>
              <w:t>Q4 2025</w:t>
            </w:r>
          </w:p>
        </w:tc>
      </w:tr>
    </w:tbl>
    <w:p w14:paraId="7599BD49" w14:textId="77777777" w:rsidR="006E4579" w:rsidRDefault="00000000">
      <w:r>
        <w:rPr>
          <w:rFonts w:ascii="Arial" w:hAnsi="Arial"/>
          <w:i/>
          <w:sz w:val="16"/>
        </w:rPr>
        <w:t>Source: Gap analysis based on framework requirements and current institutional governance structure as of December 31, 2024.</w:t>
      </w:r>
    </w:p>
    <w:p w14:paraId="25FF9FA5" w14:textId="77777777" w:rsidR="006E4579" w:rsidRDefault="006E4579"/>
    <w:p w14:paraId="5A9C35D0" w14:textId="77777777" w:rsidR="006E4579" w:rsidRDefault="00000000">
      <w:r>
        <w:rPr>
          <w:rFonts w:ascii="Arial" w:hAnsi="Arial"/>
          <w:b/>
          <w:sz w:val="20"/>
        </w:rPr>
        <w:t>Table 56: Table 3.1.2: Peer Bank Governance Structures — Benchmarking Reference</w:t>
      </w:r>
    </w:p>
    <w:tbl>
      <w:tblPr>
        <w:tblW w:w="0" w:type="auto"/>
        <w:jc w:val="center"/>
        <w:tblLook w:val="04A0" w:firstRow="1" w:lastRow="0" w:firstColumn="1" w:lastColumn="0" w:noHBand="0" w:noVBand="1"/>
      </w:tblPr>
      <w:tblGrid>
        <w:gridCol w:w="1505"/>
        <w:gridCol w:w="1505"/>
        <w:gridCol w:w="1505"/>
        <w:gridCol w:w="1505"/>
        <w:gridCol w:w="1505"/>
        <w:gridCol w:w="1505"/>
      </w:tblGrid>
      <w:tr w:rsidR="006E4579" w14:paraId="5EE03789" w14:textId="77777777">
        <w:trPr>
          <w:jc w:val="center"/>
        </w:trPr>
        <w:tc>
          <w:tcPr>
            <w:tcW w:w="1505" w:type="dxa"/>
            <w:shd w:val="clear" w:color="auto" w:fill="1B3A6B"/>
          </w:tcPr>
          <w:p w14:paraId="35C9413B" w14:textId="77777777" w:rsidR="006E4579" w:rsidRDefault="00000000">
            <w:r>
              <w:rPr>
                <w:rFonts w:ascii="Arial" w:hAnsi="Arial"/>
                <w:b/>
                <w:color w:val="FFFFFF"/>
                <w:sz w:val="18"/>
              </w:rPr>
              <w:t>Institution</w:t>
            </w:r>
          </w:p>
        </w:tc>
        <w:tc>
          <w:tcPr>
            <w:tcW w:w="1505" w:type="dxa"/>
            <w:shd w:val="clear" w:color="auto" w:fill="1B3A6B"/>
          </w:tcPr>
          <w:p w14:paraId="04D85804" w14:textId="77777777" w:rsidR="006E4579" w:rsidRDefault="00000000">
            <w:r>
              <w:rPr>
                <w:rFonts w:ascii="Arial" w:hAnsi="Arial"/>
                <w:b/>
                <w:color w:val="FFFFFF"/>
                <w:sz w:val="18"/>
              </w:rPr>
              <w:t>Board Committee</w:t>
            </w:r>
          </w:p>
        </w:tc>
        <w:tc>
          <w:tcPr>
            <w:tcW w:w="1505" w:type="dxa"/>
            <w:shd w:val="clear" w:color="auto" w:fill="1B3A6B"/>
          </w:tcPr>
          <w:p w14:paraId="7AB55449" w14:textId="77777777" w:rsidR="006E4579" w:rsidRDefault="00000000">
            <w:r>
              <w:rPr>
                <w:rFonts w:ascii="Arial" w:hAnsi="Arial"/>
                <w:b/>
                <w:color w:val="FFFFFF"/>
                <w:sz w:val="18"/>
              </w:rPr>
              <w:t>Management Role</w:t>
            </w:r>
          </w:p>
        </w:tc>
        <w:tc>
          <w:tcPr>
            <w:tcW w:w="1505" w:type="dxa"/>
            <w:shd w:val="clear" w:color="auto" w:fill="1B3A6B"/>
          </w:tcPr>
          <w:p w14:paraId="196F75A0" w14:textId="77777777" w:rsidR="006E4579" w:rsidRDefault="00000000">
            <w:r>
              <w:rPr>
                <w:rFonts w:ascii="Arial" w:hAnsi="Arial"/>
                <w:b/>
                <w:color w:val="FFFFFF"/>
                <w:sz w:val="18"/>
              </w:rPr>
              <w:t>Review Frequency</w:t>
            </w:r>
          </w:p>
        </w:tc>
        <w:tc>
          <w:tcPr>
            <w:tcW w:w="1505" w:type="dxa"/>
            <w:shd w:val="clear" w:color="auto" w:fill="1B3A6B"/>
          </w:tcPr>
          <w:p w14:paraId="64002D66" w14:textId="77777777" w:rsidR="006E4579" w:rsidRDefault="00000000">
            <w:r>
              <w:rPr>
                <w:rFonts w:ascii="Arial" w:hAnsi="Arial"/>
                <w:b/>
                <w:color w:val="FFFFFF"/>
                <w:sz w:val="18"/>
              </w:rPr>
              <w:t>Remuneration Linkage</w:t>
            </w:r>
          </w:p>
        </w:tc>
        <w:tc>
          <w:tcPr>
            <w:tcW w:w="1505" w:type="dxa"/>
            <w:shd w:val="clear" w:color="auto" w:fill="1B3A6B"/>
          </w:tcPr>
          <w:p w14:paraId="75DA9DAF" w14:textId="77777777" w:rsidR="006E4579" w:rsidRDefault="00000000">
            <w:r>
              <w:rPr>
                <w:rFonts w:ascii="Arial" w:hAnsi="Arial"/>
                <w:b/>
                <w:color w:val="FFFFFF"/>
                <w:sz w:val="18"/>
              </w:rPr>
              <w:t>Policy Framework</w:t>
            </w:r>
          </w:p>
        </w:tc>
      </w:tr>
      <w:tr w:rsidR="006E4579" w14:paraId="1CA2CEA0" w14:textId="77777777">
        <w:trPr>
          <w:jc w:val="center"/>
        </w:trPr>
        <w:tc>
          <w:tcPr>
            <w:tcW w:w="1505" w:type="dxa"/>
          </w:tcPr>
          <w:p w14:paraId="5ABF7170" w14:textId="77777777" w:rsidR="006E4579" w:rsidRDefault="00000000">
            <w:r>
              <w:rPr>
                <w:rFonts w:ascii="Arial" w:hAnsi="Arial"/>
                <w:sz w:val="18"/>
              </w:rPr>
              <w:t>BRI</w:t>
            </w:r>
          </w:p>
        </w:tc>
        <w:tc>
          <w:tcPr>
            <w:tcW w:w="1505" w:type="dxa"/>
          </w:tcPr>
          <w:p w14:paraId="7D6FBA63" w14:textId="77777777" w:rsidR="006E4579" w:rsidRDefault="00000000">
            <w:r>
              <w:rPr>
                <w:rFonts w:ascii="Arial" w:hAnsi="Arial"/>
                <w:sz w:val="18"/>
              </w:rPr>
              <w:t>Risk Mgmt &amp; ESG Committee (since 2021)</w:t>
            </w:r>
          </w:p>
        </w:tc>
        <w:tc>
          <w:tcPr>
            <w:tcW w:w="1505" w:type="dxa"/>
          </w:tcPr>
          <w:p w14:paraId="424E6CF6" w14:textId="77777777" w:rsidR="006E4579" w:rsidRDefault="00000000">
            <w:r>
              <w:rPr>
                <w:rFonts w:ascii="Arial" w:hAnsi="Arial"/>
                <w:sz w:val="18"/>
              </w:rPr>
              <w:t>Reports to President Director</w:t>
            </w:r>
          </w:p>
        </w:tc>
        <w:tc>
          <w:tcPr>
            <w:tcW w:w="1505" w:type="dxa"/>
          </w:tcPr>
          <w:p w14:paraId="55B70317" w14:textId="77777777" w:rsidR="006E4579" w:rsidRDefault="00000000">
            <w:r>
              <w:rPr>
                <w:rFonts w:ascii="Arial" w:hAnsi="Arial"/>
                <w:sz w:val="18"/>
              </w:rPr>
              <w:t>Quarterly</w:t>
            </w:r>
          </w:p>
        </w:tc>
        <w:tc>
          <w:tcPr>
            <w:tcW w:w="1505" w:type="dxa"/>
          </w:tcPr>
          <w:p w14:paraId="68FE6E82" w14:textId="77777777" w:rsidR="006E4579" w:rsidRDefault="00000000">
            <w:r>
              <w:rPr>
                <w:rFonts w:ascii="Arial" w:hAnsi="Arial"/>
                <w:sz w:val="18"/>
              </w:rPr>
              <w:t>✅ Yes — ESG KPIs in BoD assessment</w:t>
            </w:r>
          </w:p>
        </w:tc>
        <w:tc>
          <w:tcPr>
            <w:tcW w:w="1505" w:type="dxa"/>
          </w:tcPr>
          <w:p w14:paraId="03E25350" w14:textId="77777777" w:rsidR="006E4579" w:rsidRDefault="00000000">
            <w:r>
              <w:rPr>
                <w:rFonts w:ascii="Arial" w:hAnsi="Arial"/>
                <w:sz w:val="18"/>
              </w:rPr>
              <w:t>NOKEP 872-DIR/2022</w:t>
            </w:r>
          </w:p>
        </w:tc>
      </w:tr>
      <w:tr w:rsidR="006E4579" w14:paraId="6E860FE0" w14:textId="77777777">
        <w:trPr>
          <w:jc w:val="center"/>
        </w:trPr>
        <w:tc>
          <w:tcPr>
            <w:tcW w:w="1505" w:type="dxa"/>
            <w:shd w:val="clear" w:color="auto" w:fill="F2F6FC"/>
          </w:tcPr>
          <w:p w14:paraId="2CDD8A32" w14:textId="77777777" w:rsidR="006E4579" w:rsidRDefault="00000000">
            <w:r>
              <w:rPr>
                <w:rFonts w:ascii="Arial" w:hAnsi="Arial"/>
                <w:sz w:val="18"/>
              </w:rPr>
              <w:t>BCA</w:t>
            </w:r>
          </w:p>
        </w:tc>
        <w:tc>
          <w:tcPr>
            <w:tcW w:w="1505" w:type="dxa"/>
            <w:shd w:val="clear" w:color="auto" w:fill="F2F6FC"/>
          </w:tcPr>
          <w:p w14:paraId="4A0B713C" w14:textId="77777777" w:rsidR="006E4579" w:rsidRDefault="00000000">
            <w:r>
              <w:rPr>
                <w:rFonts w:ascii="Arial" w:hAnsi="Arial"/>
                <w:sz w:val="18"/>
              </w:rPr>
              <w:t>ESG Subdivision under Corporate Secretary</w:t>
            </w:r>
          </w:p>
        </w:tc>
        <w:tc>
          <w:tcPr>
            <w:tcW w:w="1505" w:type="dxa"/>
            <w:shd w:val="clear" w:color="auto" w:fill="F2F6FC"/>
          </w:tcPr>
          <w:p w14:paraId="3403F92B" w14:textId="77777777" w:rsidR="006E4579" w:rsidRDefault="00000000">
            <w:r>
              <w:rPr>
                <w:rFonts w:ascii="Arial" w:hAnsi="Arial"/>
                <w:sz w:val="18"/>
              </w:rPr>
              <w:t>Director Planning &amp; Finance → President Director</w:t>
            </w:r>
          </w:p>
        </w:tc>
        <w:tc>
          <w:tcPr>
            <w:tcW w:w="1505" w:type="dxa"/>
            <w:shd w:val="clear" w:color="auto" w:fill="F2F6FC"/>
          </w:tcPr>
          <w:p w14:paraId="177AAF74" w14:textId="77777777" w:rsidR="006E4579" w:rsidRDefault="00000000">
            <w:r>
              <w:rPr>
                <w:rFonts w:ascii="Arial" w:hAnsi="Arial"/>
                <w:sz w:val="18"/>
              </w:rPr>
              <w:t>≥4x per year</w:t>
            </w:r>
          </w:p>
        </w:tc>
        <w:tc>
          <w:tcPr>
            <w:tcW w:w="1505" w:type="dxa"/>
            <w:shd w:val="clear" w:color="auto" w:fill="F2F6FC"/>
          </w:tcPr>
          <w:p w14:paraId="58A9BDE5" w14:textId="77777777" w:rsidR="006E4579" w:rsidRDefault="00000000">
            <w:r>
              <w:rPr>
                <w:rFonts w:ascii="Arial" w:hAnsi="Arial"/>
                <w:sz w:val="18"/>
              </w:rPr>
              <w:t>✅ Yes — Integrated to BoD &amp; unit KPIs</w:t>
            </w:r>
          </w:p>
        </w:tc>
        <w:tc>
          <w:tcPr>
            <w:tcW w:w="1505" w:type="dxa"/>
            <w:shd w:val="clear" w:color="auto" w:fill="F2F6FC"/>
          </w:tcPr>
          <w:p w14:paraId="02E6E259" w14:textId="77777777" w:rsidR="006E4579" w:rsidRDefault="00000000">
            <w:r>
              <w:rPr>
                <w:rFonts w:ascii="Arial" w:hAnsi="Arial"/>
                <w:sz w:val="18"/>
              </w:rPr>
              <w:t>Multiple BoD Decrees (sectoral)</w:t>
            </w:r>
          </w:p>
        </w:tc>
      </w:tr>
      <w:tr w:rsidR="006E4579" w14:paraId="7B3CD005" w14:textId="77777777">
        <w:trPr>
          <w:jc w:val="center"/>
        </w:trPr>
        <w:tc>
          <w:tcPr>
            <w:tcW w:w="1505" w:type="dxa"/>
          </w:tcPr>
          <w:p w14:paraId="281BF047" w14:textId="77777777" w:rsidR="006E4579" w:rsidRDefault="00000000">
            <w:r>
              <w:rPr>
                <w:rFonts w:ascii="Arial" w:hAnsi="Arial"/>
                <w:sz w:val="18"/>
              </w:rPr>
              <w:t>DBS</w:t>
            </w:r>
          </w:p>
        </w:tc>
        <w:tc>
          <w:tcPr>
            <w:tcW w:w="1505" w:type="dxa"/>
          </w:tcPr>
          <w:p w14:paraId="52DD8D90" w14:textId="77777777" w:rsidR="006E4579" w:rsidRDefault="00000000">
            <w:r>
              <w:rPr>
                <w:rFonts w:ascii="Arial" w:hAnsi="Arial"/>
                <w:sz w:val="18"/>
              </w:rPr>
              <w:t>Board Sustainability Committee</w:t>
            </w:r>
          </w:p>
        </w:tc>
        <w:tc>
          <w:tcPr>
            <w:tcW w:w="1505" w:type="dxa"/>
          </w:tcPr>
          <w:p w14:paraId="188CA8E1" w14:textId="77777777" w:rsidR="006E4579" w:rsidRDefault="00000000">
            <w:r>
              <w:rPr>
                <w:rFonts w:ascii="Arial" w:hAnsi="Arial"/>
                <w:sz w:val="18"/>
              </w:rPr>
              <w:t>Chief Sustainability Officer → Board</w:t>
            </w:r>
          </w:p>
        </w:tc>
        <w:tc>
          <w:tcPr>
            <w:tcW w:w="1505" w:type="dxa"/>
          </w:tcPr>
          <w:p w14:paraId="673771DD" w14:textId="77777777" w:rsidR="006E4579" w:rsidRDefault="00000000">
            <w:r>
              <w:rPr>
                <w:rFonts w:ascii="Arial" w:hAnsi="Arial"/>
                <w:sz w:val="18"/>
              </w:rPr>
              <w:t>Quarterly</w:t>
            </w:r>
          </w:p>
        </w:tc>
        <w:tc>
          <w:tcPr>
            <w:tcW w:w="1505" w:type="dxa"/>
          </w:tcPr>
          <w:p w14:paraId="551818FB" w14:textId="77777777" w:rsidR="006E4579" w:rsidRDefault="00000000">
            <w:r>
              <w:rPr>
                <w:rFonts w:ascii="Arial" w:hAnsi="Arial"/>
                <w:sz w:val="18"/>
              </w:rPr>
              <w:t>✅ Yes — 20% weight</w:t>
            </w:r>
          </w:p>
        </w:tc>
        <w:tc>
          <w:tcPr>
            <w:tcW w:w="1505" w:type="dxa"/>
          </w:tcPr>
          <w:p w14:paraId="18832C07" w14:textId="77777777" w:rsidR="006E4579" w:rsidRDefault="00000000">
            <w:r>
              <w:rPr>
                <w:rFonts w:ascii="Arial" w:hAnsi="Arial"/>
                <w:sz w:val="18"/>
              </w:rPr>
              <w:t>Board-approved ESG Framework</w:t>
            </w:r>
          </w:p>
        </w:tc>
      </w:tr>
      <w:tr w:rsidR="006E4579" w14:paraId="153681EF" w14:textId="77777777">
        <w:trPr>
          <w:jc w:val="center"/>
        </w:trPr>
        <w:tc>
          <w:tcPr>
            <w:tcW w:w="1505" w:type="dxa"/>
            <w:shd w:val="clear" w:color="auto" w:fill="F2F6FC"/>
          </w:tcPr>
          <w:p w14:paraId="67055AF5" w14:textId="77777777" w:rsidR="006E4579" w:rsidRDefault="00000000">
            <w:r>
              <w:rPr>
                <w:rFonts w:ascii="Arial" w:hAnsi="Arial"/>
                <w:sz w:val="18"/>
              </w:rPr>
              <w:t>Mandiri</w:t>
            </w:r>
          </w:p>
        </w:tc>
        <w:tc>
          <w:tcPr>
            <w:tcW w:w="1505" w:type="dxa"/>
            <w:shd w:val="clear" w:color="auto" w:fill="F2F6FC"/>
          </w:tcPr>
          <w:p w14:paraId="537F4EAE" w14:textId="77777777" w:rsidR="006E4579" w:rsidRDefault="00000000">
            <w:r>
              <w:rPr>
                <w:rFonts w:ascii="Arial" w:hAnsi="Arial"/>
                <w:sz w:val="18"/>
              </w:rPr>
              <w:t>ESG Task Force</w:t>
            </w:r>
          </w:p>
        </w:tc>
        <w:tc>
          <w:tcPr>
            <w:tcW w:w="1505" w:type="dxa"/>
            <w:shd w:val="clear" w:color="auto" w:fill="F2F6FC"/>
          </w:tcPr>
          <w:p w14:paraId="55FA55B5" w14:textId="77777777" w:rsidR="006E4579" w:rsidRDefault="00000000">
            <w:r>
              <w:rPr>
                <w:rFonts w:ascii="Arial" w:hAnsi="Arial"/>
                <w:sz w:val="18"/>
              </w:rPr>
              <w:t>Director → President Director</w:t>
            </w:r>
          </w:p>
        </w:tc>
        <w:tc>
          <w:tcPr>
            <w:tcW w:w="1505" w:type="dxa"/>
            <w:shd w:val="clear" w:color="auto" w:fill="F2F6FC"/>
          </w:tcPr>
          <w:p w14:paraId="7FB6DB30" w14:textId="77777777" w:rsidR="006E4579" w:rsidRDefault="00000000">
            <w:r>
              <w:rPr>
                <w:rFonts w:ascii="Arial" w:hAnsi="Arial"/>
                <w:sz w:val="18"/>
              </w:rPr>
              <w:t>Semi-annual</w:t>
            </w:r>
          </w:p>
        </w:tc>
        <w:tc>
          <w:tcPr>
            <w:tcW w:w="1505" w:type="dxa"/>
            <w:shd w:val="clear" w:color="auto" w:fill="F2F6FC"/>
          </w:tcPr>
          <w:p w14:paraId="2503C9DC" w14:textId="77777777" w:rsidR="006E4579" w:rsidRDefault="00000000">
            <w:r>
              <w:rPr>
                <w:rFonts w:ascii="Arial" w:hAnsi="Arial"/>
                <w:sz w:val="18"/>
              </w:rPr>
              <w:t>🔲 Partial</w:t>
            </w:r>
          </w:p>
        </w:tc>
        <w:tc>
          <w:tcPr>
            <w:tcW w:w="1505" w:type="dxa"/>
            <w:shd w:val="clear" w:color="auto" w:fill="F2F6FC"/>
          </w:tcPr>
          <w:p w14:paraId="1D63B57F" w14:textId="77777777" w:rsidR="006E4579" w:rsidRDefault="00000000">
            <w:r>
              <w:rPr>
                <w:rFonts w:ascii="Arial" w:hAnsi="Arial"/>
                <w:sz w:val="18"/>
              </w:rPr>
              <w:t>Internal policy</w:t>
            </w:r>
          </w:p>
        </w:tc>
      </w:tr>
    </w:tbl>
    <w:p w14:paraId="67237B86" w14:textId="77777777" w:rsidR="006E4579" w:rsidRDefault="00000000">
      <w:r>
        <w:rPr>
          <w:rFonts w:ascii="Arial" w:hAnsi="Arial"/>
          <w:i/>
          <w:sz w:val="16"/>
        </w:rPr>
        <w:t>Source: Source: BRI Sustainability Report 2023, BCA Sustainability Report 2025, DBS Sustainability Report 2023, Bank Mandiri Sustainability Report 2023.</w:t>
      </w:r>
    </w:p>
    <w:p w14:paraId="5746AB61" w14:textId="77777777" w:rsidR="006E4579" w:rsidRDefault="006E4579"/>
    <w:p w14:paraId="4D299110" w14:textId="77777777" w:rsidR="006E4579" w:rsidRDefault="006E4579"/>
    <w:p w14:paraId="4EAEF112" w14:textId="77777777" w:rsidR="006E4579" w:rsidRDefault="00000000">
      <w:r>
        <w:rPr>
          <w:noProof/>
        </w:rPr>
        <w:drawing>
          <wp:inline distT="0" distB="0" distL="0" distR="0" wp14:anchorId="6443BB21" wp14:editId="156EC1E0">
            <wp:extent cx="5029200" cy="29386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029200" cy="2938689"/>
                    </a:xfrm>
                    <a:prstGeom prst="rect">
                      <a:avLst/>
                    </a:prstGeom>
                  </pic:spPr>
                </pic:pic>
              </a:graphicData>
            </a:graphic>
          </wp:inline>
        </w:drawing>
      </w:r>
    </w:p>
    <w:p w14:paraId="28632CB6" w14:textId="77777777" w:rsidR="006E4579" w:rsidRDefault="00000000">
      <w:pPr>
        <w:jc w:val="center"/>
      </w:pPr>
      <w:r>
        <w:rPr>
          <w:i/>
          <w:color w:val="666666"/>
          <w:sz w:val="18"/>
        </w:rPr>
        <w:t>Figure 26: Climate Governance Requirements — Gap Status by Framework</w:t>
      </w:r>
    </w:p>
    <w:p w14:paraId="7FB70E8A" w14:textId="77777777" w:rsidR="006E4579" w:rsidRDefault="00000000">
      <w:pPr>
        <w:jc w:val="center"/>
      </w:pPr>
      <w:r>
        <w:rPr>
          <w:i/>
          <w:color w:val="757575"/>
          <w:sz w:val="18"/>
        </w:rPr>
        <w:t>All seven framework requirements show gaps — immediate action needed to achieve OJK PSPK compliance and IFRS S2 readiness by 2026</w:t>
      </w:r>
    </w:p>
    <w:p w14:paraId="2CB5CED4" w14:textId="77777777" w:rsidR="006E4579" w:rsidRDefault="006E4579"/>
    <w:p w14:paraId="55CC56E2" w14:textId="77777777" w:rsidR="006E4579" w:rsidRDefault="00000000">
      <w:r>
        <w:rPr>
          <w:noProof/>
        </w:rPr>
        <w:drawing>
          <wp:inline distT="0" distB="0" distL="0" distR="0" wp14:anchorId="55105C88" wp14:editId="6FBAA30C">
            <wp:extent cx="5029200" cy="333205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029200" cy="3332057"/>
                    </a:xfrm>
                    <a:prstGeom prst="rect">
                      <a:avLst/>
                    </a:prstGeom>
                  </pic:spPr>
                </pic:pic>
              </a:graphicData>
            </a:graphic>
          </wp:inline>
        </w:drawing>
      </w:r>
    </w:p>
    <w:p w14:paraId="1B2DFAF7" w14:textId="77777777" w:rsidR="006E4579" w:rsidRDefault="00000000">
      <w:pPr>
        <w:jc w:val="center"/>
      </w:pPr>
      <w:r>
        <w:rPr>
          <w:i/>
          <w:color w:val="666666"/>
          <w:sz w:val="18"/>
        </w:rPr>
        <w:t>Figure 27: Peer Bank Governance Maturity — Key Elements Comparison</w:t>
      </w:r>
    </w:p>
    <w:p w14:paraId="4E01878F" w14:textId="77777777" w:rsidR="006E4579" w:rsidRDefault="00000000">
      <w:pPr>
        <w:jc w:val="center"/>
      </w:pPr>
      <w:r>
        <w:rPr>
          <w:i/>
          <w:color w:val="757575"/>
          <w:sz w:val="18"/>
        </w:rPr>
        <w:t>Institution lags all peers on governance infrastructure — BRI and BCA have 5/5 elements implemented, institution has 0/5</w:t>
      </w:r>
    </w:p>
    <w:p w14:paraId="2BBA4AC6" w14:textId="77777777" w:rsidR="006E4579" w:rsidRDefault="006E4579"/>
    <w:p w14:paraId="24D34EE5" w14:textId="77777777" w:rsidR="006E4579" w:rsidRDefault="00000000">
      <w:r>
        <w:rPr>
          <w:noProof/>
        </w:rPr>
        <w:lastRenderedPageBreak/>
        <w:drawing>
          <wp:inline distT="0" distB="0" distL="0" distR="0" wp14:anchorId="660DF4CC" wp14:editId="4075369D">
            <wp:extent cx="5029200" cy="29830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029200" cy="2983080"/>
                    </a:xfrm>
                    <a:prstGeom prst="rect">
                      <a:avLst/>
                    </a:prstGeom>
                  </pic:spPr>
                </pic:pic>
              </a:graphicData>
            </a:graphic>
          </wp:inline>
        </w:drawing>
      </w:r>
    </w:p>
    <w:p w14:paraId="59866D2C" w14:textId="77777777" w:rsidR="006E4579" w:rsidRDefault="00000000">
      <w:pPr>
        <w:jc w:val="center"/>
      </w:pPr>
      <w:r>
        <w:rPr>
          <w:i/>
          <w:color w:val="666666"/>
          <w:sz w:val="18"/>
        </w:rPr>
        <w:t>Figure 28: Recommended Implementation Timeline — Phased Approach</w:t>
      </w:r>
    </w:p>
    <w:p w14:paraId="151723DA" w14:textId="77777777" w:rsidR="006E4579" w:rsidRDefault="00000000">
      <w:pPr>
        <w:jc w:val="center"/>
      </w:pPr>
      <w:r>
        <w:rPr>
          <w:i/>
          <w:color w:val="757575"/>
          <w:sz w:val="18"/>
        </w:rPr>
        <w:t>4-phase roadmap over 24 months achieves full compliance — Board committee and management role are Q4 2025 priorities</w:t>
      </w:r>
    </w:p>
    <w:tbl>
      <w:tblPr>
        <w:tblW w:w="0" w:type="auto"/>
        <w:jc w:val="center"/>
        <w:tblLook w:val="04A0" w:firstRow="1" w:lastRow="0" w:firstColumn="1" w:lastColumn="0" w:noHBand="0" w:noVBand="1"/>
      </w:tblPr>
      <w:tblGrid>
        <w:gridCol w:w="9029"/>
      </w:tblGrid>
      <w:tr w:rsidR="006E4579" w14:paraId="779E5EB5" w14:textId="77777777">
        <w:trPr>
          <w:jc w:val="center"/>
        </w:trPr>
        <w:tc>
          <w:tcPr>
            <w:tcW w:w="9029" w:type="dxa"/>
            <w:shd w:val="clear" w:color="auto" w:fill="F2F6FA"/>
          </w:tcPr>
          <w:p w14:paraId="33C72721" w14:textId="77777777" w:rsidR="006E4579" w:rsidRDefault="00000000">
            <w:r>
              <w:rPr>
                <w:b/>
                <w:color w:val="1B3A6B"/>
                <w:sz w:val="18"/>
              </w:rPr>
              <w:t>📊 DIAGNOSTIC ANALYSIS</w:t>
            </w:r>
          </w:p>
          <w:p w14:paraId="7A34FB05" w14:textId="77777777" w:rsidR="006E4579" w:rsidRDefault="00000000">
            <w:r>
              <w:rPr>
                <w:sz w:val="20"/>
              </w:rPr>
              <w:t>The absence of formal climate governance structures indicates the institution has not yet prioritized sustainability as a strategic imperative requiring board-level oversight. This gap is particularly concerning given OJK PSPK regulatory requirements (POJK 51/2017, SEOJK 16/2021) mandating board-level sustainability governance for Indonesian financial institutions. The institution's financed emissions of 15.28 million tCO₂e (weighted) represent material climate-related financial risk requiring board oversight and management accountability. Without governance infrastructure, the institution cannot effectively set science-based targets, monitor progress, or integrate climate considerations into lending decisions and capital allocation.</w:t>
            </w:r>
          </w:p>
          <w:p w14:paraId="5D8EED72" w14:textId="77777777" w:rsidR="006E4579" w:rsidRDefault="00000000">
            <w:r>
              <w:rPr>
                <w:b/>
                <w:sz w:val="20"/>
              </w:rPr>
              <w:t>Root Causes:</w:t>
            </w:r>
          </w:p>
          <w:p w14:paraId="4F38075A" w14:textId="77777777" w:rsidR="006E4579" w:rsidRDefault="00000000">
            <w:r>
              <w:rPr>
                <w:sz w:val="18"/>
              </w:rPr>
              <w:t>• No regulatory compliance assessment conducted for OJK PSPK governance requirements (POJK 51/2017, SEOJK 16/2021)</w:t>
            </w:r>
          </w:p>
          <w:p w14:paraId="337EF8D7" w14:textId="77777777" w:rsidR="006E4579" w:rsidRDefault="00000000">
            <w:r>
              <w:rPr>
                <w:sz w:val="18"/>
              </w:rPr>
              <w:t>• Sustainability not yet elevated to board-level strategic priority requiring dedicated committee oversight</w:t>
            </w:r>
          </w:p>
          <w:p w14:paraId="291D0E39" w14:textId="77777777" w:rsidR="006E4579" w:rsidRDefault="00000000">
            <w:r>
              <w:rPr>
                <w:sz w:val="18"/>
              </w:rPr>
              <w:t>• Lack of management-level ESG coordination function to prepare board reporting and drive operational execution</w:t>
            </w:r>
          </w:p>
          <w:p w14:paraId="5AB76A6F" w14:textId="77777777" w:rsidR="006E4579" w:rsidRDefault="00000000">
            <w:r>
              <w:rPr>
                <w:sz w:val="18"/>
              </w:rPr>
              <w:t>• No integration of climate metrics into executive performance assessment and remuneration structures</w:t>
            </w:r>
          </w:p>
          <w:p w14:paraId="497B1A56" w14:textId="77777777" w:rsidR="006E4579" w:rsidRDefault="00000000">
            <w:r>
              <w:rPr>
                <w:b/>
                <w:sz w:val="20"/>
              </w:rPr>
              <w:t>Risk Implications:</w:t>
            </w:r>
          </w:p>
          <w:p w14:paraId="12AE324E" w14:textId="77777777" w:rsidR="006E4579" w:rsidRDefault="00000000">
            <w:r>
              <w:rPr>
                <w:sz w:val="18"/>
              </w:rPr>
              <w:t>• Regulatory non-compliance risk: OJK PSPK mandates board-level sustainability governance for financial institutions. Absence of compliance documentation exposes institution to regulatory scrutiny and potential enforcement action.</w:t>
            </w:r>
          </w:p>
          <w:p w14:paraId="3FCCA4BD" w14:textId="77777777" w:rsidR="006E4579" w:rsidRDefault="00000000">
            <w:r>
              <w:rPr>
                <w:sz w:val="18"/>
              </w:rPr>
              <w:t>• Investor confidence risk: Institutional investors increasingly require evidence of board climate oversight and executive accountability. Governance gaps limit access to ESG-focused capital and may result in higher cost of capital.</w:t>
            </w:r>
          </w:p>
          <w:p w14:paraId="28D8CEAA" w14:textId="77777777" w:rsidR="006E4579" w:rsidRDefault="00000000">
            <w:r>
              <w:rPr>
                <w:sz w:val="18"/>
              </w:rPr>
              <w:t xml:space="preserve">• Strategic execution risk: Without board oversight and management accountability, the institution cannot </w:t>
            </w:r>
            <w:r>
              <w:rPr>
                <w:sz w:val="18"/>
              </w:rPr>
              <w:lastRenderedPageBreak/>
              <w:t>effectively implement climate strategy, set credible targets, or monitor financed emissions reduction progress. This increases transition risk exposure as the portfolio remains concentrated in carbon-intensive sectors (43.56% of financed emissions from Energy - Oil &amp; Gas alone).</w:t>
            </w:r>
          </w:p>
          <w:p w14:paraId="207D07BB" w14:textId="77777777" w:rsidR="006E4579" w:rsidRDefault="00000000">
            <w:r>
              <w:rPr>
                <w:sz w:val="18"/>
              </w:rPr>
              <w:t>• Reputational risk: Peer banks (BRI, BCA, DBS, Mandiri) have established comprehensive governance structures. The institution's governance gap is visible to stakeholders and may be perceived as lack of commitment to sustainability leadership in the Indonesian banking sector.</w:t>
            </w:r>
          </w:p>
        </w:tc>
      </w:tr>
    </w:tbl>
    <w:p w14:paraId="11A4346D" w14:textId="77777777" w:rsidR="006E4579" w:rsidRDefault="006E4579"/>
    <w:p w14:paraId="637BF803" w14:textId="77777777" w:rsidR="006E4579" w:rsidRDefault="006E4579"/>
    <w:p w14:paraId="25E670B2" w14:textId="77777777" w:rsidR="006E4579" w:rsidRDefault="00000000">
      <w:r>
        <w:rPr>
          <w:b/>
          <w:color w:val="2E7D32"/>
          <w:sz w:val="24"/>
        </w:rPr>
        <w:t>⚡ Priority Actions</w:t>
      </w:r>
    </w:p>
    <w:p w14:paraId="147E1BD5" w14:textId="77777777" w:rsidR="006E4579" w:rsidRDefault="00000000">
      <w:r>
        <w:rPr>
          <w:b/>
        </w:rPr>
        <w:t>🔴 1. Establish Board-level ESG Committee via Board of Directors Decree with quarterly review mandate and direct reporting to President Director</w:t>
      </w:r>
      <w:r>
        <w:t xml:space="preserve"> (Q4 2025)</w:t>
      </w:r>
    </w:p>
    <w:p w14:paraId="44FE7293" w14:textId="77777777" w:rsidR="006E4579" w:rsidRDefault="00000000">
      <w:pPr>
        <w:spacing w:after="160"/>
      </w:pPr>
      <w:r>
        <w:t xml:space="preserve">    → Expected: Achieves OJK PSPK compliance, enables board oversight of 15.28 million tCO₂e financed emissions portfolio, establishes governance foundation for IFRS S2 disclosure</w:t>
      </w:r>
    </w:p>
    <w:p w14:paraId="707E5415" w14:textId="77777777" w:rsidR="006E4579" w:rsidRDefault="00000000">
      <w:pPr>
        <w:spacing w:after="160"/>
      </w:pPr>
      <w:r>
        <w:rPr>
          <w:rFonts w:ascii="Arial" w:hAnsi="Arial"/>
          <w:i/>
          <w:color w:val="646464"/>
          <w:sz w:val="18"/>
        </w:rPr>
        <w:t xml:space="preserve">    → Ref: BRI — Risk Management &amp; ESG Committee established 2021 via NOKEP 872-DIR/2022, quarterly review cadence, direct BoD reporting</w:t>
      </w:r>
    </w:p>
    <w:p w14:paraId="396C8BF0" w14:textId="77777777" w:rsidR="006E4579" w:rsidRDefault="00000000">
      <w:r>
        <w:rPr>
          <w:b/>
        </w:rPr>
        <w:t>🔴 2. Appoint management-level ESG Coordinator reporting to Chief Risk Officer with 30-50% time allocation for climate governance coordination</w:t>
      </w:r>
      <w:r>
        <w:t xml:space="preserve"> (Q4 2025)</w:t>
      </w:r>
    </w:p>
    <w:p w14:paraId="144135A8" w14:textId="77777777" w:rsidR="006E4579" w:rsidRDefault="00000000">
      <w:pPr>
        <w:spacing w:after="160"/>
      </w:pPr>
      <w:r>
        <w:t xml:space="preserve">    → Expected: Establishes management accountability for climate strategy execution, enables quarterly board reporting, coordinates cross-functional ESG initiatives</w:t>
      </w:r>
    </w:p>
    <w:p w14:paraId="24B41BBD" w14:textId="77777777" w:rsidR="006E4579" w:rsidRDefault="00000000">
      <w:pPr>
        <w:spacing w:after="160"/>
      </w:pPr>
      <w:r>
        <w:rPr>
          <w:rFonts w:ascii="Arial" w:hAnsi="Arial"/>
          <w:i/>
          <w:color w:val="646464"/>
          <w:sz w:val="18"/>
        </w:rPr>
        <w:t xml:space="preserve">    → Ref: BCA — ESG Subdivision under Director Planning &amp; Finance with direct President Director reporting; DBS — Chief Sustainability Officer role</w:t>
      </w:r>
    </w:p>
    <w:p w14:paraId="2C98F3DC" w14:textId="77777777" w:rsidR="006E4579" w:rsidRDefault="00000000">
      <w:r>
        <w:rPr>
          <w:b/>
        </w:rPr>
        <w:t>🔴 3. Develop and approve sectoral ESG credit policies for top 3 carbon-intensive sectors (Oil &amp; Gas, Cement, Steel) via Board Decrees</w:t>
      </w:r>
      <w:r>
        <w:t xml:space="preserve"> (Q2 2026)</w:t>
      </w:r>
    </w:p>
    <w:p w14:paraId="02CFFC5E" w14:textId="77777777" w:rsidR="006E4579" w:rsidRDefault="00000000">
      <w:pPr>
        <w:spacing w:after="160"/>
      </w:pPr>
      <w:r>
        <w:t xml:space="preserve">    → Expected: Operationalizes climate governance in lending decisions for 85.93% of financed emissions, aligns with Indonesian Green Taxonomy (THI) and TKBI requirements</w:t>
      </w:r>
    </w:p>
    <w:p w14:paraId="00115388" w14:textId="77777777" w:rsidR="006E4579" w:rsidRDefault="00000000">
      <w:pPr>
        <w:spacing w:after="160"/>
      </w:pPr>
      <w:r>
        <w:rPr>
          <w:rFonts w:ascii="Arial" w:hAnsi="Arial"/>
          <w:i/>
          <w:color w:val="646464"/>
          <w:sz w:val="18"/>
        </w:rPr>
        <w:t xml:space="preserve">    → Ref: BCA — Board Decrees for coal, palm oil, timber, cement, iron-steel, O&amp;G sectoral policies with ESG risk criteria</w:t>
      </w:r>
    </w:p>
    <w:p w14:paraId="33BE306C" w14:textId="77777777" w:rsidR="006E4579" w:rsidRDefault="00000000">
      <w:r>
        <w:rPr>
          <w:b/>
        </w:rPr>
        <w:t>🟡 4. Link 10-20% of executive remuneration to climate KPIs (Scope 1+2 reduction, financed emissions intensity, sustainable finance portfolio growth)</w:t>
      </w:r>
      <w:r>
        <w:t xml:space="preserve"> (Q4 2026)</w:t>
      </w:r>
    </w:p>
    <w:p w14:paraId="2254698F" w14:textId="77777777" w:rsidR="006E4579" w:rsidRDefault="00000000">
      <w:pPr>
        <w:spacing w:after="160"/>
      </w:pPr>
      <w:r>
        <w:t xml:space="preserve">    → Expected: Creates direct executive accountability for climate performance, aligns incentives with emissions reduction targets, meets ESRS 2 GOV-3 requirement</w:t>
      </w:r>
    </w:p>
    <w:p w14:paraId="1B626303" w14:textId="77777777" w:rsidR="006E4579" w:rsidRDefault="00000000">
      <w:pPr>
        <w:spacing w:after="160"/>
      </w:pPr>
      <w:r>
        <w:rPr>
          <w:rFonts w:ascii="Arial" w:hAnsi="Arial"/>
          <w:i/>
          <w:color w:val="646464"/>
          <w:sz w:val="18"/>
        </w:rPr>
        <w:t xml:space="preserve">    → Ref: DBS — 20% executive remuneration weight on ESG performance including climate KPIs; BRI — ESG KPIs integrated to BoD assessment</w:t>
      </w:r>
    </w:p>
    <w:p w14:paraId="287D33EF" w14:textId="77777777" w:rsidR="006E4579" w:rsidRDefault="006E4579"/>
    <w:p w14:paraId="663E1EBE" w14:textId="77777777" w:rsidR="006E4579" w:rsidRDefault="00000000">
      <w:r>
        <w:rPr>
          <w:i/>
          <w:color w:val="3D6094"/>
          <w:sz w:val="18"/>
        </w:rPr>
        <w:t xml:space="preserve">Framework references: IFRS S2 Paragraph 5 — Governance body oversight of climate-related risks and opportunities; IFRS S2 Paragraph 6 — Management's role in climate governance processes; IFRS S2 Paragraph 7 — Integration of governance into strategy and decision-making; GRI 2-12 — Role of the highest governance body in overseeing impact management; GRI 2-13 — Delegation of responsibility for managing impacts; ESRS 2 GOV-3 — Integration of </w:t>
      </w:r>
      <w:r>
        <w:rPr>
          <w:i/>
          <w:color w:val="3D6094"/>
          <w:sz w:val="18"/>
        </w:rPr>
        <w:lastRenderedPageBreak/>
        <w:t>sustainability-related performance in incentive schemes; OJK POJK 51/2017 — Penerapan Keuangan Berkelanjutan bagi Lembaga Jasa Keuangan; OJK SEOJK 16/2021 — Penerapan Tata Kelola dalam Rangka Keuangan Berkelanjutan</w:t>
      </w:r>
    </w:p>
    <w:p w14:paraId="782E4915" w14:textId="77777777" w:rsidR="006E4579" w:rsidRDefault="006E4579">
      <w:pPr>
        <w:pBdr>
          <w:bottom w:val="single" w:sz="6" w:space="1" w:color="CCCCCC"/>
        </w:pBdr>
        <w:spacing w:after="80"/>
      </w:pPr>
    </w:p>
    <w:p w14:paraId="22B69BEC" w14:textId="77777777" w:rsidR="006E4579" w:rsidRDefault="00000000">
      <w:pPr>
        <w:spacing w:after="160"/>
      </w:pPr>
      <w:r>
        <w:rPr>
          <w:rFonts w:ascii="Arial" w:hAnsi="Arial"/>
          <w:i/>
          <w:color w:val="646464"/>
          <w:sz w:val="18"/>
        </w:rPr>
        <w:t>This governance gap analysis is based on the institution's current reporting systems as of December 31, 2024. The absence of formal climate governance structures represents a material disclosure gap under IFRS S2, GRI, ESRS 2, and OJK PSPK requirements.</w:t>
      </w:r>
    </w:p>
    <w:p w14:paraId="528878C9" w14:textId="77777777" w:rsidR="006E4579" w:rsidRDefault="00000000">
      <w:pPr>
        <w:spacing w:after="160"/>
      </w:pPr>
      <w:r>
        <w:rPr>
          <w:rFonts w:ascii="Arial" w:hAnsi="Arial"/>
          <w:i/>
          <w:color w:val="646464"/>
          <w:sz w:val="18"/>
        </w:rPr>
        <w:t>Peer bank governance practices are sourced from publicly available sustainability reports for the 2023-2025 reporting periods. Implementation timelines and structures may vary based on institutional context.</w:t>
      </w:r>
    </w:p>
    <w:p w14:paraId="588E9EDE" w14:textId="77777777" w:rsidR="006E4579" w:rsidRDefault="00000000">
      <w:pPr>
        <w:spacing w:after="160"/>
      </w:pPr>
      <w:r>
        <w:rPr>
          <w:rFonts w:ascii="Arial" w:hAnsi="Arial"/>
          <w:i/>
          <w:color w:val="646464"/>
          <w:sz w:val="18"/>
        </w:rPr>
        <w:t>The recommended implementation roadmap assumes board approval and resource allocation beginning Q3 2025. Actual timelines may be adjusted based on regulatory developments and institutional priorities.</w:t>
      </w:r>
    </w:p>
    <w:p w14:paraId="7271A168" w14:textId="77777777" w:rsidR="006E4579" w:rsidRDefault="00000000">
      <w:pPr>
        <w:spacing w:after="160"/>
      </w:pPr>
      <w:r>
        <w:rPr>
          <w:rFonts w:ascii="Arial" w:hAnsi="Arial"/>
          <w:i/>
          <w:color w:val="646464"/>
          <w:sz w:val="18"/>
        </w:rPr>
        <w:t>OJK PSPK compliance (POJK 51/2017 and SEOJK 16/2021) is mandatory for Indonesian financial institutions. Establishment of board-level sustainability governance is a regulatory requirement, not an optional enhancement.</w:t>
      </w:r>
    </w:p>
    <w:p w14:paraId="0C4A0F2A" w14:textId="77777777" w:rsidR="006E4579" w:rsidRDefault="00000000">
      <w:r>
        <w:br w:type="page"/>
      </w:r>
    </w:p>
    <w:p w14:paraId="103485D1" w14:textId="77777777" w:rsidR="006E4579" w:rsidRDefault="00000000">
      <w:pPr>
        <w:pStyle w:val="Heading1"/>
        <w:spacing w:after="240"/>
      </w:pPr>
      <w:r>
        <w:rPr>
          <w:rFonts w:ascii="Arial" w:hAnsi="Arial"/>
          <w:color w:val="1B3A6B"/>
          <w:sz w:val="36"/>
        </w:rPr>
        <w:lastRenderedPageBreak/>
        <w:t>Appendix A: Methodology &amp; Calculation Approach</w:t>
      </w:r>
    </w:p>
    <w:p w14:paraId="49FE684F" w14:textId="77777777" w:rsidR="006E4579" w:rsidRDefault="00000000">
      <w:pPr>
        <w:spacing w:after="160"/>
      </w:pPr>
      <w:r>
        <w:rPr>
          <w:rFonts w:ascii="Arial" w:hAnsi="Arial"/>
          <w:b/>
        </w:rPr>
        <w:t>A.1 Reporting Boundary &amp; Consolidation</w:t>
      </w:r>
    </w:p>
    <w:p w14:paraId="3FF4802E" w14:textId="77777777" w:rsidR="006E4579" w:rsidRDefault="00000000">
      <w:r>
        <w:rPr>
          <w:rFonts w:ascii="Arial" w:hAnsi="Arial"/>
          <w:b/>
          <w:sz w:val="20"/>
        </w:rPr>
        <w:t>Table 57: Reporting Parameters</w:t>
      </w:r>
    </w:p>
    <w:tbl>
      <w:tblPr>
        <w:tblW w:w="0" w:type="auto"/>
        <w:jc w:val="center"/>
        <w:tblLook w:val="04A0" w:firstRow="1" w:lastRow="0" w:firstColumn="1" w:lastColumn="0" w:noHBand="0" w:noVBand="1"/>
      </w:tblPr>
      <w:tblGrid>
        <w:gridCol w:w="4514"/>
        <w:gridCol w:w="4514"/>
      </w:tblGrid>
      <w:tr w:rsidR="006E4579" w14:paraId="36455AFB" w14:textId="77777777">
        <w:trPr>
          <w:jc w:val="center"/>
        </w:trPr>
        <w:tc>
          <w:tcPr>
            <w:tcW w:w="4514" w:type="dxa"/>
            <w:shd w:val="clear" w:color="auto" w:fill="1B3A6B"/>
          </w:tcPr>
          <w:p w14:paraId="21E64A9E" w14:textId="77777777" w:rsidR="006E4579" w:rsidRDefault="00000000">
            <w:r>
              <w:rPr>
                <w:rFonts w:ascii="Arial" w:hAnsi="Arial"/>
                <w:b/>
                <w:color w:val="FFFFFF"/>
                <w:sz w:val="18"/>
              </w:rPr>
              <w:t>Parameter</w:t>
            </w:r>
          </w:p>
        </w:tc>
        <w:tc>
          <w:tcPr>
            <w:tcW w:w="4514" w:type="dxa"/>
            <w:shd w:val="clear" w:color="auto" w:fill="1B3A6B"/>
          </w:tcPr>
          <w:p w14:paraId="1AC94413" w14:textId="77777777" w:rsidR="006E4579" w:rsidRDefault="00000000">
            <w:r>
              <w:rPr>
                <w:rFonts w:ascii="Arial" w:hAnsi="Arial"/>
                <w:b/>
                <w:color w:val="FFFFFF"/>
                <w:sz w:val="18"/>
              </w:rPr>
              <w:t>Value</w:t>
            </w:r>
          </w:p>
        </w:tc>
      </w:tr>
      <w:tr w:rsidR="006E4579" w14:paraId="2E997D7A" w14:textId="77777777">
        <w:trPr>
          <w:jc w:val="center"/>
        </w:trPr>
        <w:tc>
          <w:tcPr>
            <w:tcW w:w="4514" w:type="dxa"/>
          </w:tcPr>
          <w:p w14:paraId="1DC00D00" w14:textId="77777777" w:rsidR="006E4579" w:rsidRDefault="00000000">
            <w:r>
              <w:rPr>
                <w:rFonts w:ascii="Arial" w:hAnsi="Arial"/>
                <w:sz w:val="18"/>
              </w:rPr>
              <w:t>Consolidation Approach</w:t>
            </w:r>
          </w:p>
        </w:tc>
        <w:tc>
          <w:tcPr>
            <w:tcW w:w="4514" w:type="dxa"/>
          </w:tcPr>
          <w:p w14:paraId="6BBF8D38" w14:textId="77777777" w:rsidR="006E4579" w:rsidRDefault="00000000">
            <w:r>
              <w:rPr>
                <w:rFonts w:ascii="Arial" w:hAnsi="Arial"/>
                <w:sz w:val="18"/>
              </w:rPr>
              <w:t>Operational Control (per GHG Protocol)</w:t>
            </w:r>
          </w:p>
        </w:tc>
      </w:tr>
      <w:tr w:rsidR="006E4579" w14:paraId="17570272" w14:textId="77777777">
        <w:trPr>
          <w:jc w:val="center"/>
        </w:trPr>
        <w:tc>
          <w:tcPr>
            <w:tcW w:w="4514" w:type="dxa"/>
            <w:shd w:val="clear" w:color="auto" w:fill="F2F6FC"/>
          </w:tcPr>
          <w:p w14:paraId="516F8CF5" w14:textId="77777777" w:rsidR="006E4579" w:rsidRDefault="00000000">
            <w:r>
              <w:rPr>
                <w:rFonts w:ascii="Arial" w:hAnsi="Arial"/>
                <w:sz w:val="18"/>
              </w:rPr>
              <w:t>Organizational Boundary</w:t>
            </w:r>
          </w:p>
        </w:tc>
        <w:tc>
          <w:tcPr>
            <w:tcW w:w="4514" w:type="dxa"/>
            <w:shd w:val="clear" w:color="auto" w:fill="F2F6FC"/>
          </w:tcPr>
          <w:p w14:paraId="3F7F7277" w14:textId="77777777" w:rsidR="006E4579" w:rsidRDefault="00000000">
            <w:r>
              <w:rPr>
                <w:rFonts w:ascii="Arial" w:hAnsi="Arial"/>
                <w:sz w:val="18"/>
              </w:rPr>
              <w:t>All facilities under operational control</w:t>
            </w:r>
          </w:p>
        </w:tc>
      </w:tr>
      <w:tr w:rsidR="006E4579" w14:paraId="74462BB7" w14:textId="77777777">
        <w:trPr>
          <w:jc w:val="center"/>
        </w:trPr>
        <w:tc>
          <w:tcPr>
            <w:tcW w:w="4514" w:type="dxa"/>
          </w:tcPr>
          <w:p w14:paraId="00058046" w14:textId="77777777" w:rsidR="006E4579" w:rsidRDefault="00000000">
            <w:r>
              <w:rPr>
                <w:rFonts w:ascii="Arial" w:hAnsi="Arial"/>
                <w:sz w:val="18"/>
              </w:rPr>
              <w:t>Reporting Period</w:t>
            </w:r>
          </w:p>
        </w:tc>
        <w:tc>
          <w:tcPr>
            <w:tcW w:w="4514" w:type="dxa"/>
          </w:tcPr>
          <w:p w14:paraId="6E169B06" w14:textId="77777777" w:rsidR="006E4579" w:rsidRDefault="00000000">
            <w:r>
              <w:rPr>
                <w:rFonts w:ascii="Arial" w:hAnsi="Arial"/>
                <w:sz w:val="18"/>
              </w:rPr>
              <w:t>01 January – 31 December (annual)</w:t>
            </w:r>
          </w:p>
        </w:tc>
      </w:tr>
      <w:tr w:rsidR="006E4579" w14:paraId="02BE3BE5" w14:textId="77777777">
        <w:trPr>
          <w:jc w:val="center"/>
        </w:trPr>
        <w:tc>
          <w:tcPr>
            <w:tcW w:w="4514" w:type="dxa"/>
            <w:shd w:val="clear" w:color="auto" w:fill="F2F6FC"/>
          </w:tcPr>
          <w:p w14:paraId="430800E5" w14:textId="77777777" w:rsidR="006E4579" w:rsidRDefault="00000000">
            <w:r>
              <w:rPr>
                <w:rFonts w:ascii="Arial" w:hAnsi="Arial"/>
                <w:sz w:val="18"/>
              </w:rPr>
              <w:t>Base Year</w:t>
            </w:r>
          </w:p>
        </w:tc>
        <w:tc>
          <w:tcPr>
            <w:tcW w:w="4514" w:type="dxa"/>
            <w:shd w:val="clear" w:color="auto" w:fill="F2F6FC"/>
          </w:tcPr>
          <w:p w14:paraId="25171CF2" w14:textId="77777777" w:rsidR="006E4579" w:rsidRDefault="00000000">
            <w:r>
              <w:rPr>
                <w:rFonts w:ascii="Arial" w:hAnsi="Arial"/>
                <w:sz w:val="18"/>
              </w:rPr>
              <w:t>2023 (first year of comprehensive GHG inventory)</w:t>
            </w:r>
          </w:p>
        </w:tc>
      </w:tr>
      <w:tr w:rsidR="006E4579" w14:paraId="017095DD" w14:textId="77777777">
        <w:trPr>
          <w:jc w:val="center"/>
        </w:trPr>
        <w:tc>
          <w:tcPr>
            <w:tcW w:w="4514" w:type="dxa"/>
          </w:tcPr>
          <w:p w14:paraId="570C7AB6" w14:textId="77777777" w:rsidR="006E4579" w:rsidRDefault="00000000">
            <w:r>
              <w:rPr>
                <w:rFonts w:ascii="Arial" w:hAnsi="Arial"/>
                <w:sz w:val="18"/>
              </w:rPr>
              <w:t>Recalculation Policy</w:t>
            </w:r>
          </w:p>
        </w:tc>
        <w:tc>
          <w:tcPr>
            <w:tcW w:w="4514" w:type="dxa"/>
          </w:tcPr>
          <w:p w14:paraId="14CC6CA4" w14:textId="77777777" w:rsidR="006E4579" w:rsidRDefault="00000000">
            <w:r>
              <w:rPr>
                <w:rFonts w:ascii="Arial" w:hAnsi="Arial"/>
                <w:sz w:val="18"/>
              </w:rPr>
              <w:t>Triggered if structural changes affect &gt;5% of total</w:t>
            </w:r>
          </w:p>
        </w:tc>
      </w:tr>
      <w:tr w:rsidR="006E4579" w14:paraId="2C1F693C" w14:textId="77777777">
        <w:trPr>
          <w:jc w:val="center"/>
        </w:trPr>
        <w:tc>
          <w:tcPr>
            <w:tcW w:w="4514" w:type="dxa"/>
            <w:shd w:val="clear" w:color="auto" w:fill="F2F6FC"/>
          </w:tcPr>
          <w:p w14:paraId="5732014C" w14:textId="77777777" w:rsidR="006E4579" w:rsidRDefault="00000000">
            <w:r>
              <w:rPr>
                <w:rFonts w:ascii="Arial" w:hAnsi="Arial"/>
                <w:sz w:val="18"/>
              </w:rPr>
              <w:t>Standards Applied</w:t>
            </w:r>
          </w:p>
        </w:tc>
        <w:tc>
          <w:tcPr>
            <w:tcW w:w="4514" w:type="dxa"/>
            <w:shd w:val="clear" w:color="auto" w:fill="F2F6FC"/>
          </w:tcPr>
          <w:p w14:paraId="34689B6D" w14:textId="77777777" w:rsidR="006E4579" w:rsidRDefault="00000000">
            <w:r>
              <w:rPr>
                <w:rFonts w:ascii="Arial" w:hAnsi="Arial"/>
                <w:sz w:val="18"/>
              </w:rPr>
              <w:t>GHG Protocol Corporate Standard (2015 Revised)</w:t>
            </w:r>
          </w:p>
        </w:tc>
      </w:tr>
      <w:tr w:rsidR="006E4579" w14:paraId="1E858A68" w14:textId="77777777">
        <w:trPr>
          <w:jc w:val="center"/>
        </w:trPr>
        <w:tc>
          <w:tcPr>
            <w:tcW w:w="4514" w:type="dxa"/>
          </w:tcPr>
          <w:p w14:paraId="4C14E4F5" w14:textId="77777777" w:rsidR="006E4579" w:rsidRDefault="00000000">
            <w:r>
              <w:rPr>
                <w:rFonts w:ascii="Arial" w:hAnsi="Arial"/>
                <w:sz w:val="18"/>
              </w:rPr>
              <w:t>Financed Emissions</w:t>
            </w:r>
          </w:p>
        </w:tc>
        <w:tc>
          <w:tcPr>
            <w:tcW w:w="4514" w:type="dxa"/>
          </w:tcPr>
          <w:p w14:paraId="58A073C1" w14:textId="77777777" w:rsidR="006E4579" w:rsidRDefault="00000000">
            <w:r>
              <w:rPr>
                <w:rFonts w:ascii="Arial" w:hAnsi="Arial"/>
                <w:sz w:val="18"/>
              </w:rPr>
              <w:t>PCAF Global Standard Part A (2022 Revision)</w:t>
            </w:r>
          </w:p>
        </w:tc>
      </w:tr>
    </w:tbl>
    <w:p w14:paraId="041B82B7" w14:textId="77777777" w:rsidR="006E4579" w:rsidRDefault="006E4579"/>
    <w:p w14:paraId="2E724C2C" w14:textId="77777777" w:rsidR="006E4579" w:rsidRDefault="00000000">
      <w:pPr>
        <w:spacing w:after="160"/>
      </w:pPr>
      <w:r>
        <w:rPr>
          <w:rFonts w:ascii="Arial" w:hAnsi="Arial"/>
          <w:b/>
        </w:rPr>
        <w:t>A.2 Scope 1 — Direct Emissions</w:t>
      </w:r>
    </w:p>
    <w:p w14:paraId="71E0F578" w14:textId="77777777" w:rsidR="006E4579" w:rsidRDefault="00000000">
      <w:pPr>
        <w:spacing w:after="160"/>
      </w:pPr>
      <w:r>
        <w:t>Scope 1 covers stationary combustion (diesel generators, natural gas boilers) and mobile combustion (company fleet vehicles). Calculation method: fuel-based approach (activity data × emission factor). Emission factors sourced from UK DEFRA 2024/2025 conversion factors. GWP values from IPCC Sixth Assessment Report (AR6, 100-year): CO₂ = 1.0, CH₄ = 29.8, N₂O = 273.0.</w:t>
      </w:r>
    </w:p>
    <w:p w14:paraId="5E35F35B" w14:textId="77777777" w:rsidR="006E4579" w:rsidRDefault="00000000">
      <w:r>
        <w:rPr>
          <w:rFonts w:ascii="Arial" w:hAnsi="Arial"/>
          <w:b/>
          <w:sz w:val="20"/>
        </w:rPr>
        <w:t>Table 58: Scope 1 Emission Factors Applied</w:t>
      </w:r>
    </w:p>
    <w:tbl>
      <w:tblPr>
        <w:tblW w:w="0" w:type="auto"/>
        <w:jc w:val="center"/>
        <w:tblLook w:val="04A0" w:firstRow="1" w:lastRow="0" w:firstColumn="1" w:lastColumn="0" w:noHBand="0" w:noVBand="1"/>
      </w:tblPr>
      <w:tblGrid>
        <w:gridCol w:w="1806"/>
        <w:gridCol w:w="1806"/>
        <w:gridCol w:w="1806"/>
        <w:gridCol w:w="1806"/>
        <w:gridCol w:w="1806"/>
      </w:tblGrid>
      <w:tr w:rsidR="006E4579" w14:paraId="44F09181" w14:textId="77777777">
        <w:trPr>
          <w:jc w:val="center"/>
        </w:trPr>
        <w:tc>
          <w:tcPr>
            <w:tcW w:w="1806" w:type="dxa"/>
            <w:shd w:val="clear" w:color="auto" w:fill="1B3A6B"/>
          </w:tcPr>
          <w:p w14:paraId="56C5C026" w14:textId="77777777" w:rsidR="006E4579" w:rsidRDefault="00000000">
            <w:r>
              <w:rPr>
                <w:rFonts w:ascii="Arial" w:hAnsi="Arial"/>
                <w:b/>
                <w:color w:val="FFFFFF"/>
                <w:sz w:val="18"/>
              </w:rPr>
              <w:t>Fuel Type</w:t>
            </w:r>
          </w:p>
        </w:tc>
        <w:tc>
          <w:tcPr>
            <w:tcW w:w="1806" w:type="dxa"/>
            <w:shd w:val="clear" w:color="auto" w:fill="1B3A6B"/>
          </w:tcPr>
          <w:p w14:paraId="7B6966B1" w14:textId="77777777" w:rsidR="006E4579" w:rsidRDefault="00000000">
            <w:r>
              <w:rPr>
                <w:rFonts w:ascii="Arial" w:hAnsi="Arial"/>
                <w:b/>
                <w:color w:val="FFFFFF"/>
                <w:sz w:val="18"/>
              </w:rPr>
              <w:t>CO₂ Factor</w:t>
            </w:r>
          </w:p>
        </w:tc>
        <w:tc>
          <w:tcPr>
            <w:tcW w:w="1806" w:type="dxa"/>
            <w:shd w:val="clear" w:color="auto" w:fill="1B3A6B"/>
          </w:tcPr>
          <w:p w14:paraId="15957BEE" w14:textId="77777777" w:rsidR="006E4579" w:rsidRDefault="00000000">
            <w:r>
              <w:rPr>
                <w:rFonts w:ascii="Arial" w:hAnsi="Arial"/>
                <w:b/>
                <w:color w:val="FFFFFF"/>
                <w:sz w:val="18"/>
              </w:rPr>
              <w:t>CH₄ Factor</w:t>
            </w:r>
          </w:p>
        </w:tc>
        <w:tc>
          <w:tcPr>
            <w:tcW w:w="1806" w:type="dxa"/>
            <w:shd w:val="clear" w:color="auto" w:fill="1B3A6B"/>
          </w:tcPr>
          <w:p w14:paraId="22C01508" w14:textId="77777777" w:rsidR="006E4579" w:rsidRDefault="00000000">
            <w:r>
              <w:rPr>
                <w:rFonts w:ascii="Arial" w:hAnsi="Arial"/>
                <w:b/>
                <w:color w:val="FFFFFF"/>
                <w:sz w:val="18"/>
              </w:rPr>
              <w:t>N₂O Factor</w:t>
            </w:r>
          </w:p>
        </w:tc>
        <w:tc>
          <w:tcPr>
            <w:tcW w:w="1806" w:type="dxa"/>
            <w:shd w:val="clear" w:color="auto" w:fill="1B3A6B"/>
          </w:tcPr>
          <w:p w14:paraId="3DF396E5" w14:textId="77777777" w:rsidR="006E4579" w:rsidRDefault="00000000">
            <w:r>
              <w:rPr>
                <w:rFonts w:ascii="Arial" w:hAnsi="Arial"/>
                <w:b/>
                <w:color w:val="FFFFFF"/>
                <w:sz w:val="18"/>
              </w:rPr>
              <w:t>Source</w:t>
            </w:r>
          </w:p>
        </w:tc>
      </w:tr>
      <w:tr w:rsidR="006E4579" w14:paraId="2A5E5988" w14:textId="77777777">
        <w:trPr>
          <w:jc w:val="center"/>
        </w:trPr>
        <w:tc>
          <w:tcPr>
            <w:tcW w:w="1806" w:type="dxa"/>
          </w:tcPr>
          <w:p w14:paraId="5C0AD22F" w14:textId="77777777" w:rsidR="006E4579" w:rsidRDefault="00000000">
            <w:r>
              <w:rPr>
                <w:rFonts w:ascii="Arial" w:hAnsi="Arial"/>
                <w:sz w:val="18"/>
              </w:rPr>
              <w:t>Diesel</w:t>
            </w:r>
          </w:p>
        </w:tc>
        <w:tc>
          <w:tcPr>
            <w:tcW w:w="1806" w:type="dxa"/>
          </w:tcPr>
          <w:p w14:paraId="262E4A7D" w14:textId="77777777" w:rsidR="006E4579" w:rsidRDefault="00000000">
            <w:r>
              <w:rPr>
                <w:rFonts w:ascii="Arial" w:hAnsi="Arial"/>
                <w:sz w:val="18"/>
              </w:rPr>
              <w:t>2.6710 kg/L</w:t>
            </w:r>
          </w:p>
        </w:tc>
        <w:tc>
          <w:tcPr>
            <w:tcW w:w="1806" w:type="dxa"/>
          </w:tcPr>
          <w:p w14:paraId="58EC6916" w14:textId="77777777" w:rsidR="006E4579" w:rsidRDefault="00000000">
            <w:r>
              <w:rPr>
                <w:rFonts w:ascii="Arial" w:hAnsi="Arial"/>
                <w:sz w:val="18"/>
              </w:rPr>
              <w:t>0.00029 kgCO₂e/L</w:t>
            </w:r>
          </w:p>
        </w:tc>
        <w:tc>
          <w:tcPr>
            <w:tcW w:w="1806" w:type="dxa"/>
          </w:tcPr>
          <w:p w14:paraId="00885C5E" w14:textId="77777777" w:rsidR="006E4579" w:rsidRDefault="00000000">
            <w:r>
              <w:rPr>
                <w:rFonts w:ascii="Arial" w:hAnsi="Arial"/>
                <w:sz w:val="18"/>
              </w:rPr>
              <w:t>0.03308 kgCO₂e/L</w:t>
            </w:r>
          </w:p>
        </w:tc>
        <w:tc>
          <w:tcPr>
            <w:tcW w:w="1806" w:type="dxa"/>
          </w:tcPr>
          <w:p w14:paraId="0A4C40CB" w14:textId="77777777" w:rsidR="006E4579" w:rsidRDefault="00000000">
            <w:r>
              <w:rPr>
                <w:rFonts w:ascii="Arial" w:hAnsi="Arial"/>
                <w:sz w:val="18"/>
              </w:rPr>
              <w:t>DEFRA 2025</w:t>
            </w:r>
          </w:p>
        </w:tc>
      </w:tr>
      <w:tr w:rsidR="006E4579" w14:paraId="5F66356D" w14:textId="77777777">
        <w:trPr>
          <w:jc w:val="center"/>
        </w:trPr>
        <w:tc>
          <w:tcPr>
            <w:tcW w:w="1806" w:type="dxa"/>
            <w:shd w:val="clear" w:color="auto" w:fill="F2F6FC"/>
          </w:tcPr>
          <w:p w14:paraId="009D74B7" w14:textId="77777777" w:rsidR="006E4579" w:rsidRDefault="00000000">
            <w:r>
              <w:rPr>
                <w:rFonts w:ascii="Arial" w:hAnsi="Arial"/>
                <w:sz w:val="18"/>
              </w:rPr>
              <w:t>Natural Gas</w:t>
            </w:r>
          </w:p>
        </w:tc>
        <w:tc>
          <w:tcPr>
            <w:tcW w:w="1806" w:type="dxa"/>
            <w:shd w:val="clear" w:color="auto" w:fill="F2F6FC"/>
          </w:tcPr>
          <w:p w14:paraId="33933216" w14:textId="77777777" w:rsidR="006E4579" w:rsidRDefault="00000000">
            <w:r>
              <w:rPr>
                <w:rFonts w:ascii="Arial" w:hAnsi="Arial"/>
                <w:sz w:val="18"/>
              </w:rPr>
              <w:t>56.10 kg/GJ</w:t>
            </w:r>
          </w:p>
        </w:tc>
        <w:tc>
          <w:tcPr>
            <w:tcW w:w="1806" w:type="dxa"/>
            <w:shd w:val="clear" w:color="auto" w:fill="F2F6FC"/>
          </w:tcPr>
          <w:p w14:paraId="30F54E86" w14:textId="77777777" w:rsidR="006E4579" w:rsidRDefault="00000000">
            <w:r>
              <w:rPr>
                <w:rFonts w:ascii="Arial" w:hAnsi="Arial"/>
                <w:sz w:val="18"/>
              </w:rPr>
              <w:t>0.0298 kgCO₂e/GJ</w:t>
            </w:r>
          </w:p>
        </w:tc>
        <w:tc>
          <w:tcPr>
            <w:tcW w:w="1806" w:type="dxa"/>
            <w:shd w:val="clear" w:color="auto" w:fill="F2F6FC"/>
          </w:tcPr>
          <w:p w14:paraId="4DD22DD1" w14:textId="77777777" w:rsidR="006E4579" w:rsidRDefault="00000000">
            <w:r>
              <w:rPr>
                <w:rFonts w:ascii="Arial" w:hAnsi="Arial"/>
                <w:sz w:val="18"/>
              </w:rPr>
              <w:t>0.0273 kgCO₂e/GJ</w:t>
            </w:r>
          </w:p>
        </w:tc>
        <w:tc>
          <w:tcPr>
            <w:tcW w:w="1806" w:type="dxa"/>
            <w:shd w:val="clear" w:color="auto" w:fill="F2F6FC"/>
          </w:tcPr>
          <w:p w14:paraId="13347B2D" w14:textId="77777777" w:rsidR="006E4579" w:rsidRDefault="00000000">
            <w:r>
              <w:rPr>
                <w:rFonts w:ascii="Arial" w:hAnsi="Arial"/>
                <w:sz w:val="18"/>
              </w:rPr>
              <w:t>IPCC AR6</w:t>
            </w:r>
          </w:p>
        </w:tc>
      </w:tr>
    </w:tbl>
    <w:p w14:paraId="6F1C8CC2" w14:textId="77777777" w:rsidR="006E4579" w:rsidRDefault="006E4579"/>
    <w:p w14:paraId="3550D97A" w14:textId="77777777" w:rsidR="006E4579" w:rsidRDefault="00000000">
      <w:pPr>
        <w:spacing w:after="160"/>
      </w:pPr>
      <w:r>
        <w:rPr>
          <w:rFonts w:ascii="Arial" w:hAnsi="Arial"/>
          <w:b/>
        </w:rPr>
        <w:t>A.3 Scope 2 — Indirect Emissions</w:t>
      </w:r>
    </w:p>
    <w:p w14:paraId="79B3DF7B" w14:textId="77777777" w:rsidR="006E4579" w:rsidRDefault="00000000">
      <w:pPr>
        <w:spacing w:after="160"/>
      </w:pPr>
      <w:r>
        <w:t>Scope 2 covers purchased electricity. Dual reporting: location-based (grid average emission factor) and market-based (contractual instruments). Grid emission factor: PLN National Grid Average per DJK-ESDM Ministerial Decree. RECs deducted from market-based calculation only.</w:t>
      </w:r>
    </w:p>
    <w:p w14:paraId="04915A70" w14:textId="77777777" w:rsidR="006E4579" w:rsidRDefault="00000000">
      <w:r>
        <w:rPr>
          <w:rFonts w:ascii="Arial" w:hAnsi="Arial"/>
          <w:b/>
          <w:sz w:val="20"/>
        </w:rPr>
        <w:t>Table 59: Scope 2 Grid Emission Factors</w:t>
      </w:r>
    </w:p>
    <w:tbl>
      <w:tblPr>
        <w:tblW w:w="0" w:type="auto"/>
        <w:jc w:val="center"/>
        <w:tblLook w:val="04A0" w:firstRow="1" w:lastRow="0" w:firstColumn="1" w:lastColumn="0" w:noHBand="0" w:noVBand="1"/>
      </w:tblPr>
      <w:tblGrid>
        <w:gridCol w:w="2257"/>
        <w:gridCol w:w="2257"/>
        <w:gridCol w:w="2257"/>
        <w:gridCol w:w="2257"/>
      </w:tblGrid>
      <w:tr w:rsidR="006E4579" w14:paraId="7B28F92D" w14:textId="77777777">
        <w:trPr>
          <w:jc w:val="center"/>
        </w:trPr>
        <w:tc>
          <w:tcPr>
            <w:tcW w:w="2257" w:type="dxa"/>
            <w:shd w:val="clear" w:color="auto" w:fill="1B3A6B"/>
          </w:tcPr>
          <w:p w14:paraId="57472BC4" w14:textId="77777777" w:rsidR="006E4579" w:rsidRDefault="00000000">
            <w:r>
              <w:rPr>
                <w:rFonts w:ascii="Arial" w:hAnsi="Arial"/>
                <w:b/>
                <w:color w:val="FFFFFF"/>
                <w:sz w:val="18"/>
              </w:rPr>
              <w:t>Grid Region</w:t>
            </w:r>
          </w:p>
        </w:tc>
        <w:tc>
          <w:tcPr>
            <w:tcW w:w="2257" w:type="dxa"/>
            <w:shd w:val="clear" w:color="auto" w:fill="1B3A6B"/>
          </w:tcPr>
          <w:p w14:paraId="6066D711" w14:textId="77777777" w:rsidR="006E4579" w:rsidRDefault="00000000">
            <w:r>
              <w:rPr>
                <w:rFonts w:ascii="Arial" w:hAnsi="Arial"/>
                <w:b/>
                <w:color w:val="FFFFFF"/>
                <w:sz w:val="18"/>
              </w:rPr>
              <w:t>EF (kgCO₂/kWh)</w:t>
            </w:r>
          </w:p>
        </w:tc>
        <w:tc>
          <w:tcPr>
            <w:tcW w:w="2257" w:type="dxa"/>
            <w:shd w:val="clear" w:color="auto" w:fill="1B3A6B"/>
          </w:tcPr>
          <w:p w14:paraId="64559159" w14:textId="77777777" w:rsidR="006E4579" w:rsidRDefault="00000000">
            <w:r>
              <w:rPr>
                <w:rFonts w:ascii="Arial" w:hAnsi="Arial"/>
                <w:b/>
                <w:color w:val="FFFFFF"/>
                <w:sz w:val="18"/>
              </w:rPr>
              <w:t>Source</w:t>
            </w:r>
          </w:p>
        </w:tc>
        <w:tc>
          <w:tcPr>
            <w:tcW w:w="2257" w:type="dxa"/>
            <w:shd w:val="clear" w:color="auto" w:fill="1B3A6B"/>
          </w:tcPr>
          <w:p w14:paraId="41B5EBEF" w14:textId="77777777" w:rsidR="006E4579" w:rsidRDefault="00000000">
            <w:r>
              <w:rPr>
                <w:rFonts w:ascii="Arial" w:hAnsi="Arial"/>
                <w:b/>
                <w:color w:val="FFFFFF"/>
                <w:sz w:val="18"/>
              </w:rPr>
              <w:t>Year</w:t>
            </w:r>
          </w:p>
        </w:tc>
      </w:tr>
      <w:tr w:rsidR="006E4579" w14:paraId="7DFC4A43" w14:textId="77777777">
        <w:trPr>
          <w:jc w:val="center"/>
        </w:trPr>
        <w:tc>
          <w:tcPr>
            <w:tcW w:w="2257" w:type="dxa"/>
          </w:tcPr>
          <w:p w14:paraId="6DEC2CE1" w14:textId="77777777" w:rsidR="006E4579" w:rsidRDefault="00000000">
            <w:r>
              <w:rPr>
                <w:rFonts w:ascii="Arial" w:hAnsi="Arial"/>
                <w:sz w:val="18"/>
              </w:rPr>
              <w:t>PLN National Grid (Indonesia)</w:t>
            </w:r>
          </w:p>
        </w:tc>
        <w:tc>
          <w:tcPr>
            <w:tcW w:w="2257" w:type="dxa"/>
          </w:tcPr>
          <w:p w14:paraId="1882A58F" w14:textId="77777777" w:rsidR="006E4579" w:rsidRDefault="00000000">
            <w:pPr>
              <w:jc w:val="right"/>
            </w:pPr>
            <w:r>
              <w:rPr>
                <w:rFonts w:ascii="Arial" w:hAnsi="Arial"/>
                <w:sz w:val="18"/>
              </w:rPr>
              <w:t>0.7886</w:t>
            </w:r>
          </w:p>
        </w:tc>
        <w:tc>
          <w:tcPr>
            <w:tcW w:w="2257" w:type="dxa"/>
          </w:tcPr>
          <w:p w14:paraId="67160F20" w14:textId="77777777" w:rsidR="006E4579" w:rsidRDefault="00000000">
            <w:r>
              <w:rPr>
                <w:rFonts w:ascii="Arial" w:hAnsi="Arial"/>
                <w:sz w:val="18"/>
              </w:rPr>
              <w:t>DJK-ESDM</w:t>
            </w:r>
          </w:p>
        </w:tc>
        <w:tc>
          <w:tcPr>
            <w:tcW w:w="2257" w:type="dxa"/>
          </w:tcPr>
          <w:p w14:paraId="544F36F5" w14:textId="77777777" w:rsidR="006E4579" w:rsidRDefault="00000000">
            <w:pPr>
              <w:jc w:val="right"/>
            </w:pPr>
            <w:r>
              <w:rPr>
                <w:rFonts w:ascii="Arial" w:hAnsi="Arial"/>
                <w:sz w:val="18"/>
              </w:rPr>
              <w:t>2023</w:t>
            </w:r>
          </w:p>
        </w:tc>
      </w:tr>
    </w:tbl>
    <w:p w14:paraId="52B9F6CE" w14:textId="77777777" w:rsidR="006E4579" w:rsidRDefault="006E4579"/>
    <w:p w14:paraId="433E3073" w14:textId="77777777" w:rsidR="006E4579" w:rsidRDefault="00000000">
      <w:pPr>
        <w:spacing w:after="160"/>
      </w:pPr>
      <w:r>
        <w:rPr>
          <w:rFonts w:ascii="Arial" w:hAnsi="Arial"/>
          <w:b/>
        </w:rPr>
        <w:t>A.4 Scope 3 Category 15 — Financed Emissions (PCAF)</w:t>
      </w:r>
    </w:p>
    <w:p w14:paraId="43D59008" w14:textId="77777777" w:rsidR="006E4579" w:rsidRDefault="00000000">
      <w:pPr>
        <w:spacing w:after="160"/>
      </w:pPr>
      <w:r>
        <w:lastRenderedPageBreak/>
        <w:t>Financed emissions calculated per PCAF Global GHG Accounting Standard Part A (2022). Asset class: business loans and project finance. Attribution formula: Financed Emissions = Σ (Attribution Factor × Borrower Scope 1+2 Emissions). Attribution Factor = Outstanding Amount / (Total Equity + Total Debt). Capped at 1.0 per REQ-ETL-19.</w:t>
      </w:r>
    </w:p>
    <w:p w14:paraId="73035E17" w14:textId="77777777" w:rsidR="006E4579" w:rsidRDefault="00000000">
      <w:r>
        <w:rPr>
          <w:rFonts w:ascii="Arial" w:hAnsi="Arial"/>
          <w:b/>
          <w:sz w:val="20"/>
        </w:rPr>
        <w:t>Table 60: PCAF Confidence Weighting Factors</w:t>
      </w:r>
    </w:p>
    <w:tbl>
      <w:tblPr>
        <w:tblW w:w="0" w:type="auto"/>
        <w:jc w:val="center"/>
        <w:tblLook w:val="04A0" w:firstRow="1" w:lastRow="0" w:firstColumn="1" w:lastColumn="0" w:noHBand="0" w:noVBand="1"/>
      </w:tblPr>
      <w:tblGrid>
        <w:gridCol w:w="2257"/>
        <w:gridCol w:w="2257"/>
        <w:gridCol w:w="2257"/>
        <w:gridCol w:w="2257"/>
      </w:tblGrid>
      <w:tr w:rsidR="006E4579" w14:paraId="6F97CA24" w14:textId="77777777">
        <w:trPr>
          <w:jc w:val="center"/>
        </w:trPr>
        <w:tc>
          <w:tcPr>
            <w:tcW w:w="2257" w:type="dxa"/>
            <w:shd w:val="clear" w:color="auto" w:fill="1B3A6B"/>
          </w:tcPr>
          <w:p w14:paraId="633D9ABB" w14:textId="77777777" w:rsidR="006E4579" w:rsidRDefault="00000000">
            <w:r>
              <w:rPr>
                <w:rFonts w:ascii="Arial" w:hAnsi="Arial"/>
                <w:b/>
                <w:color w:val="FFFFFF"/>
                <w:sz w:val="18"/>
              </w:rPr>
              <w:t>PCAF Score</w:t>
            </w:r>
          </w:p>
        </w:tc>
        <w:tc>
          <w:tcPr>
            <w:tcW w:w="2257" w:type="dxa"/>
            <w:shd w:val="clear" w:color="auto" w:fill="1B3A6B"/>
          </w:tcPr>
          <w:p w14:paraId="4D65D3DF" w14:textId="77777777" w:rsidR="006E4579" w:rsidRDefault="00000000">
            <w:r>
              <w:rPr>
                <w:rFonts w:ascii="Arial" w:hAnsi="Arial"/>
                <w:b/>
                <w:color w:val="FFFFFF"/>
                <w:sz w:val="18"/>
              </w:rPr>
              <w:t>Description</w:t>
            </w:r>
          </w:p>
        </w:tc>
        <w:tc>
          <w:tcPr>
            <w:tcW w:w="2257" w:type="dxa"/>
            <w:shd w:val="clear" w:color="auto" w:fill="1B3A6B"/>
          </w:tcPr>
          <w:p w14:paraId="567DE6FB" w14:textId="77777777" w:rsidR="006E4579" w:rsidRDefault="00000000">
            <w:r>
              <w:rPr>
                <w:rFonts w:ascii="Arial" w:hAnsi="Arial"/>
                <w:b/>
                <w:color w:val="FFFFFF"/>
                <w:sz w:val="18"/>
              </w:rPr>
              <w:t>Confidence Factor</w:t>
            </w:r>
          </w:p>
        </w:tc>
        <w:tc>
          <w:tcPr>
            <w:tcW w:w="2257" w:type="dxa"/>
            <w:shd w:val="clear" w:color="auto" w:fill="1B3A6B"/>
          </w:tcPr>
          <w:p w14:paraId="37130446" w14:textId="77777777" w:rsidR="006E4579" w:rsidRDefault="00000000">
            <w:r>
              <w:rPr>
                <w:rFonts w:ascii="Arial" w:hAnsi="Arial"/>
                <w:b/>
                <w:color w:val="FFFFFF"/>
                <w:sz w:val="18"/>
              </w:rPr>
              <w:t>Uncertainty</w:t>
            </w:r>
          </w:p>
        </w:tc>
      </w:tr>
      <w:tr w:rsidR="006E4579" w14:paraId="195E347E" w14:textId="77777777">
        <w:trPr>
          <w:jc w:val="center"/>
        </w:trPr>
        <w:tc>
          <w:tcPr>
            <w:tcW w:w="2257" w:type="dxa"/>
          </w:tcPr>
          <w:p w14:paraId="2D32C9AE" w14:textId="77777777" w:rsidR="006E4579" w:rsidRDefault="00000000">
            <w:pPr>
              <w:jc w:val="right"/>
            </w:pPr>
            <w:r>
              <w:rPr>
                <w:rFonts w:ascii="Arial" w:hAnsi="Arial"/>
                <w:sz w:val="18"/>
              </w:rPr>
              <w:t>1.0</w:t>
            </w:r>
          </w:p>
        </w:tc>
        <w:tc>
          <w:tcPr>
            <w:tcW w:w="2257" w:type="dxa"/>
          </w:tcPr>
          <w:p w14:paraId="106FE2C5" w14:textId="77777777" w:rsidR="006E4579" w:rsidRDefault="00000000">
            <w:r>
              <w:rPr>
                <w:rFonts w:ascii="Arial" w:hAnsi="Arial"/>
                <w:sz w:val="18"/>
              </w:rPr>
              <w:t>Verified (CDP/equivalent)</w:t>
            </w:r>
          </w:p>
        </w:tc>
        <w:tc>
          <w:tcPr>
            <w:tcW w:w="2257" w:type="dxa"/>
          </w:tcPr>
          <w:p w14:paraId="2F5B48C7" w14:textId="77777777" w:rsidR="006E4579" w:rsidRDefault="00000000">
            <w:pPr>
              <w:jc w:val="right"/>
            </w:pPr>
            <w:r>
              <w:rPr>
                <w:rFonts w:ascii="Arial" w:hAnsi="Arial"/>
                <w:sz w:val="18"/>
              </w:rPr>
              <w:t>1.00</w:t>
            </w:r>
          </w:p>
        </w:tc>
        <w:tc>
          <w:tcPr>
            <w:tcW w:w="2257" w:type="dxa"/>
          </w:tcPr>
          <w:p w14:paraId="5C03D062" w14:textId="77777777" w:rsidR="006E4579" w:rsidRDefault="00000000">
            <w:r>
              <w:rPr>
                <w:rFonts w:ascii="Arial" w:hAnsi="Arial"/>
                <w:sz w:val="18"/>
              </w:rPr>
              <w:t>±5%</w:t>
            </w:r>
          </w:p>
        </w:tc>
      </w:tr>
      <w:tr w:rsidR="006E4579" w14:paraId="082DB7B8" w14:textId="77777777">
        <w:trPr>
          <w:jc w:val="center"/>
        </w:trPr>
        <w:tc>
          <w:tcPr>
            <w:tcW w:w="2257" w:type="dxa"/>
            <w:shd w:val="clear" w:color="auto" w:fill="F2F6FC"/>
          </w:tcPr>
          <w:p w14:paraId="4E108709" w14:textId="77777777" w:rsidR="006E4579" w:rsidRDefault="00000000">
            <w:pPr>
              <w:jc w:val="right"/>
            </w:pPr>
            <w:r>
              <w:rPr>
                <w:rFonts w:ascii="Arial" w:hAnsi="Arial"/>
                <w:sz w:val="18"/>
              </w:rPr>
              <w:t>1.5</w:t>
            </w:r>
          </w:p>
        </w:tc>
        <w:tc>
          <w:tcPr>
            <w:tcW w:w="2257" w:type="dxa"/>
            <w:shd w:val="clear" w:color="auto" w:fill="F2F6FC"/>
          </w:tcPr>
          <w:p w14:paraId="6B194620" w14:textId="77777777" w:rsidR="006E4579" w:rsidRDefault="00000000">
            <w:r>
              <w:rPr>
                <w:rFonts w:ascii="Arial" w:hAnsi="Arial"/>
                <w:sz w:val="18"/>
              </w:rPr>
              <w:t>Audited, unverified</w:t>
            </w:r>
          </w:p>
        </w:tc>
        <w:tc>
          <w:tcPr>
            <w:tcW w:w="2257" w:type="dxa"/>
            <w:shd w:val="clear" w:color="auto" w:fill="F2F6FC"/>
          </w:tcPr>
          <w:p w14:paraId="43A41C02" w14:textId="77777777" w:rsidR="006E4579" w:rsidRDefault="00000000">
            <w:pPr>
              <w:jc w:val="right"/>
            </w:pPr>
            <w:r>
              <w:rPr>
                <w:rFonts w:ascii="Arial" w:hAnsi="Arial"/>
                <w:sz w:val="18"/>
              </w:rPr>
              <w:t>0.95</w:t>
            </w:r>
          </w:p>
        </w:tc>
        <w:tc>
          <w:tcPr>
            <w:tcW w:w="2257" w:type="dxa"/>
            <w:shd w:val="clear" w:color="auto" w:fill="F2F6FC"/>
          </w:tcPr>
          <w:p w14:paraId="09D33F3D" w14:textId="77777777" w:rsidR="006E4579" w:rsidRDefault="00000000">
            <w:r>
              <w:rPr>
                <w:rFonts w:ascii="Arial" w:hAnsi="Arial"/>
                <w:sz w:val="18"/>
              </w:rPr>
              <w:t>±10%</w:t>
            </w:r>
          </w:p>
        </w:tc>
      </w:tr>
      <w:tr w:rsidR="006E4579" w14:paraId="3AF7408E" w14:textId="77777777">
        <w:trPr>
          <w:jc w:val="center"/>
        </w:trPr>
        <w:tc>
          <w:tcPr>
            <w:tcW w:w="2257" w:type="dxa"/>
          </w:tcPr>
          <w:p w14:paraId="5CEDB5EE" w14:textId="77777777" w:rsidR="006E4579" w:rsidRDefault="00000000">
            <w:pPr>
              <w:jc w:val="right"/>
            </w:pPr>
            <w:r>
              <w:rPr>
                <w:rFonts w:ascii="Arial" w:hAnsi="Arial"/>
                <w:sz w:val="18"/>
              </w:rPr>
              <w:t>2.0</w:t>
            </w:r>
          </w:p>
        </w:tc>
        <w:tc>
          <w:tcPr>
            <w:tcW w:w="2257" w:type="dxa"/>
          </w:tcPr>
          <w:p w14:paraId="26694C1F" w14:textId="77777777" w:rsidR="006E4579" w:rsidRDefault="00000000">
            <w:r>
              <w:rPr>
                <w:rFonts w:ascii="Arial" w:hAnsi="Arial"/>
                <w:sz w:val="18"/>
              </w:rPr>
              <w:t>Physical activity-based</w:t>
            </w:r>
          </w:p>
        </w:tc>
        <w:tc>
          <w:tcPr>
            <w:tcW w:w="2257" w:type="dxa"/>
          </w:tcPr>
          <w:p w14:paraId="309A00E1" w14:textId="77777777" w:rsidR="006E4579" w:rsidRDefault="00000000">
            <w:pPr>
              <w:jc w:val="right"/>
            </w:pPr>
            <w:r>
              <w:rPr>
                <w:rFonts w:ascii="Arial" w:hAnsi="Arial"/>
                <w:sz w:val="18"/>
              </w:rPr>
              <w:t>0.90</w:t>
            </w:r>
          </w:p>
        </w:tc>
        <w:tc>
          <w:tcPr>
            <w:tcW w:w="2257" w:type="dxa"/>
          </w:tcPr>
          <w:p w14:paraId="1F207362" w14:textId="77777777" w:rsidR="006E4579" w:rsidRDefault="00000000">
            <w:r>
              <w:rPr>
                <w:rFonts w:ascii="Arial" w:hAnsi="Arial"/>
                <w:sz w:val="18"/>
              </w:rPr>
              <w:t>±15%</w:t>
            </w:r>
          </w:p>
        </w:tc>
      </w:tr>
      <w:tr w:rsidR="006E4579" w14:paraId="7C830173" w14:textId="77777777">
        <w:trPr>
          <w:jc w:val="center"/>
        </w:trPr>
        <w:tc>
          <w:tcPr>
            <w:tcW w:w="2257" w:type="dxa"/>
            <w:shd w:val="clear" w:color="auto" w:fill="F2F6FC"/>
          </w:tcPr>
          <w:p w14:paraId="3A746C24" w14:textId="77777777" w:rsidR="006E4579" w:rsidRDefault="00000000">
            <w:pPr>
              <w:jc w:val="right"/>
            </w:pPr>
            <w:r>
              <w:rPr>
                <w:rFonts w:ascii="Arial" w:hAnsi="Arial"/>
                <w:sz w:val="18"/>
              </w:rPr>
              <w:t>3.0</w:t>
            </w:r>
          </w:p>
        </w:tc>
        <w:tc>
          <w:tcPr>
            <w:tcW w:w="2257" w:type="dxa"/>
            <w:shd w:val="clear" w:color="auto" w:fill="F2F6FC"/>
          </w:tcPr>
          <w:p w14:paraId="1F6571C7" w14:textId="77777777" w:rsidR="006E4579" w:rsidRDefault="00000000">
            <w:r>
              <w:rPr>
                <w:rFonts w:ascii="Arial" w:hAnsi="Arial"/>
                <w:sz w:val="18"/>
              </w:rPr>
              <w:t>EEIO + revenue-based</w:t>
            </w:r>
          </w:p>
        </w:tc>
        <w:tc>
          <w:tcPr>
            <w:tcW w:w="2257" w:type="dxa"/>
            <w:shd w:val="clear" w:color="auto" w:fill="F2F6FC"/>
          </w:tcPr>
          <w:p w14:paraId="11CAAAD3" w14:textId="77777777" w:rsidR="006E4579" w:rsidRDefault="00000000">
            <w:pPr>
              <w:jc w:val="right"/>
            </w:pPr>
            <w:r>
              <w:rPr>
                <w:rFonts w:ascii="Arial" w:hAnsi="Arial"/>
                <w:sz w:val="18"/>
              </w:rPr>
              <w:t>0.75</w:t>
            </w:r>
          </w:p>
        </w:tc>
        <w:tc>
          <w:tcPr>
            <w:tcW w:w="2257" w:type="dxa"/>
            <w:shd w:val="clear" w:color="auto" w:fill="F2F6FC"/>
          </w:tcPr>
          <w:p w14:paraId="270817BA" w14:textId="77777777" w:rsidR="006E4579" w:rsidRDefault="00000000">
            <w:r>
              <w:rPr>
                <w:rFonts w:ascii="Arial" w:hAnsi="Arial"/>
                <w:sz w:val="18"/>
              </w:rPr>
              <w:t>±25%</w:t>
            </w:r>
          </w:p>
        </w:tc>
      </w:tr>
      <w:tr w:rsidR="006E4579" w14:paraId="644D2715" w14:textId="77777777">
        <w:trPr>
          <w:jc w:val="center"/>
        </w:trPr>
        <w:tc>
          <w:tcPr>
            <w:tcW w:w="2257" w:type="dxa"/>
          </w:tcPr>
          <w:p w14:paraId="48DB9289" w14:textId="77777777" w:rsidR="006E4579" w:rsidRDefault="00000000">
            <w:pPr>
              <w:jc w:val="right"/>
            </w:pPr>
            <w:r>
              <w:rPr>
                <w:rFonts w:ascii="Arial" w:hAnsi="Arial"/>
                <w:sz w:val="18"/>
              </w:rPr>
              <w:t>4.0</w:t>
            </w:r>
          </w:p>
        </w:tc>
        <w:tc>
          <w:tcPr>
            <w:tcW w:w="2257" w:type="dxa"/>
          </w:tcPr>
          <w:p w14:paraId="2A91720E" w14:textId="77777777" w:rsidR="006E4579" w:rsidRDefault="00000000">
            <w:r>
              <w:rPr>
                <w:rFonts w:ascii="Arial" w:hAnsi="Arial"/>
                <w:sz w:val="18"/>
              </w:rPr>
              <w:t>EEIO + asset-based</w:t>
            </w:r>
          </w:p>
        </w:tc>
        <w:tc>
          <w:tcPr>
            <w:tcW w:w="2257" w:type="dxa"/>
          </w:tcPr>
          <w:p w14:paraId="28D14639" w14:textId="77777777" w:rsidR="006E4579" w:rsidRDefault="00000000">
            <w:pPr>
              <w:jc w:val="right"/>
            </w:pPr>
            <w:r>
              <w:rPr>
                <w:rFonts w:ascii="Arial" w:hAnsi="Arial"/>
                <w:sz w:val="18"/>
              </w:rPr>
              <w:t>0.60</w:t>
            </w:r>
          </w:p>
        </w:tc>
        <w:tc>
          <w:tcPr>
            <w:tcW w:w="2257" w:type="dxa"/>
          </w:tcPr>
          <w:p w14:paraId="7F7FC8F4" w14:textId="77777777" w:rsidR="006E4579" w:rsidRDefault="00000000">
            <w:r>
              <w:rPr>
                <w:rFonts w:ascii="Arial" w:hAnsi="Arial"/>
                <w:sz w:val="18"/>
              </w:rPr>
              <w:t>±40%</w:t>
            </w:r>
          </w:p>
        </w:tc>
      </w:tr>
      <w:tr w:rsidR="006E4579" w14:paraId="4C8AC6AA" w14:textId="77777777">
        <w:trPr>
          <w:jc w:val="center"/>
        </w:trPr>
        <w:tc>
          <w:tcPr>
            <w:tcW w:w="2257" w:type="dxa"/>
            <w:shd w:val="clear" w:color="auto" w:fill="F2F6FC"/>
          </w:tcPr>
          <w:p w14:paraId="7EE146F0" w14:textId="77777777" w:rsidR="006E4579" w:rsidRDefault="00000000">
            <w:pPr>
              <w:jc w:val="right"/>
            </w:pPr>
            <w:r>
              <w:rPr>
                <w:rFonts w:ascii="Arial" w:hAnsi="Arial"/>
                <w:sz w:val="18"/>
              </w:rPr>
              <w:t>5.0</w:t>
            </w:r>
          </w:p>
        </w:tc>
        <w:tc>
          <w:tcPr>
            <w:tcW w:w="2257" w:type="dxa"/>
            <w:shd w:val="clear" w:color="auto" w:fill="F2F6FC"/>
          </w:tcPr>
          <w:p w14:paraId="236B5E20" w14:textId="77777777" w:rsidR="006E4579" w:rsidRDefault="00000000">
            <w:r>
              <w:rPr>
                <w:rFonts w:ascii="Arial" w:hAnsi="Arial"/>
                <w:sz w:val="18"/>
              </w:rPr>
              <w:t>Sector-average proxy</w:t>
            </w:r>
          </w:p>
        </w:tc>
        <w:tc>
          <w:tcPr>
            <w:tcW w:w="2257" w:type="dxa"/>
            <w:shd w:val="clear" w:color="auto" w:fill="F2F6FC"/>
          </w:tcPr>
          <w:p w14:paraId="6906ABB1" w14:textId="77777777" w:rsidR="006E4579" w:rsidRDefault="00000000">
            <w:pPr>
              <w:jc w:val="right"/>
            </w:pPr>
            <w:r>
              <w:rPr>
                <w:rFonts w:ascii="Arial" w:hAnsi="Arial"/>
                <w:sz w:val="18"/>
              </w:rPr>
              <w:t>0.45</w:t>
            </w:r>
          </w:p>
        </w:tc>
        <w:tc>
          <w:tcPr>
            <w:tcW w:w="2257" w:type="dxa"/>
            <w:shd w:val="clear" w:color="auto" w:fill="F2F6FC"/>
          </w:tcPr>
          <w:p w14:paraId="3FF59CBD" w14:textId="77777777" w:rsidR="006E4579" w:rsidRDefault="00000000">
            <w:r>
              <w:rPr>
                <w:rFonts w:ascii="Arial" w:hAnsi="Arial"/>
                <w:sz w:val="18"/>
              </w:rPr>
              <w:t>±55%</w:t>
            </w:r>
          </w:p>
        </w:tc>
      </w:tr>
    </w:tbl>
    <w:p w14:paraId="02F456F5" w14:textId="77777777" w:rsidR="006E4579" w:rsidRDefault="006E4579"/>
    <w:p w14:paraId="72B89765" w14:textId="77777777" w:rsidR="006E4579" w:rsidRDefault="00000000">
      <w:pPr>
        <w:spacing w:after="160"/>
      </w:pPr>
      <w:r>
        <w:rPr>
          <w:rFonts w:ascii="Arial" w:hAnsi="Arial"/>
          <w:b/>
        </w:rPr>
        <w:t>A.5 Intensity Metrics</w:t>
      </w:r>
    </w:p>
    <w:p w14:paraId="2E94E5D8" w14:textId="77777777" w:rsidR="006E4579" w:rsidRDefault="00000000">
      <w:r>
        <w:rPr>
          <w:rFonts w:ascii="Arial" w:hAnsi="Arial"/>
          <w:b/>
          <w:sz w:val="20"/>
        </w:rPr>
        <w:t>Table 61: Intensity Metric Definitions</w:t>
      </w:r>
    </w:p>
    <w:tbl>
      <w:tblPr>
        <w:tblW w:w="0" w:type="auto"/>
        <w:jc w:val="center"/>
        <w:tblLook w:val="04A0" w:firstRow="1" w:lastRow="0" w:firstColumn="1" w:lastColumn="0" w:noHBand="0" w:noVBand="1"/>
      </w:tblPr>
      <w:tblGrid>
        <w:gridCol w:w="2257"/>
        <w:gridCol w:w="2257"/>
        <w:gridCol w:w="2257"/>
        <w:gridCol w:w="2257"/>
      </w:tblGrid>
      <w:tr w:rsidR="006E4579" w14:paraId="4FAE66B1" w14:textId="77777777">
        <w:trPr>
          <w:jc w:val="center"/>
        </w:trPr>
        <w:tc>
          <w:tcPr>
            <w:tcW w:w="2257" w:type="dxa"/>
            <w:shd w:val="clear" w:color="auto" w:fill="1B3A6B"/>
          </w:tcPr>
          <w:p w14:paraId="21426C75" w14:textId="77777777" w:rsidR="006E4579" w:rsidRDefault="00000000">
            <w:r>
              <w:rPr>
                <w:rFonts w:ascii="Arial" w:hAnsi="Arial"/>
                <w:b/>
                <w:color w:val="FFFFFF"/>
                <w:sz w:val="18"/>
              </w:rPr>
              <w:t>Metric</w:t>
            </w:r>
          </w:p>
        </w:tc>
        <w:tc>
          <w:tcPr>
            <w:tcW w:w="2257" w:type="dxa"/>
            <w:shd w:val="clear" w:color="auto" w:fill="1B3A6B"/>
          </w:tcPr>
          <w:p w14:paraId="0C4787F1" w14:textId="77777777" w:rsidR="006E4579" w:rsidRDefault="00000000">
            <w:r>
              <w:rPr>
                <w:rFonts w:ascii="Arial" w:hAnsi="Arial"/>
                <w:b/>
                <w:color w:val="FFFFFF"/>
                <w:sz w:val="18"/>
              </w:rPr>
              <w:t>Formula</w:t>
            </w:r>
          </w:p>
        </w:tc>
        <w:tc>
          <w:tcPr>
            <w:tcW w:w="2257" w:type="dxa"/>
            <w:shd w:val="clear" w:color="auto" w:fill="1B3A6B"/>
          </w:tcPr>
          <w:p w14:paraId="2F36EE4F" w14:textId="77777777" w:rsidR="006E4579" w:rsidRDefault="00000000">
            <w:r>
              <w:rPr>
                <w:rFonts w:ascii="Arial" w:hAnsi="Arial"/>
                <w:b/>
                <w:color w:val="FFFFFF"/>
                <w:sz w:val="18"/>
              </w:rPr>
              <w:t>Scope</w:t>
            </w:r>
          </w:p>
        </w:tc>
        <w:tc>
          <w:tcPr>
            <w:tcW w:w="2257" w:type="dxa"/>
            <w:shd w:val="clear" w:color="auto" w:fill="1B3A6B"/>
          </w:tcPr>
          <w:p w14:paraId="69612AA8" w14:textId="77777777" w:rsidR="006E4579" w:rsidRDefault="00000000">
            <w:r>
              <w:rPr>
                <w:rFonts w:ascii="Arial" w:hAnsi="Arial"/>
                <w:b/>
                <w:color w:val="FFFFFF"/>
                <w:sz w:val="18"/>
              </w:rPr>
              <w:t>Denominator Source</w:t>
            </w:r>
          </w:p>
        </w:tc>
      </w:tr>
      <w:tr w:rsidR="006E4579" w14:paraId="430D9E1C" w14:textId="77777777">
        <w:trPr>
          <w:jc w:val="center"/>
        </w:trPr>
        <w:tc>
          <w:tcPr>
            <w:tcW w:w="2257" w:type="dxa"/>
          </w:tcPr>
          <w:p w14:paraId="70A67136" w14:textId="77777777" w:rsidR="006E4579" w:rsidRDefault="00000000">
            <w:r>
              <w:rPr>
                <w:rFonts w:ascii="Arial" w:hAnsi="Arial"/>
                <w:sz w:val="18"/>
              </w:rPr>
              <w:t>Revenue Intensity</w:t>
            </w:r>
          </w:p>
        </w:tc>
        <w:tc>
          <w:tcPr>
            <w:tcW w:w="2257" w:type="dxa"/>
          </w:tcPr>
          <w:p w14:paraId="3C520773" w14:textId="77777777" w:rsidR="006E4579" w:rsidRDefault="00000000">
            <w:r>
              <w:rPr>
                <w:rFonts w:ascii="Arial" w:hAnsi="Arial"/>
                <w:sz w:val="18"/>
              </w:rPr>
              <w:t>Total Emissions / Revenue</w:t>
            </w:r>
          </w:p>
        </w:tc>
        <w:tc>
          <w:tcPr>
            <w:tcW w:w="2257" w:type="dxa"/>
          </w:tcPr>
          <w:p w14:paraId="31F490BC" w14:textId="77777777" w:rsidR="006E4579" w:rsidRDefault="00000000">
            <w:r>
              <w:rPr>
                <w:rFonts w:ascii="Arial" w:hAnsi="Arial"/>
                <w:sz w:val="18"/>
              </w:rPr>
              <w:t>Scope 1+2+3</w:t>
            </w:r>
          </w:p>
        </w:tc>
        <w:tc>
          <w:tcPr>
            <w:tcW w:w="2257" w:type="dxa"/>
          </w:tcPr>
          <w:p w14:paraId="0E613A7E" w14:textId="77777777" w:rsidR="006E4579" w:rsidRDefault="00000000">
            <w:r>
              <w:rPr>
                <w:rFonts w:ascii="Arial" w:hAnsi="Arial"/>
                <w:sz w:val="18"/>
              </w:rPr>
              <w:t>Audited financial statements</w:t>
            </w:r>
          </w:p>
        </w:tc>
      </w:tr>
      <w:tr w:rsidR="006E4579" w14:paraId="52DD528F" w14:textId="77777777">
        <w:trPr>
          <w:jc w:val="center"/>
        </w:trPr>
        <w:tc>
          <w:tcPr>
            <w:tcW w:w="2257" w:type="dxa"/>
            <w:shd w:val="clear" w:color="auto" w:fill="F2F6FC"/>
          </w:tcPr>
          <w:p w14:paraId="7C7763B2" w14:textId="77777777" w:rsidR="006E4579" w:rsidRDefault="00000000">
            <w:r>
              <w:rPr>
                <w:rFonts w:ascii="Arial" w:hAnsi="Arial"/>
                <w:sz w:val="18"/>
              </w:rPr>
              <w:t>FTE Intensity</w:t>
            </w:r>
          </w:p>
        </w:tc>
        <w:tc>
          <w:tcPr>
            <w:tcW w:w="2257" w:type="dxa"/>
            <w:shd w:val="clear" w:color="auto" w:fill="F2F6FC"/>
          </w:tcPr>
          <w:p w14:paraId="0B38A777" w14:textId="77777777" w:rsidR="006E4579" w:rsidRDefault="00000000">
            <w:r>
              <w:rPr>
                <w:rFonts w:ascii="Arial" w:hAnsi="Arial"/>
                <w:sz w:val="18"/>
              </w:rPr>
              <w:t>Operational Emissions / FTE</w:t>
            </w:r>
          </w:p>
        </w:tc>
        <w:tc>
          <w:tcPr>
            <w:tcW w:w="2257" w:type="dxa"/>
            <w:shd w:val="clear" w:color="auto" w:fill="F2F6FC"/>
          </w:tcPr>
          <w:p w14:paraId="177D4731" w14:textId="77777777" w:rsidR="006E4579" w:rsidRDefault="00000000">
            <w:r>
              <w:rPr>
                <w:rFonts w:ascii="Arial" w:hAnsi="Arial"/>
                <w:sz w:val="18"/>
              </w:rPr>
              <w:t>Scope 1+2 only</w:t>
            </w:r>
          </w:p>
        </w:tc>
        <w:tc>
          <w:tcPr>
            <w:tcW w:w="2257" w:type="dxa"/>
            <w:shd w:val="clear" w:color="auto" w:fill="F2F6FC"/>
          </w:tcPr>
          <w:p w14:paraId="3C20D6CD" w14:textId="77777777" w:rsidR="006E4579" w:rsidRDefault="00000000">
            <w:r>
              <w:rPr>
                <w:rFonts w:ascii="Arial" w:hAnsi="Arial"/>
                <w:sz w:val="18"/>
              </w:rPr>
              <w:t>HR system headcount</w:t>
            </w:r>
          </w:p>
        </w:tc>
      </w:tr>
    </w:tbl>
    <w:p w14:paraId="0FB51ADC" w14:textId="77777777" w:rsidR="006E4579" w:rsidRDefault="006E4579"/>
    <w:p w14:paraId="31D41468" w14:textId="77777777" w:rsidR="006E4579" w:rsidRDefault="00000000">
      <w:r>
        <w:br w:type="page"/>
      </w:r>
    </w:p>
    <w:p w14:paraId="301FB33F" w14:textId="77777777" w:rsidR="006E4579" w:rsidRDefault="00000000">
      <w:pPr>
        <w:pStyle w:val="Heading1"/>
        <w:spacing w:after="240"/>
      </w:pPr>
      <w:r>
        <w:rPr>
          <w:rFonts w:ascii="Arial" w:hAnsi="Arial"/>
          <w:color w:val="1B3A6B"/>
          <w:sz w:val="36"/>
        </w:rPr>
        <w:lastRenderedPageBreak/>
        <w:t>Appendix B: Data Quality &amp; Assurance Statement</w:t>
      </w:r>
    </w:p>
    <w:p w14:paraId="4B2C4D14" w14:textId="77777777" w:rsidR="006E4579" w:rsidRDefault="00000000">
      <w:pPr>
        <w:spacing w:after="160"/>
      </w:pPr>
      <w:r>
        <w:t>Data quality is assessed using the PCAF data quality scoring framework (1-5) for financed emissions and GHG Protocol quality indicators for operational emissions. This report has NOT been subject to external assurance. Third-party limited assurance is recommended for future reporting cycles.</w:t>
      </w:r>
    </w:p>
    <w:p w14:paraId="7D95E642" w14:textId="77777777" w:rsidR="006E4579" w:rsidRDefault="00000000">
      <w:r>
        <w:rPr>
          <w:rFonts w:ascii="Arial" w:hAnsi="Arial"/>
          <w:b/>
          <w:sz w:val="20"/>
        </w:rPr>
        <w:t>Table 62: Operational Data Quality Assessment</w:t>
      </w:r>
    </w:p>
    <w:tbl>
      <w:tblPr>
        <w:tblW w:w="0" w:type="auto"/>
        <w:jc w:val="center"/>
        <w:tblLook w:val="04A0" w:firstRow="1" w:lastRow="0" w:firstColumn="1" w:lastColumn="0" w:noHBand="0" w:noVBand="1"/>
      </w:tblPr>
      <w:tblGrid>
        <w:gridCol w:w="3010"/>
        <w:gridCol w:w="3010"/>
        <w:gridCol w:w="3010"/>
      </w:tblGrid>
      <w:tr w:rsidR="006E4579" w14:paraId="2D594BC3" w14:textId="77777777">
        <w:trPr>
          <w:jc w:val="center"/>
        </w:trPr>
        <w:tc>
          <w:tcPr>
            <w:tcW w:w="3010" w:type="dxa"/>
            <w:shd w:val="clear" w:color="auto" w:fill="1B3A6B"/>
          </w:tcPr>
          <w:p w14:paraId="7AAF64B0" w14:textId="77777777" w:rsidR="006E4579" w:rsidRDefault="00000000">
            <w:r>
              <w:rPr>
                <w:rFonts w:ascii="Arial" w:hAnsi="Arial"/>
                <w:b/>
                <w:color w:val="FFFFFF"/>
                <w:sz w:val="18"/>
              </w:rPr>
              <w:t>Quality Tier</w:t>
            </w:r>
          </w:p>
        </w:tc>
        <w:tc>
          <w:tcPr>
            <w:tcW w:w="3010" w:type="dxa"/>
            <w:shd w:val="clear" w:color="auto" w:fill="1B3A6B"/>
          </w:tcPr>
          <w:p w14:paraId="35B6B7BD" w14:textId="77777777" w:rsidR="006E4579" w:rsidRDefault="00000000">
            <w:r>
              <w:rPr>
                <w:rFonts w:ascii="Arial" w:hAnsi="Arial"/>
                <w:b/>
                <w:color w:val="FFFFFF"/>
                <w:sz w:val="18"/>
              </w:rPr>
              <w:t>Criteria</w:t>
            </w:r>
          </w:p>
        </w:tc>
        <w:tc>
          <w:tcPr>
            <w:tcW w:w="3010" w:type="dxa"/>
            <w:shd w:val="clear" w:color="auto" w:fill="1B3A6B"/>
          </w:tcPr>
          <w:p w14:paraId="3DB3949E" w14:textId="77777777" w:rsidR="006E4579" w:rsidRDefault="00000000">
            <w:r>
              <w:rPr>
                <w:rFonts w:ascii="Arial" w:hAnsi="Arial"/>
                <w:b/>
                <w:color w:val="FFFFFF"/>
                <w:sz w:val="18"/>
              </w:rPr>
              <w:t>Description</w:t>
            </w:r>
          </w:p>
        </w:tc>
      </w:tr>
      <w:tr w:rsidR="006E4579" w14:paraId="00062A16" w14:textId="77777777">
        <w:trPr>
          <w:jc w:val="center"/>
        </w:trPr>
        <w:tc>
          <w:tcPr>
            <w:tcW w:w="3010" w:type="dxa"/>
          </w:tcPr>
          <w:p w14:paraId="55BC53ED" w14:textId="77777777" w:rsidR="006E4579" w:rsidRDefault="00000000">
            <w:r>
              <w:rPr>
                <w:rFonts w:ascii="Arial" w:hAnsi="Arial"/>
                <w:sz w:val="18"/>
              </w:rPr>
              <w:t>1 (High)</w:t>
            </w:r>
          </w:p>
        </w:tc>
        <w:tc>
          <w:tcPr>
            <w:tcW w:w="3010" w:type="dxa"/>
          </w:tcPr>
          <w:p w14:paraId="34EC8E01" w14:textId="77777777" w:rsidR="006E4579" w:rsidRDefault="00000000">
            <w:r>
              <w:rPr>
                <w:rFonts w:ascii="Arial" w:hAnsi="Arial"/>
                <w:sz w:val="18"/>
              </w:rPr>
              <w:t>0 imputed months</w:t>
            </w:r>
          </w:p>
        </w:tc>
        <w:tc>
          <w:tcPr>
            <w:tcW w:w="3010" w:type="dxa"/>
          </w:tcPr>
          <w:p w14:paraId="72108D35" w14:textId="77777777" w:rsidR="006E4579" w:rsidRDefault="00000000">
            <w:r>
              <w:rPr>
                <w:rFonts w:ascii="Arial" w:hAnsi="Arial"/>
                <w:sz w:val="18"/>
              </w:rPr>
              <w:t>Complete primary data from smart meters</w:t>
            </w:r>
          </w:p>
        </w:tc>
      </w:tr>
      <w:tr w:rsidR="006E4579" w14:paraId="09125731" w14:textId="77777777">
        <w:trPr>
          <w:jc w:val="center"/>
        </w:trPr>
        <w:tc>
          <w:tcPr>
            <w:tcW w:w="3010" w:type="dxa"/>
            <w:shd w:val="clear" w:color="auto" w:fill="F2F6FC"/>
          </w:tcPr>
          <w:p w14:paraId="07893CFA" w14:textId="77777777" w:rsidR="006E4579" w:rsidRDefault="00000000">
            <w:r>
              <w:rPr>
                <w:rFonts w:ascii="Arial" w:hAnsi="Arial"/>
                <w:sz w:val="18"/>
              </w:rPr>
              <w:t>2 (Good)</w:t>
            </w:r>
          </w:p>
        </w:tc>
        <w:tc>
          <w:tcPr>
            <w:tcW w:w="3010" w:type="dxa"/>
            <w:shd w:val="clear" w:color="auto" w:fill="F2F6FC"/>
          </w:tcPr>
          <w:p w14:paraId="36F4F207" w14:textId="77777777" w:rsidR="006E4579" w:rsidRDefault="00000000">
            <w:r>
              <w:rPr>
                <w:rFonts w:ascii="Arial" w:hAnsi="Arial"/>
                <w:sz w:val="18"/>
              </w:rPr>
              <w:t>1-2 imputed months</w:t>
            </w:r>
          </w:p>
        </w:tc>
        <w:tc>
          <w:tcPr>
            <w:tcW w:w="3010" w:type="dxa"/>
            <w:shd w:val="clear" w:color="auto" w:fill="F2F6FC"/>
          </w:tcPr>
          <w:p w14:paraId="6DF5C84E" w14:textId="77777777" w:rsidR="006E4579" w:rsidRDefault="00000000">
            <w:r>
              <w:rPr>
                <w:rFonts w:ascii="Arial" w:hAnsi="Arial"/>
                <w:sz w:val="18"/>
              </w:rPr>
              <w:t>Minor gaps filled with facility-type avg</w:t>
            </w:r>
          </w:p>
        </w:tc>
      </w:tr>
      <w:tr w:rsidR="006E4579" w14:paraId="3C2B48ED" w14:textId="77777777">
        <w:trPr>
          <w:jc w:val="center"/>
        </w:trPr>
        <w:tc>
          <w:tcPr>
            <w:tcW w:w="3010" w:type="dxa"/>
          </w:tcPr>
          <w:p w14:paraId="1FA7BA36" w14:textId="77777777" w:rsidR="006E4579" w:rsidRDefault="00000000">
            <w:r>
              <w:rPr>
                <w:rFonts w:ascii="Arial" w:hAnsi="Arial"/>
                <w:sz w:val="18"/>
              </w:rPr>
              <w:t>3 (Moderate)</w:t>
            </w:r>
          </w:p>
        </w:tc>
        <w:tc>
          <w:tcPr>
            <w:tcW w:w="3010" w:type="dxa"/>
          </w:tcPr>
          <w:p w14:paraId="009F6111" w14:textId="77777777" w:rsidR="006E4579" w:rsidRDefault="00000000">
            <w:r>
              <w:rPr>
                <w:rFonts w:ascii="Arial" w:hAnsi="Arial"/>
                <w:sz w:val="18"/>
              </w:rPr>
              <w:t>3-5 imputed months</w:t>
            </w:r>
          </w:p>
        </w:tc>
        <w:tc>
          <w:tcPr>
            <w:tcW w:w="3010" w:type="dxa"/>
          </w:tcPr>
          <w:p w14:paraId="7D5B8C88" w14:textId="77777777" w:rsidR="006E4579" w:rsidRDefault="00000000">
            <w:r>
              <w:rPr>
                <w:rFonts w:ascii="Arial" w:hAnsi="Arial"/>
                <w:sz w:val="18"/>
              </w:rPr>
              <w:t>Significant estimation required</w:t>
            </w:r>
          </w:p>
        </w:tc>
      </w:tr>
      <w:tr w:rsidR="006E4579" w14:paraId="2BB2A701" w14:textId="77777777">
        <w:trPr>
          <w:jc w:val="center"/>
        </w:trPr>
        <w:tc>
          <w:tcPr>
            <w:tcW w:w="3010" w:type="dxa"/>
            <w:shd w:val="clear" w:color="auto" w:fill="F2F6FC"/>
          </w:tcPr>
          <w:p w14:paraId="6399735A" w14:textId="77777777" w:rsidR="006E4579" w:rsidRDefault="00000000">
            <w:r>
              <w:rPr>
                <w:rFonts w:ascii="Arial" w:hAnsi="Arial"/>
                <w:sz w:val="18"/>
              </w:rPr>
              <w:t>4 (Low)</w:t>
            </w:r>
          </w:p>
        </w:tc>
        <w:tc>
          <w:tcPr>
            <w:tcW w:w="3010" w:type="dxa"/>
            <w:shd w:val="clear" w:color="auto" w:fill="F2F6FC"/>
          </w:tcPr>
          <w:p w14:paraId="10EB39EF" w14:textId="77777777" w:rsidR="006E4579" w:rsidRDefault="00000000">
            <w:r>
              <w:rPr>
                <w:rFonts w:ascii="Arial" w:hAnsi="Arial"/>
                <w:sz w:val="18"/>
              </w:rPr>
              <w:t>6+ imputed months</w:t>
            </w:r>
          </w:p>
        </w:tc>
        <w:tc>
          <w:tcPr>
            <w:tcW w:w="3010" w:type="dxa"/>
            <w:shd w:val="clear" w:color="auto" w:fill="F2F6FC"/>
          </w:tcPr>
          <w:p w14:paraId="2B1A516E" w14:textId="77777777" w:rsidR="006E4579" w:rsidRDefault="00000000">
            <w:r>
              <w:rPr>
                <w:rFonts w:ascii="Arial" w:hAnsi="Arial"/>
                <w:sz w:val="18"/>
              </w:rPr>
              <w:t>Majority estimated — improvement needed</w:t>
            </w:r>
          </w:p>
        </w:tc>
      </w:tr>
    </w:tbl>
    <w:p w14:paraId="7FBD941F" w14:textId="77777777" w:rsidR="006E4579" w:rsidRDefault="006E4579"/>
    <w:p w14:paraId="26E86366" w14:textId="77777777" w:rsidR="006E4579" w:rsidRDefault="00000000">
      <w:pPr>
        <w:spacing w:after="160"/>
      </w:pPr>
      <w:r>
        <w:t>Improvement Plan: Target 100% smart meter coverage across all facilities by Q4 2025. Monthly automated data ingestion via utility API integration in development.</w:t>
      </w:r>
    </w:p>
    <w:p w14:paraId="3C39F687" w14:textId="77777777" w:rsidR="006E4579" w:rsidRDefault="00000000">
      <w:r>
        <w:br w:type="page"/>
      </w:r>
    </w:p>
    <w:p w14:paraId="16B374E8" w14:textId="77777777" w:rsidR="006E4579" w:rsidRDefault="00000000">
      <w:pPr>
        <w:pStyle w:val="Heading1"/>
        <w:spacing w:after="240"/>
      </w:pPr>
      <w:r>
        <w:rPr>
          <w:rFonts w:ascii="Arial" w:hAnsi="Arial"/>
          <w:color w:val="1B3A6B"/>
          <w:sz w:val="36"/>
        </w:rPr>
        <w:lastRenderedPageBreak/>
        <w:t>Appendix C: Sector Classification &amp; PCAF Mapping</w:t>
      </w:r>
    </w:p>
    <w:p w14:paraId="7D98B647" w14:textId="77777777" w:rsidR="006E4579" w:rsidRDefault="00000000">
      <w:pPr>
        <w:spacing w:after="160"/>
      </w:pPr>
      <w:r>
        <w:t>Sector classification follows NACE Rev. 2 codes mapped to PCAF asset classes. All productive loans in the portfolio are classified into one of the sectors below.</w:t>
      </w:r>
    </w:p>
    <w:p w14:paraId="6695C55D" w14:textId="77777777" w:rsidR="006E4579" w:rsidRDefault="00000000">
      <w:r>
        <w:rPr>
          <w:rFonts w:ascii="Arial" w:hAnsi="Arial"/>
          <w:b/>
          <w:sz w:val="20"/>
        </w:rPr>
        <w:t>Table 63: PCAF Sector Classification</w:t>
      </w:r>
    </w:p>
    <w:tbl>
      <w:tblPr>
        <w:tblW w:w="0" w:type="auto"/>
        <w:jc w:val="center"/>
        <w:tblLook w:val="04A0" w:firstRow="1" w:lastRow="0" w:firstColumn="1" w:lastColumn="0" w:noHBand="0" w:noVBand="1"/>
      </w:tblPr>
      <w:tblGrid>
        <w:gridCol w:w="2257"/>
        <w:gridCol w:w="2257"/>
        <w:gridCol w:w="2257"/>
        <w:gridCol w:w="2257"/>
      </w:tblGrid>
      <w:tr w:rsidR="006E4579" w14:paraId="24C394DF" w14:textId="77777777">
        <w:trPr>
          <w:jc w:val="center"/>
        </w:trPr>
        <w:tc>
          <w:tcPr>
            <w:tcW w:w="2257" w:type="dxa"/>
            <w:shd w:val="clear" w:color="auto" w:fill="1B3A6B"/>
          </w:tcPr>
          <w:p w14:paraId="1AC17F7E" w14:textId="77777777" w:rsidR="006E4579" w:rsidRDefault="00000000">
            <w:r>
              <w:rPr>
                <w:rFonts w:ascii="Arial" w:hAnsi="Arial"/>
                <w:b/>
                <w:color w:val="FFFFFF"/>
                <w:sz w:val="18"/>
              </w:rPr>
              <w:t>NACE Code</w:t>
            </w:r>
          </w:p>
        </w:tc>
        <w:tc>
          <w:tcPr>
            <w:tcW w:w="2257" w:type="dxa"/>
            <w:shd w:val="clear" w:color="auto" w:fill="1B3A6B"/>
          </w:tcPr>
          <w:p w14:paraId="0C44BE2C" w14:textId="77777777" w:rsidR="006E4579" w:rsidRDefault="00000000">
            <w:r>
              <w:rPr>
                <w:rFonts w:ascii="Arial" w:hAnsi="Arial"/>
                <w:b/>
                <w:color w:val="FFFFFF"/>
                <w:sz w:val="18"/>
              </w:rPr>
              <w:t>Sector</w:t>
            </w:r>
          </w:p>
        </w:tc>
        <w:tc>
          <w:tcPr>
            <w:tcW w:w="2257" w:type="dxa"/>
            <w:shd w:val="clear" w:color="auto" w:fill="1B3A6B"/>
          </w:tcPr>
          <w:p w14:paraId="444056B5" w14:textId="77777777" w:rsidR="006E4579" w:rsidRDefault="00000000">
            <w:r>
              <w:rPr>
                <w:rFonts w:ascii="Arial" w:hAnsi="Arial"/>
                <w:b/>
                <w:color w:val="FFFFFF"/>
                <w:sz w:val="18"/>
              </w:rPr>
              <w:t>PCAF Asset Class</w:t>
            </w:r>
          </w:p>
        </w:tc>
        <w:tc>
          <w:tcPr>
            <w:tcW w:w="2257" w:type="dxa"/>
            <w:shd w:val="clear" w:color="auto" w:fill="1B3A6B"/>
          </w:tcPr>
          <w:p w14:paraId="734B247C" w14:textId="77777777" w:rsidR="006E4579" w:rsidRDefault="00000000">
            <w:r>
              <w:rPr>
                <w:rFonts w:ascii="Arial" w:hAnsi="Arial"/>
                <w:b/>
                <w:color w:val="FFFFFF"/>
                <w:sz w:val="18"/>
              </w:rPr>
              <w:t>Emission Factor Source</w:t>
            </w:r>
          </w:p>
        </w:tc>
      </w:tr>
      <w:tr w:rsidR="006E4579" w14:paraId="56D139DA" w14:textId="77777777">
        <w:trPr>
          <w:jc w:val="center"/>
        </w:trPr>
        <w:tc>
          <w:tcPr>
            <w:tcW w:w="2257" w:type="dxa"/>
          </w:tcPr>
          <w:p w14:paraId="7E32F12C" w14:textId="77777777" w:rsidR="006E4579" w:rsidRDefault="00000000">
            <w:r>
              <w:rPr>
                <w:rFonts w:ascii="Arial" w:hAnsi="Arial"/>
                <w:sz w:val="18"/>
              </w:rPr>
              <w:t>B.06</w:t>
            </w:r>
          </w:p>
        </w:tc>
        <w:tc>
          <w:tcPr>
            <w:tcW w:w="2257" w:type="dxa"/>
          </w:tcPr>
          <w:p w14:paraId="035B0DBD" w14:textId="77777777" w:rsidR="006E4579" w:rsidRDefault="00000000">
            <w:r>
              <w:rPr>
                <w:rFonts w:ascii="Arial" w:hAnsi="Arial"/>
                <w:sz w:val="18"/>
              </w:rPr>
              <w:t>Energy — Oil &amp; Gas</w:t>
            </w:r>
          </w:p>
        </w:tc>
        <w:tc>
          <w:tcPr>
            <w:tcW w:w="2257" w:type="dxa"/>
          </w:tcPr>
          <w:p w14:paraId="572ABCBD" w14:textId="77777777" w:rsidR="006E4579" w:rsidRDefault="00000000">
            <w:r>
              <w:rPr>
                <w:rFonts w:ascii="Arial" w:hAnsi="Arial"/>
                <w:sz w:val="18"/>
              </w:rPr>
              <w:t>Business Loans</w:t>
            </w:r>
          </w:p>
        </w:tc>
        <w:tc>
          <w:tcPr>
            <w:tcW w:w="2257" w:type="dxa"/>
          </w:tcPr>
          <w:p w14:paraId="1D977787" w14:textId="77777777" w:rsidR="006E4579" w:rsidRDefault="00000000">
            <w:r>
              <w:rPr>
                <w:rFonts w:ascii="Arial" w:hAnsi="Arial"/>
                <w:sz w:val="18"/>
              </w:rPr>
              <w:t>CDP / Company Reports</w:t>
            </w:r>
          </w:p>
        </w:tc>
      </w:tr>
      <w:tr w:rsidR="006E4579" w14:paraId="7BF80ABC" w14:textId="77777777">
        <w:trPr>
          <w:jc w:val="center"/>
        </w:trPr>
        <w:tc>
          <w:tcPr>
            <w:tcW w:w="2257" w:type="dxa"/>
            <w:shd w:val="clear" w:color="auto" w:fill="F2F6FC"/>
          </w:tcPr>
          <w:p w14:paraId="33A548CC" w14:textId="77777777" w:rsidR="006E4579" w:rsidRDefault="00000000">
            <w:r>
              <w:rPr>
                <w:rFonts w:ascii="Arial" w:hAnsi="Arial"/>
                <w:sz w:val="18"/>
              </w:rPr>
              <w:t>C.23</w:t>
            </w:r>
          </w:p>
        </w:tc>
        <w:tc>
          <w:tcPr>
            <w:tcW w:w="2257" w:type="dxa"/>
            <w:shd w:val="clear" w:color="auto" w:fill="F2F6FC"/>
          </w:tcPr>
          <w:p w14:paraId="66E68376" w14:textId="77777777" w:rsidR="006E4579" w:rsidRDefault="00000000">
            <w:r>
              <w:rPr>
                <w:rFonts w:ascii="Arial" w:hAnsi="Arial"/>
                <w:sz w:val="18"/>
              </w:rPr>
              <w:t>Manufacturing — Cement</w:t>
            </w:r>
          </w:p>
        </w:tc>
        <w:tc>
          <w:tcPr>
            <w:tcW w:w="2257" w:type="dxa"/>
            <w:shd w:val="clear" w:color="auto" w:fill="F2F6FC"/>
          </w:tcPr>
          <w:p w14:paraId="344E3F67" w14:textId="77777777" w:rsidR="006E4579" w:rsidRDefault="00000000">
            <w:r>
              <w:rPr>
                <w:rFonts w:ascii="Arial" w:hAnsi="Arial"/>
                <w:sz w:val="18"/>
              </w:rPr>
              <w:t>Business Loans</w:t>
            </w:r>
          </w:p>
        </w:tc>
        <w:tc>
          <w:tcPr>
            <w:tcW w:w="2257" w:type="dxa"/>
            <w:shd w:val="clear" w:color="auto" w:fill="F2F6FC"/>
          </w:tcPr>
          <w:p w14:paraId="38E31DB9" w14:textId="77777777" w:rsidR="006E4579" w:rsidRDefault="00000000">
            <w:r>
              <w:rPr>
                <w:rFonts w:ascii="Arial" w:hAnsi="Arial"/>
                <w:sz w:val="18"/>
              </w:rPr>
              <w:t>EEIO (Exiobase)</w:t>
            </w:r>
          </w:p>
        </w:tc>
      </w:tr>
      <w:tr w:rsidR="006E4579" w14:paraId="101DF6B2" w14:textId="77777777">
        <w:trPr>
          <w:jc w:val="center"/>
        </w:trPr>
        <w:tc>
          <w:tcPr>
            <w:tcW w:w="2257" w:type="dxa"/>
          </w:tcPr>
          <w:p w14:paraId="75C0C7E7" w14:textId="77777777" w:rsidR="006E4579" w:rsidRDefault="00000000">
            <w:r>
              <w:rPr>
                <w:rFonts w:ascii="Arial" w:hAnsi="Arial"/>
                <w:sz w:val="18"/>
              </w:rPr>
              <w:t>C.24</w:t>
            </w:r>
          </w:p>
        </w:tc>
        <w:tc>
          <w:tcPr>
            <w:tcW w:w="2257" w:type="dxa"/>
          </w:tcPr>
          <w:p w14:paraId="7FC1E1A0" w14:textId="77777777" w:rsidR="006E4579" w:rsidRDefault="00000000">
            <w:r>
              <w:rPr>
                <w:rFonts w:ascii="Arial" w:hAnsi="Arial"/>
                <w:sz w:val="18"/>
              </w:rPr>
              <w:t>Manufacturing — Steel</w:t>
            </w:r>
          </w:p>
        </w:tc>
        <w:tc>
          <w:tcPr>
            <w:tcW w:w="2257" w:type="dxa"/>
          </w:tcPr>
          <w:p w14:paraId="4BF9A8F1" w14:textId="77777777" w:rsidR="006E4579" w:rsidRDefault="00000000">
            <w:r>
              <w:rPr>
                <w:rFonts w:ascii="Arial" w:hAnsi="Arial"/>
                <w:sz w:val="18"/>
              </w:rPr>
              <w:t>Business Loans</w:t>
            </w:r>
          </w:p>
        </w:tc>
        <w:tc>
          <w:tcPr>
            <w:tcW w:w="2257" w:type="dxa"/>
          </w:tcPr>
          <w:p w14:paraId="43D2FC18" w14:textId="77777777" w:rsidR="006E4579" w:rsidRDefault="00000000">
            <w:r>
              <w:rPr>
                <w:rFonts w:ascii="Arial" w:hAnsi="Arial"/>
                <w:sz w:val="18"/>
              </w:rPr>
              <w:t>EEIO (Exiobase)</w:t>
            </w:r>
          </w:p>
        </w:tc>
      </w:tr>
      <w:tr w:rsidR="006E4579" w14:paraId="72523236" w14:textId="77777777">
        <w:trPr>
          <w:jc w:val="center"/>
        </w:trPr>
        <w:tc>
          <w:tcPr>
            <w:tcW w:w="2257" w:type="dxa"/>
            <w:shd w:val="clear" w:color="auto" w:fill="F2F6FC"/>
          </w:tcPr>
          <w:p w14:paraId="688DB333" w14:textId="77777777" w:rsidR="006E4579" w:rsidRDefault="00000000">
            <w:r>
              <w:rPr>
                <w:rFonts w:ascii="Arial" w:hAnsi="Arial"/>
                <w:sz w:val="18"/>
              </w:rPr>
              <w:t>C.10</w:t>
            </w:r>
          </w:p>
        </w:tc>
        <w:tc>
          <w:tcPr>
            <w:tcW w:w="2257" w:type="dxa"/>
            <w:shd w:val="clear" w:color="auto" w:fill="F2F6FC"/>
          </w:tcPr>
          <w:p w14:paraId="1F208FA2" w14:textId="77777777" w:rsidR="006E4579" w:rsidRDefault="00000000">
            <w:r>
              <w:rPr>
                <w:rFonts w:ascii="Arial" w:hAnsi="Arial"/>
                <w:sz w:val="18"/>
              </w:rPr>
              <w:t>Manufacturing — Food</w:t>
            </w:r>
          </w:p>
        </w:tc>
        <w:tc>
          <w:tcPr>
            <w:tcW w:w="2257" w:type="dxa"/>
            <w:shd w:val="clear" w:color="auto" w:fill="F2F6FC"/>
          </w:tcPr>
          <w:p w14:paraId="3F33071A" w14:textId="77777777" w:rsidR="006E4579" w:rsidRDefault="00000000">
            <w:r>
              <w:rPr>
                <w:rFonts w:ascii="Arial" w:hAnsi="Arial"/>
                <w:sz w:val="18"/>
              </w:rPr>
              <w:t>Business Loans</w:t>
            </w:r>
          </w:p>
        </w:tc>
        <w:tc>
          <w:tcPr>
            <w:tcW w:w="2257" w:type="dxa"/>
            <w:shd w:val="clear" w:color="auto" w:fill="F2F6FC"/>
          </w:tcPr>
          <w:p w14:paraId="23A454B4" w14:textId="77777777" w:rsidR="006E4579" w:rsidRDefault="00000000">
            <w:r>
              <w:rPr>
                <w:rFonts w:ascii="Arial" w:hAnsi="Arial"/>
                <w:sz w:val="18"/>
              </w:rPr>
              <w:t>EEIO (Exiobase)</w:t>
            </w:r>
          </w:p>
        </w:tc>
      </w:tr>
      <w:tr w:rsidR="006E4579" w14:paraId="3B6AEED8" w14:textId="77777777">
        <w:trPr>
          <w:jc w:val="center"/>
        </w:trPr>
        <w:tc>
          <w:tcPr>
            <w:tcW w:w="2257" w:type="dxa"/>
          </w:tcPr>
          <w:p w14:paraId="565D43FE" w14:textId="77777777" w:rsidR="006E4579" w:rsidRDefault="00000000">
            <w:r>
              <w:rPr>
                <w:rFonts w:ascii="Arial" w:hAnsi="Arial"/>
                <w:sz w:val="18"/>
              </w:rPr>
              <w:t>L.68</w:t>
            </w:r>
          </w:p>
        </w:tc>
        <w:tc>
          <w:tcPr>
            <w:tcW w:w="2257" w:type="dxa"/>
          </w:tcPr>
          <w:p w14:paraId="53064336" w14:textId="77777777" w:rsidR="006E4579" w:rsidRDefault="00000000">
            <w:r>
              <w:rPr>
                <w:rFonts w:ascii="Arial" w:hAnsi="Arial"/>
                <w:sz w:val="18"/>
              </w:rPr>
              <w:t>Real Estate — Commercial</w:t>
            </w:r>
          </w:p>
        </w:tc>
        <w:tc>
          <w:tcPr>
            <w:tcW w:w="2257" w:type="dxa"/>
          </w:tcPr>
          <w:p w14:paraId="324D4396" w14:textId="77777777" w:rsidR="006E4579" w:rsidRDefault="00000000">
            <w:r>
              <w:rPr>
                <w:rFonts w:ascii="Arial" w:hAnsi="Arial"/>
                <w:sz w:val="18"/>
              </w:rPr>
              <w:t>Commercial Real Estate</w:t>
            </w:r>
          </w:p>
        </w:tc>
        <w:tc>
          <w:tcPr>
            <w:tcW w:w="2257" w:type="dxa"/>
          </w:tcPr>
          <w:p w14:paraId="5926AA95" w14:textId="77777777" w:rsidR="006E4579" w:rsidRDefault="00000000">
            <w:r>
              <w:rPr>
                <w:rFonts w:ascii="Arial" w:hAnsi="Arial"/>
                <w:sz w:val="18"/>
              </w:rPr>
              <w:t>Building EPC</w:t>
            </w:r>
          </w:p>
        </w:tc>
      </w:tr>
      <w:tr w:rsidR="006E4579" w14:paraId="3C285201" w14:textId="77777777">
        <w:trPr>
          <w:jc w:val="center"/>
        </w:trPr>
        <w:tc>
          <w:tcPr>
            <w:tcW w:w="2257" w:type="dxa"/>
            <w:shd w:val="clear" w:color="auto" w:fill="F2F6FC"/>
          </w:tcPr>
          <w:p w14:paraId="1059B0B5" w14:textId="77777777" w:rsidR="006E4579" w:rsidRDefault="00000000">
            <w:r>
              <w:rPr>
                <w:rFonts w:ascii="Arial" w:hAnsi="Arial"/>
                <w:sz w:val="18"/>
              </w:rPr>
              <w:t>L.68.2</w:t>
            </w:r>
          </w:p>
        </w:tc>
        <w:tc>
          <w:tcPr>
            <w:tcW w:w="2257" w:type="dxa"/>
            <w:shd w:val="clear" w:color="auto" w:fill="F2F6FC"/>
          </w:tcPr>
          <w:p w14:paraId="5BDCDA3B" w14:textId="77777777" w:rsidR="006E4579" w:rsidRDefault="00000000">
            <w:r>
              <w:rPr>
                <w:rFonts w:ascii="Arial" w:hAnsi="Arial"/>
                <w:sz w:val="18"/>
              </w:rPr>
              <w:t>Real Estate — Residential</w:t>
            </w:r>
          </w:p>
        </w:tc>
        <w:tc>
          <w:tcPr>
            <w:tcW w:w="2257" w:type="dxa"/>
            <w:shd w:val="clear" w:color="auto" w:fill="F2F6FC"/>
          </w:tcPr>
          <w:p w14:paraId="42ACF867" w14:textId="77777777" w:rsidR="006E4579" w:rsidRDefault="00000000">
            <w:r>
              <w:rPr>
                <w:rFonts w:ascii="Arial" w:hAnsi="Arial"/>
                <w:sz w:val="18"/>
              </w:rPr>
              <w:t>Mortgages</w:t>
            </w:r>
          </w:p>
        </w:tc>
        <w:tc>
          <w:tcPr>
            <w:tcW w:w="2257" w:type="dxa"/>
            <w:shd w:val="clear" w:color="auto" w:fill="F2F6FC"/>
          </w:tcPr>
          <w:p w14:paraId="00C261A3" w14:textId="77777777" w:rsidR="006E4579" w:rsidRDefault="00000000">
            <w:r>
              <w:rPr>
                <w:rFonts w:ascii="Arial" w:hAnsi="Arial"/>
                <w:sz w:val="18"/>
              </w:rPr>
              <w:t>Building EPC</w:t>
            </w:r>
          </w:p>
        </w:tc>
      </w:tr>
      <w:tr w:rsidR="006E4579" w14:paraId="09AEAB45" w14:textId="77777777">
        <w:trPr>
          <w:jc w:val="center"/>
        </w:trPr>
        <w:tc>
          <w:tcPr>
            <w:tcW w:w="2257" w:type="dxa"/>
          </w:tcPr>
          <w:p w14:paraId="71DEB525" w14:textId="77777777" w:rsidR="006E4579" w:rsidRDefault="00000000">
            <w:r>
              <w:rPr>
                <w:rFonts w:ascii="Arial" w:hAnsi="Arial"/>
                <w:sz w:val="18"/>
              </w:rPr>
              <w:t>H.49</w:t>
            </w:r>
          </w:p>
        </w:tc>
        <w:tc>
          <w:tcPr>
            <w:tcW w:w="2257" w:type="dxa"/>
          </w:tcPr>
          <w:p w14:paraId="07D84E5F" w14:textId="77777777" w:rsidR="006E4579" w:rsidRDefault="00000000">
            <w:r>
              <w:rPr>
                <w:rFonts w:ascii="Arial" w:hAnsi="Arial"/>
                <w:sz w:val="18"/>
              </w:rPr>
              <w:t>Transportation — Road</w:t>
            </w:r>
          </w:p>
        </w:tc>
        <w:tc>
          <w:tcPr>
            <w:tcW w:w="2257" w:type="dxa"/>
          </w:tcPr>
          <w:p w14:paraId="104344CB" w14:textId="77777777" w:rsidR="006E4579" w:rsidRDefault="00000000">
            <w:r>
              <w:rPr>
                <w:rFonts w:ascii="Arial" w:hAnsi="Arial"/>
                <w:sz w:val="18"/>
              </w:rPr>
              <w:t>Business Loans</w:t>
            </w:r>
          </w:p>
        </w:tc>
        <w:tc>
          <w:tcPr>
            <w:tcW w:w="2257" w:type="dxa"/>
          </w:tcPr>
          <w:p w14:paraId="7FB2CEA6" w14:textId="77777777" w:rsidR="006E4579" w:rsidRDefault="00000000">
            <w:r>
              <w:rPr>
                <w:rFonts w:ascii="Arial" w:hAnsi="Arial"/>
                <w:sz w:val="18"/>
              </w:rPr>
              <w:t>Company Reports</w:t>
            </w:r>
          </w:p>
        </w:tc>
      </w:tr>
      <w:tr w:rsidR="006E4579" w14:paraId="4B3406C2" w14:textId="77777777">
        <w:trPr>
          <w:jc w:val="center"/>
        </w:trPr>
        <w:tc>
          <w:tcPr>
            <w:tcW w:w="2257" w:type="dxa"/>
            <w:shd w:val="clear" w:color="auto" w:fill="F2F6FC"/>
          </w:tcPr>
          <w:p w14:paraId="0CED3E60" w14:textId="77777777" w:rsidR="006E4579" w:rsidRDefault="00000000">
            <w:r>
              <w:rPr>
                <w:rFonts w:ascii="Arial" w:hAnsi="Arial"/>
                <w:sz w:val="18"/>
              </w:rPr>
              <w:t>A.01</w:t>
            </w:r>
          </w:p>
        </w:tc>
        <w:tc>
          <w:tcPr>
            <w:tcW w:w="2257" w:type="dxa"/>
            <w:shd w:val="clear" w:color="auto" w:fill="F2F6FC"/>
          </w:tcPr>
          <w:p w14:paraId="047EA738" w14:textId="77777777" w:rsidR="006E4579" w:rsidRDefault="00000000">
            <w:r>
              <w:rPr>
                <w:rFonts w:ascii="Arial" w:hAnsi="Arial"/>
                <w:sz w:val="18"/>
              </w:rPr>
              <w:t>Agriculture</w:t>
            </w:r>
          </w:p>
        </w:tc>
        <w:tc>
          <w:tcPr>
            <w:tcW w:w="2257" w:type="dxa"/>
            <w:shd w:val="clear" w:color="auto" w:fill="F2F6FC"/>
          </w:tcPr>
          <w:p w14:paraId="09E1C79E" w14:textId="77777777" w:rsidR="006E4579" w:rsidRDefault="00000000">
            <w:r>
              <w:rPr>
                <w:rFonts w:ascii="Arial" w:hAnsi="Arial"/>
                <w:sz w:val="18"/>
              </w:rPr>
              <w:t>Business Loans</w:t>
            </w:r>
          </w:p>
        </w:tc>
        <w:tc>
          <w:tcPr>
            <w:tcW w:w="2257" w:type="dxa"/>
            <w:shd w:val="clear" w:color="auto" w:fill="F2F6FC"/>
          </w:tcPr>
          <w:p w14:paraId="35B3BBAF" w14:textId="77777777" w:rsidR="006E4579" w:rsidRDefault="00000000">
            <w:r>
              <w:rPr>
                <w:rFonts w:ascii="Arial" w:hAnsi="Arial"/>
                <w:sz w:val="18"/>
              </w:rPr>
              <w:t>EEIO (Exiobase)</w:t>
            </w:r>
          </w:p>
        </w:tc>
      </w:tr>
      <w:tr w:rsidR="006E4579" w14:paraId="237F31B7" w14:textId="77777777">
        <w:trPr>
          <w:jc w:val="center"/>
        </w:trPr>
        <w:tc>
          <w:tcPr>
            <w:tcW w:w="2257" w:type="dxa"/>
          </w:tcPr>
          <w:p w14:paraId="25F426AE" w14:textId="77777777" w:rsidR="006E4579" w:rsidRDefault="00000000">
            <w:r>
              <w:rPr>
                <w:rFonts w:ascii="Arial" w:hAnsi="Arial"/>
                <w:sz w:val="18"/>
              </w:rPr>
              <w:t>G.47</w:t>
            </w:r>
          </w:p>
        </w:tc>
        <w:tc>
          <w:tcPr>
            <w:tcW w:w="2257" w:type="dxa"/>
          </w:tcPr>
          <w:p w14:paraId="227CB1C3" w14:textId="77777777" w:rsidR="006E4579" w:rsidRDefault="00000000">
            <w:r>
              <w:rPr>
                <w:rFonts w:ascii="Arial" w:hAnsi="Arial"/>
                <w:sz w:val="18"/>
              </w:rPr>
              <w:t>Retail Trade</w:t>
            </w:r>
          </w:p>
        </w:tc>
        <w:tc>
          <w:tcPr>
            <w:tcW w:w="2257" w:type="dxa"/>
          </w:tcPr>
          <w:p w14:paraId="24BC436F" w14:textId="77777777" w:rsidR="006E4579" w:rsidRDefault="00000000">
            <w:r>
              <w:rPr>
                <w:rFonts w:ascii="Arial" w:hAnsi="Arial"/>
                <w:sz w:val="18"/>
              </w:rPr>
              <w:t>Business Loans</w:t>
            </w:r>
          </w:p>
        </w:tc>
        <w:tc>
          <w:tcPr>
            <w:tcW w:w="2257" w:type="dxa"/>
          </w:tcPr>
          <w:p w14:paraId="6573B8A3" w14:textId="77777777" w:rsidR="006E4579" w:rsidRDefault="00000000">
            <w:r>
              <w:rPr>
                <w:rFonts w:ascii="Arial" w:hAnsi="Arial"/>
                <w:sz w:val="18"/>
              </w:rPr>
              <w:t>EEIO (Exiobase)</w:t>
            </w:r>
          </w:p>
        </w:tc>
      </w:tr>
      <w:tr w:rsidR="006E4579" w14:paraId="29D510AC" w14:textId="77777777">
        <w:trPr>
          <w:jc w:val="center"/>
        </w:trPr>
        <w:tc>
          <w:tcPr>
            <w:tcW w:w="2257" w:type="dxa"/>
            <w:shd w:val="clear" w:color="auto" w:fill="F2F6FC"/>
          </w:tcPr>
          <w:p w14:paraId="61A2ED8E" w14:textId="77777777" w:rsidR="006E4579" w:rsidRDefault="00000000">
            <w:r>
              <w:rPr>
                <w:rFonts w:ascii="Arial" w:hAnsi="Arial"/>
                <w:sz w:val="18"/>
              </w:rPr>
              <w:t>K.64</w:t>
            </w:r>
          </w:p>
        </w:tc>
        <w:tc>
          <w:tcPr>
            <w:tcW w:w="2257" w:type="dxa"/>
            <w:shd w:val="clear" w:color="auto" w:fill="F2F6FC"/>
          </w:tcPr>
          <w:p w14:paraId="428043A4" w14:textId="77777777" w:rsidR="006E4579" w:rsidRDefault="00000000">
            <w:r>
              <w:rPr>
                <w:rFonts w:ascii="Arial" w:hAnsi="Arial"/>
                <w:sz w:val="18"/>
              </w:rPr>
              <w:t>Financial Services</w:t>
            </w:r>
          </w:p>
        </w:tc>
        <w:tc>
          <w:tcPr>
            <w:tcW w:w="2257" w:type="dxa"/>
            <w:shd w:val="clear" w:color="auto" w:fill="F2F6FC"/>
          </w:tcPr>
          <w:p w14:paraId="4DAFC95D" w14:textId="77777777" w:rsidR="006E4579" w:rsidRDefault="00000000">
            <w:r>
              <w:rPr>
                <w:rFonts w:ascii="Arial" w:hAnsi="Arial"/>
                <w:sz w:val="18"/>
              </w:rPr>
              <w:t>Business Loans</w:t>
            </w:r>
          </w:p>
        </w:tc>
        <w:tc>
          <w:tcPr>
            <w:tcW w:w="2257" w:type="dxa"/>
            <w:shd w:val="clear" w:color="auto" w:fill="F2F6FC"/>
          </w:tcPr>
          <w:p w14:paraId="6BCCC601" w14:textId="77777777" w:rsidR="006E4579" w:rsidRDefault="00000000">
            <w:r>
              <w:rPr>
                <w:rFonts w:ascii="Arial" w:hAnsi="Arial"/>
                <w:sz w:val="18"/>
              </w:rPr>
              <w:t>Company Reports</w:t>
            </w:r>
          </w:p>
        </w:tc>
      </w:tr>
    </w:tbl>
    <w:p w14:paraId="6DED5725" w14:textId="77777777" w:rsidR="006E4579" w:rsidRDefault="006E4579"/>
    <w:p w14:paraId="45351D47" w14:textId="77777777" w:rsidR="006E4579" w:rsidRDefault="00000000">
      <w:r>
        <w:br w:type="page"/>
      </w:r>
    </w:p>
    <w:p w14:paraId="21B109EE" w14:textId="77777777" w:rsidR="006E4579" w:rsidRDefault="00000000">
      <w:pPr>
        <w:pStyle w:val="Heading1"/>
        <w:spacing w:after="240"/>
      </w:pPr>
      <w:r>
        <w:rPr>
          <w:rFonts w:ascii="Arial" w:hAnsi="Arial"/>
          <w:color w:val="1B3A6B"/>
          <w:sz w:val="36"/>
        </w:rPr>
        <w:lastRenderedPageBreak/>
        <w:t>Appendix D: GRI Content Index</w:t>
      </w:r>
    </w:p>
    <w:p w14:paraId="1FD6C0D6" w14:textId="77777777" w:rsidR="006E4579" w:rsidRDefault="00000000">
      <w:pPr>
        <w:spacing w:after="160"/>
      </w:pPr>
      <w:r>
        <w:t>This report has been prepared with reference to the GRI Standards (2021). GRI 102: Climate Change 2025 supersedes GRI 305 effective 1 January 2027.</w:t>
      </w:r>
    </w:p>
    <w:p w14:paraId="0CB08F43" w14:textId="77777777" w:rsidR="006E4579" w:rsidRDefault="00000000">
      <w:r>
        <w:rPr>
          <w:rFonts w:ascii="Arial" w:hAnsi="Arial"/>
          <w:b/>
          <w:sz w:val="20"/>
        </w:rPr>
        <w:t>Table 64: GRI Standards Content Index</w:t>
      </w:r>
    </w:p>
    <w:tbl>
      <w:tblPr>
        <w:tblW w:w="0" w:type="auto"/>
        <w:jc w:val="center"/>
        <w:tblLook w:val="04A0" w:firstRow="1" w:lastRow="0" w:firstColumn="1" w:lastColumn="0" w:noHBand="0" w:noVBand="1"/>
      </w:tblPr>
      <w:tblGrid>
        <w:gridCol w:w="2257"/>
        <w:gridCol w:w="2257"/>
        <w:gridCol w:w="2257"/>
        <w:gridCol w:w="2257"/>
      </w:tblGrid>
      <w:tr w:rsidR="006E4579" w14:paraId="5679D933" w14:textId="77777777">
        <w:trPr>
          <w:jc w:val="center"/>
        </w:trPr>
        <w:tc>
          <w:tcPr>
            <w:tcW w:w="2257" w:type="dxa"/>
            <w:shd w:val="clear" w:color="auto" w:fill="1B3A6B"/>
          </w:tcPr>
          <w:p w14:paraId="6C74B5AF" w14:textId="77777777" w:rsidR="006E4579" w:rsidRDefault="00000000">
            <w:r>
              <w:rPr>
                <w:rFonts w:ascii="Arial" w:hAnsi="Arial"/>
                <w:b/>
                <w:color w:val="FFFFFF"/>
                <w:sz w:val="18"/>
              </w:rPr>
              <w:t>GRI Standard</w:t>
            </w:r>
          </w:p>
        </w:tc>
        <w:tc>
          <w:tcPr>
            <w:tcW w:w="2257" w:type="dxa"/>
            <w:shd w:val="clear" w:color="auto" w:fill="1B3A6B"/>
          </w:tcPr>
          <w:p w14:paraId="546AEB31" w14:textId="77777777" w:rsidR="006E4579" w:rsidRDefault="00000000">
            <w:r>
              <w:rPr>
                <w:rFonts w:ascii="Arial" w:hAnsi="Arial"/>
                <w:b/>
                <w:color w:val="FFFFFF"/>
                <w:sz w:val="18"/>
              </w:rPr>
              <w:t>Disclosure</w:t>
            </w:r>
          </w:p>
        </w:tc>
        <w:tc>
          <w:tcPr>
            <w:tcW w:w="2257" w:type="dxa"/>
            <w:shd w:val="clear" w:color="auto" w:fill="1B3A6B"/>
          </w:tcPr>
          <w:p w14:paraId="24CD90F1" w14:textId="77777777" w:rsidR="006E4579" w:rsidRDefault="00000000">
            <w:r>
              <w:rPr>
                <w:rFonts w:ascii="Arial" w:hAnsi="Arial"/>
                <w:b/>
                <w:color w:val="FFFFFF"/>
                <w:sz w:val="18"/>
              </w:rPr>
              <w:t>Section</w:t>
            </w:r>
          </w:p>
        </w:tc>
        <w:tc>
          <w:tcPr>
            <w:tcW w:w="2257" w:type="dxa"/>
            <w:shd w:val="clear" w:color="auto" w:fill="1B3A6B"/>
          </w:tcPr>
          <w:p w14:paraId="7D3E34BB" w14:textId="77777777" w:rsidR="006E4579" w:rsidRDefault="00000000">
            <w:r>
              <w:rPr>
                <w:rFonts w:ascii="Arial" w:hAnsi="Arial"/>
                <w:b/>
                <w:color w:val="FFFFFF"/>
                <w:sz w:val="18"/>
              </w:rPr>
              <w:t>Status</w:t>
            </w:r>
          </w:p>
        </w:tc>
      </w:tr>
      <w:tr w:rsidR="006E4579" w14:paraId="174F31EC" w14:textId="77777777">
        <w:trPr>
          <w:jc w:val="center"/>
        </w:trPr>
        <w:tc>
          <w:tcPr>
            <w:tcW w:w="2257" w:type="dxa"/>
          </w:tcPr>
          <w:p w14:paraId="1B8E6FB1" w14:textId="77777777" w:rsidR="006E4579" w:rsidRDefault="00000000">
            <w:r>
              <w:rPr>
                <w:rFonts w:ascii="Arial" w:hAnsi="Arial"/>
                <w:sz w:val="18"/>
              </w:rPr>
              <w:t>GRI 2-7</w:t>
            </w:r>
          </w:p>
        </w:tc>
        <w:tc>
          <w:tcPr>
            <w:tcW w:w="2257" w:type="dxa"/>
          </w:tcPr>
          <w:p w14:paraId="425F9DEF" w14:textId="77777777" w:rsidR="006E4579" w:rsidRDefault="00000000">
            <w:r>
              <w:rPr>
                <w:rFonts w:ascii="Arial" w:hAnsi="Arial"/>
                <w:sz w:val="18"/>
              </w:rPr>
              <w:t>Employees</w:t>
            </w:r>
          </w:p>
        </w:tc>
        <w:tc>
          <w:tcPr>
            <w:tcW w:w="2257" w:type="dxa"/>
          </w:tcPr>
          <w:p w14:paraId="693AC259" w14:textId="77777777" w:rsidR="006E4579" w:rsidRDefault="00000000">
            <w:r>
              <w:rPr>
                <w:rFonts w:ascii="Arial" w:hAnsi="Arial"/>
                <w:sz w:val="18"/>
              </w:rPr>
              <w:t>Social</w:t>
            </w:r>
          </w:p>
        </w:tc>
        <w:tc>
          <w:tcPr>
            <w:tcW w:w="2257" w:type="dxa"/>
          </w:tcPr>
          <w:p w14:paraId="0E3EB916" w14:textId="77777777" w:rsidR="006E4579" w:rsidRDefault="00000000">
            <w:r>
              <w:rPr>
                <w:rFonts w:ascii="Arial" w:hAnsi="Arial"/>
                <w:sz w:val="18"/>
              </w:rPr>
              <w:t>✅ Disclosed</w:t>
            </w:r>
          </w:p>
        </w:tc>
      </w:tr>
      <w:tr w:rsidR="006E4579" w14:paraId="20388506" w14:textId="77777777">
        <w:trPr>
          <w:jc w:val="center"/>
        </w:trPr>
        <w:tc>
          <w:tcPr>
            <w:tcW w:w="2257" w:type="dxa"/>
            <w:shd w:val="clear" w:color="auto" w:fill="F2F6FC"/>
          </w:tcPr>
          <w:p w14:paraId="543AF5A9" w14:textId="77777777" w:rsidR="006E4579" w:rsidRDefault="00000000">
            <w:r>
              <w:rPr>
                <w:rFonts w:ascii="Arial" w:hAnsi="Arial"/>
                <w:sz w:val="18"/>
              </w:rPr>
              <w:t>GRI 305-1</w:t>
            </w:r>
          </w:p>
        </w:tc>
        <w:tc>
          <w:tcPr>
            <w:tcW w:w="2257" w:type="dxa"/>
            <w:shd w:val="clear" w:color="auto" w:fill="F2F6FC"/>
          </w:tcPr>
          <w:p w14:paraId="74EF46CF" w14:textId="77777777" w:rsidR="006E4579" w:rsidRDefault="00000000">
            <w:r>
              <w:rPr>
                <w:rFonts w:ascii="Arial" w:hAnsi="Arial"/>
                <w:sz w:val="18"/>
              </w:rPr>
              <w:t>Direct (Scope 1) GHG emissions</w:t>
            </w:r>
          </w:p>
        </w:tc>
        <w:tc>
          <w:tcPr>
            <w:tcW w:w="2257" w:type="dxa"/>
            <w:shd w:val="clear" w:color="auto" w:fill="F2F6FC"/>
          </w:tcPr>
          <w:p w14:paraId="1A7C5B0D" w14:textId="77777777" w:rsidR="006E4579" w:rsidRDefault="00000000">
            <w:r>
              <w:rPr>
                <w:rFonts w:ascii="Arial" w:hAnsi="Arial"/>
                <w:sz w:val="18"/>
              </w:rPr>
              <w:t>Scope 1</w:t>
            </w:r>
          </w:p>
        </w:tc>
        <w:tc>
          <w:tcPr>
            <w:tcW w:w="2257" w:type="dxa"/>
            <w:shd w:val="clear" w:color="auto" w:fill="F2F6FC"/>
          </w:tcPr>
          <w:p w14:paraId="2FBDD246" w14:textId="77777777" w:rsidR="006E4579" w:rsidRDefault="00000000">
            <w:r>
              <w:rPr>
                <w:rFonts w:ascii="Arial" w:hAnsi="Arial"/>
                <w:sz w:val="18"/>
              </w:rPr>
              <w:t>✅ Disclosed</w:t>
            </w:r>
          </w:p>
        </w:tc>
      </w:tr>
      <w:tr w:rsidR="006E4579" w14:paraId="4B856628" w14:textId="77777777">
        <w:trPr>
          <w:jc w:val="center"/>
        </w:trPr>
        <w:tc>
          <w:tcPr>
            <w:tcW w:w="2257" w:type="dxa"/>
          </w:tcPr>
          <w:p w14:paraId="3353F67F" w14:textId="77777777" w:rsidR="006E4579" w:rsidRDefault="00000000">
            <w:r>
              <w:rPr>
                <w:rFonts w:ascii="Arial" w:hAnsi="Arial"/>
                <w:sz w:val="18"/>
              </w:rPr>
              <w:t>GRI 305-1a</w:t>
            </w:r>
          </w:p>
        </w:tc>
        <w:tc>
          <w:tcPr>
            <w:tcW w:w="2257" w:type="dxa"/>
          </w:tcPr>
          <w:p w14:paraId="37242C45" w14:textId="77777777" w:rsidR="006E4579" w:rsidRDefault="00000000">
            <w:r>
              <w:rPr>
                <w:rFonts w:ascii="Arial" w:hAnsi="Arial"/>
                <w:sz w:val="18"/>
              </w:rPr>
              <w:t>Gross Scope 1 in tCO₂e</w:t>
            </w:r>
          </w:p>
        </w:tc>
        <w:tc>
          <w:tcPr>
            <w:tcW w:w="2257" w:type="dxa"/>
          </w:tcPr>
          <w:p w14:paraId="01C32D82" w14:textId="77777777" w:rsidR="006E4579" w:rsidRDefault="00000000">
            <w:r>
              <w:rPr>
                <w:rFonts w:ascii="Arial" w:hAnsi="Arial"/>
                <w:sz w:val="18"/>
              </w:rPr>
              <w:t>Scope 1</w:t>
            </w:r>
          </w:p>
        </w:tc>
        <w:tc>
          <w:tcPr>
            <w:tcW w:w="2257" w:type="dxa"/>
          </w:tcPr>
          <w:p w14:paraId="37B590EB" w14:textId="77777777" w:rsidR="006E4579" w:rsidRDefault="00000000">
            <w:r>
              <w:rPr>
                <w:rFonts w:ascii="Arial" w:hAnsi="Arial"/>
                <w:sz w:val="18"/>
              </w:rPr>
              <w:t>✅ Disclosed</w:t>
            </w:r>
          </w:p>
        </w:tc>
      </w:tr>
      <w:tr w:rsidR="006E4579" w14:paraId="212E221B" w14:textId="77777777">
        <w:trPr>
          <w:jc w:val="center"/>
        </w:trPr>
        <w:tc>
          <w:tcPr>
            <w:tcW w:w="2257" w:type="dxa"/>
            <w:shd w:val="clear" w:color="auto" w:fill="F2F6FC"/>
          </w:tcPr>
          <w:p w14:paraId="57ACF4C1" w14:textId="77777777" w:rsidR="006E4579" w:rsidRDefault="00000000">
            <w:r>
              <w:rPr>
                <w:rFonts w:ascii="Arial" w:hAnsi="Arial"/>
                <w:sz w:val="18"/>
              </w:rPr>
              <w:t>GRI 305-1b</w:t>
            </w:r>
          </w:p>
        </w:tc>
        <w:tc>
          <w:tcPr>
            <w:tcW w:w="2257" w:type="dxa"/>
            <w:shd w:val="clear" w:color="auto" w:fill="F2F6FC"/>
          </w:tcPr>
          <w:p w14:paraId="2136835B" w14:textId="77777777" w:rsidR="006E4579" w:rsidRDefault="00000000">
            <w:r>
              <w:rPr>
                <w:rFonts w:ascii="Arial" w:hAnsi="Arial"/>
                <w:sz w:val="18"/>
              </w:rPr>
              <w:t>Gases included (CO₂, CH₄, N₂O)</w:t>
            </w:r>
          </w:p>
        </w:tc>
        <w:tc>
          <w:tcPr>
            <w:tcW w:w="2257" w:type="dxa"/>
            <w:shd w:val="clear" w:color="auto" w:fill="F2F6FC"/>
          </w:tcPr>
          <w:p w14:paraId="4359FB79" w14:textId="77777777" w:rsidR="006E4579" w:rsidRDefault="00000000">
            <w:r>
              <w:rPr>
                <w:rFonts w:ascii="Arial" w:hAnsi="Arial"/>
                <w:sz w:val="18"/>
              </w:rPr>
              <w:t>Scope 1</w:t>
            </w:r>
          </w:p>
        </w:tc>
        <w:tc>
          <w:tcPr>
            <w:tcW w:w="2257" w:type="dxa"/>
            <w:shd w:val="clear" w:color="auto" w:fill="F2F6FC"/>
          </w:tcPr>
          <w:p w14:paraId="6E111A62" w14:textId="77777777" w:rsidR="006E4579" w:rsidRDefault="00000000">
            <w:r>
              <w:rPr>
                <w:rFonts w:ascii="Arial" w:hAnsi="Arial"/>
                <w:sz w:val="18"/>
              </w:rPr>
              <w:t>✅ Disclosed</w:t>
            </w:r>
          </w:p>
        </w:tc>
      </w:tr>
      <w:tr w:rsidR="006E4579" w14:paraId="6994E401" w14:textId="77777777">
        <w:trPr>
          <w:jc w:val="center"/>
        </w:trPr>
        <w:tc>
          <w:tcPr>
            <w:tcW w:w="2257" w:type="dxa"/>
          </w:tcPr>
          <w:p w14:paraId="01DF2D12" w14:textId="77777777" w:rsidR="006E4579" w:rsidRDefault="00000000">
            <w:r>
              <w:rPr>
                <w:rFonts w:ascii="Arial" w:hAnsi="Arial"/>
                <w:sz w:val="18"/>
              </w:rPr>
              <w:t>GRI 305-1e</w:t>
            </w:r>
          </w:p>
        </w:tc>
        <w:tc>
          <w:tcPr>
            <w:tcW w:w="2257" w:type="dxa"/>
          </w:tcPr>
          <w:p w14:paraId="69D0B50C" w14:textId="77777777" w:rsidR="006E4579" w:rsidRDefault="00000000">
            <w:r>
              <w:rPr>
                <w:rFonts w:ascii="Arial" w:hAnsi="Arial"/>
                <w:sz w:val="18"/>
              </w:rPr>
              <w:t>Emission factors &amp; GWP source</w:t>
            </w:r>
          </w:p>
        </w:tc>
        <w:tc>
          <w:tcPr>
            <w:tcW w:w="2257" w:type="dxa"/>
          </w:tcPr>
          <w:p w14:paraId="06BE7F55" w14:textId="77777777" w:rsidR="006E4579" w:rsidRDefault="00000000">
            <w:r>
              <w:rPr>
                <w:rFonts w:ascii="Arial" w:hAnsi="Arial"/>
                <w:sz w:val="18"/>
              </w:rPr>
              <w:t>Appendix A</w:t>
            </w:r>
          </w:p>
        </w:tc>
        <w:tc>
          <w:tcPr>
            <w:tcW w:w="2257" w:type="dxa"/>
          </w:tcPr>
          <w:p w14:paraId="55278E8F" w14:textId="77777777" w:rsidR="006E4579" w:rsidRDefault="00000000">
            <w:r>
              <w:rPr>
                <w:rFonts w:ascii="Arial" w:hAnsi="Arial"/>
                <w:sz w:val="18"/>
              </w:rPr>
              <w:t>✅ Disclosed</w:t>
            </w:r>
          </w:p>
        </w:tc>
      </w:tr>
      <w:tr w:rsidR="006E4579" w14:paraId="7181523F" w14:textId="77777777">
        <w:trPr>
          <w:jc w:val="center"/>
        </w:trPr>
        <w:tc>
          <w:tcPr>
            <w:tcW w:w="2257" w:type="dxa"/>
            <w:shd w:val="clear" w:color="auto" w:fill="F2F6FC"/>
          </w:tcPr>
          <w:p w14:paraId="0FFBF553" w14:textId="77777777" w:rsidR="006E4579" w:rsidRDefault="00000000">
            <w:r>
              <w:rPr>
                <w:rFonts w:ascii="Arial" w:hAnsi="Arial"/>
                <w:sz w:val="18"/>
              </w:rPr>
              <w:t>GRI 305-1f</w:t>
            </w:r>
          </w:p>
        </w:tc>
        <w:tc>
          <w:tcPr>
            <w:tcW w:w="2257" w:type="dxa"/>
            <w:shd w:val="clear" w:color="auto" w:fill="F2F6FC"/>
          </w:tcPr>
          <w:p w14:paraId="4FFF2766" w14:textId="77777777" w:rsidR="006E4579" w:rsidRDefault="00000000">
            <w:r>
              <w:rPr>
                <w:rFonts w:ascii="Arial" w:hAnsi="Arial"/>
                <w:sz w:val="18"/>
              </w:rPr>
              <w:t>Consolidation approach</w:t>
            </w:r>
          </w:p>
        </w:tc>
        <w:tc>
          <w:tcPr>
            <w:tcW w:w="2257" w:type="dxa"/>
            <w:shd w:val="clear" w:color="auto" w:fill="F2F6FC"/>
          </w:tcPr>
          <w:p w14:paraId="0A976161" w14:textId="77777777" w:rsidR="006E4579" w:rsidRDefault="00000000">
            <w:r>
              <w:rPr>
                <w:rFonts w:ascii="Arial" w:hAnsi="Arial"/>
                <w:sz w:val="18"/>
              </w:rPr>
              <w:t>Appendix A</w:t>
            </w:r>
          </w:p>
        </w:tc>
        <w:tc>
          <w:tcPr>
            <w:tcW w:w="2257" w:type="dxa"/>
            <w:shd w:val="clear" w:color="auto" w:fill="F2F6FC"/>
          </w:tcPr>
          <w:p w14:paraId="6C7F7A3C" w14:textId="77777777" w:rsidR="006E4579" w:rsidRDefault="00000000">
            <w:r>
              <w:rPr>
                <w:rFonts w:ascii="Arial" w:hAnsi="Arial"/>
                <w:sz w:val="18"/>
              </w:rPr>
              <w:t>✅ Disclosed</w:t>
            </w:r>
          </w:p>
        </w:tc>
      </w:tr>
      <w:tr w:rsidR="006E4579" w14:paraId="4EBC03C5" w14:textId="77777777">
        <w:trPr>
          <w:jc w:val="center"/>
        </w:trPr>
        <w:tc>
          <w:tcPr>
            <w:tcW w:w="2257" w:type="dxa"/>
          </w:tcPr>
          <w:p w14:paraId="093D1DDF" w14:textId="77777777" w:rsidR="006E4579" w:rsidRDefault="00000000">
            <w:r>
              <w:rPr>
                <w:rFonts w:ascii="Arial" w:hAnsi="Arial"/>
                <w:sz w:val="18"/>
              </w:rPr>
              <w:t>GRI 305-1g</w:t>
            </w:r>
          </w:p>
        </w:tc>
        <w:tc>
          <w:tcPr>
            <w:tcW w:w="2257" w:type="dxa"/>
          </w:tcPr>
          <w:p w14:paraId="08AFA58B" w14:textId="77777777" w:rsidR="006E4579" w:rsidRDefault="00000000">
            <w:r>
              <w:rPr>
                <w:rFonts w:ascii="Arial" w:hAnsi="Arial"/>
                <w:sz w:val="18"/>
              </w:rPr>
              <w:t>Standards used</w:t>
            </w:r>
          </w:p>
        </w:tc>
        <w:tc>
          <w:tcPr>
            <w:tcW w:w="2257" w:type="dxa"/>
          </w:tcPr>
          <w:p w14:paraId="556E7B72" w14:textId="77777777" w:rsidR="006E4579" w:rsidRDefault="00000000">
            <w:r>
              <w:rPr>
                <w:rFonts w:ascii="Arial" w:hAnsi="Arial"/>
                <w:sz w:val="18"/>
              </w:rPr>
              <w:t>Appendix A</w:t>
            </w:r>
          </w:p>
        </w:tc>
        <w:tc>
          <w:tcPr>
            <w:tcW w:w="2257" w:type="dxa"/>
          </w:tcPr>
          <w:p w14:paraId="0A8295DD" w14:textId="77777777" w:rsidR="006E4579" w:rsidRDefault="00000000">
            <w:r>
              <w:rPr>
                <w:rFonts w:ascii="Arial" w:hAnsi="Arial"/>
                <w:sz w:val="18"/>
              </w:rPr>
              <w:t>✅ Disclosed</w:t>
            </w:r>
          </w:p>
        </w:tc>
      </w:tr>
      <w:tr w:rsidR="006E4579" w14:paraId="7DDA3B4A" w14:textId="77777777">
        <w:trPr>
          <w:jc w:val="center"/>
        </w:trPr>
        <w:tc>
          <w:tcPr>
            <w:tcW w:w="2257" w:type="dxa"/>
            <w:shd w:val="clear" w:color="auto" w:fill="F2F6FC"/>
          </w:tcPr>
          <w:p w14:paraId="1DE97728" w14:textId="77777777" w:rsidR="006E4579" w:rsidRDefault="00000000">
            <w:r>
              <w:rPr>
                <w:rFonts w:ascii="Arial" w:hAnsi="Arial"/>
                <w:sz w:val="18"/>
              </w:rPr>
              <w:t>GRI 305-2</w:t>
            </w:r>
          </w:p>
        </w:tc>
        <w:tc>
          <w:tcPr>
            <w:tcW w:w="2257" w:type="dxa"/>
            <w:shd w:val="clear" w:color="auto" w:fill="F2F6FC"/>
          </w:tcPr>
          <w:p w14:paraId="208D0429" w14:textId="77777777" w:rsidR="006E4579" w:rsidRDefault="00000000">
            <w:r>
              <w:rPr>
                <w:rFonts w:ascii="Arial" w:hAnsi="Arial"/>
                <w:sz w:val="18"/>
              </w:rPr>
              <w:t>Energy indirect (Scope 2)</w:t>
            </w:r>
          </w:p>
        </w:tc>
        <w:tc>
          <w:tcPr>
            <w:tcW w:w="2257" w:type="dxa"/>
            <w:shd w:val="clear" w:color="auto" w:fill="F2F6FC"/>
          </w:tcPr>
          <w:p w14:paraId="5CE56F6F" w14:textId="77777777" w:rsidR="006E4579" w:rsidRDefault="00000000">
            <w:r>
              <w:rPr>
                <w:rFonts w:ascii="Arial" w:hAnsi="Arial"/>
                <w:sz w:val="18"/>
              </w:rPr>
              <w:t>Scope 2</w:t>
            </w:r>
          </w:p>
        </w:tc>
        <w:tc>
          <w:tcPr>
            <w:tcW w:w="2257" w:type="dxa"/>
            <w:shd w:val="clear" w:color="auto" w:fill="F2F6FC"/>
          </w:tcPr>
          <w:p w14:paraId="68F0EDA8" w14:textId="77777777" w:rsidR="006E4579" w:rsidRDefault="00000000">
            <w:r>
              <w:rPr>
                <w:rFonts w:ascii="Arial" w:hAnsi="Arial"/>
                <w:sz w:val="18"/>
              </w:rPr>
              <w:t>✅ Disclosed</w:t>
            </w:r>
          </w:p>
        </w:tc>
      </w:tr>
      <w:tr w:rsidR="006E4579" w14:paraId="5A7EA1F4" w14:textId="77777777">
        <w:trPr>
          <w:jc w:val="center"/>
        </w:trPr>
        <w:tc>
          <w:tcPr>
            <w:tcW w:w="2257" w:type="dxa"/>
          </w:tcPr>
          <w:p w14:paraId="3821905A" w14:textId="77777777" w:rsidR="006E4579" w:rsidRDefault="00000000">
            <w:r>
              <w:rPr>
                <w:rFonts w:ascii="Arial" w:hAnsi="Arial"/>
                <w:sz w:val="18"/>
              </w:rPr>
              <w:t>GRI 305-2a</w:t>
            </w:r>
          </w:p>
        </w:tc>
        <w:tc>
          <w:tcPr>
            <w:tcW w:w="2257" w:type="dxa"/>
          </w:tcPr>
          <w:p w14:paraId="7AAB99F1" w14:textId="77777777" w:rsidR="006E4579" w:rsidRDefault="00000000">
            <w:r>
              <w:rPr>
                <w:rFonts w:ascii="Arial" w:hAnsi="Arial"/>
                <w:sz w:val="18"/>
              </w:rPr>
              <w:t>Location-based + Market-based</w:t>
            </w:r>
          </w:p>
        </w:tc>
        <w:tc>
          <w:tcPr>
            <w:tcW w:w="2257" w:type="dxa"/>
          </w:tcPr>
          <w:p w14:paraId="243DBD2C" w14:textId="77777777" w:rsidR="006E4579" w:rsidRDefault="00000000">
            <w:r>
              <w:rPr>
                <w:rFonts w:ascii="Arial" w:hAnsi="Arial"/>
                <w:sz w:val="18"/>
              </w:rPr>
              <w:t>Scope 2</w:t>
            </w:r>
          </w:p>
        </w:tc>
        <w:tc>
          <w:tcPr>
            <w:tcW w:w="2257" w:type="dxa"/>
          </w:tcPr>
          <w:p w14:paraId="6F8EF5F5" w14:textId="77777777" w:rsidR="006E4579" w:rsidRDefault="00000000">
            <w:r>
              <w:rPr>
                <w:rFonts w:ascii="Arial" w:hAnsi="Arial"/>
                <w:sz w:val="18"/>
              </w:rPr>
              <w:t>✅ Disclosed</w:t>
            </w:r>
          </w:p>
        </w:tc>
      </w:tr>
      <w:tr w:rsidR="006E4579" w14:paraId="6B9A598A" w14:textId="77777777">
        <w:trPr>
          <w:jc w:val="center"/>
        </w:trPr>
        <w:tc>
          <w:tcPr>
            <w:tcW w:w="2257" w:type="dxa"/>
            <w:shd w:val="clear" w:color="auto" w:fill="F2F6FC"/>
          </w:tcPr>
          <w:p w14:paraId="4717E17C" w14:textId="77777777" w:rsidR="006E4579" w:rsidRDefault="00000000">
            <w:r>
              <w:rPr>
                <w:rFonts w:ascii="Arial" w:hAnsi="Arial"/>
                <w:sz w:val="18"/>
              </w:rPr>
              <w:t>GRI 305-3</w:t>
            </w:r>
          </w:p>
        </w:tc>
        <w:tc>
          <w:tcPr>
            <w:tcW w:w="2257" w:type="dxa"/>
            <w:shd w:val="clear" w:color="auto" w:fill="F2F6FC"/>
          </w:tcPr>
          <w:p w14:paraId="7A3235B3" w14:textId="77777777" w:rsidR="006E4579" w:rsidRDefault="00000000">
            <w:r>
              <w:rPr>
                <w:rFonts w:ascii="Arial" w:hAnsi="Arial"/>
                <w:sz w:val="18"/>
              </w:rPr>
              <w:t>Other indirect (Scope 3)</w:t>
            </w:r>
          </w:p>
        </w:tc>
        <w:tc>
          <w:tcPr>
            <w:tcW w:w="2257" w:type="dxa"/>
            <w:shd w:val="clear" w:color="auto" w:fill="F2F6FC"/>
          </w:tcPr>
          <w:p w14:paraId="73430431" w14:textId="77777777" w:rsidR="006E4579" w:rsidRDefault="00000000">
            <w:r>
              <w:rPr>
                <w:rFonts w:ascii="Arial" w:hAnsi="Arial"/>
                <w:sz w:val="18"/>
              </w:rPr>
              <w:t>PCAF / Scope 3</w:t>
            </w:r>
          </w:p>
        </w:tc>
        <w:tc>
          <w:tcPr>
            <w:tcW w:w="2257" w:type="dxa"/>
            <w:shd w:val="clear" w:color="auto" w:fill="F2F6FC"/>
          </w:tcPr>
          <w:p w14:paraId="6D04C8DB" w14:textId="77777777" w:rsidR="006E4579" w:rsidRDefault="00000000">
            <w:r>
              <w:rPr>
                <w:rFonts w:ascii="Arial" w:hAnsi="Arial"/>
                <w:sz w:val="18"/>
              </w:rPr>
              <w:t>✅ Disclosed</w:t>
            </w:r>
          </w:p>
        </w:tc>
      </w:tr>
      <w:tr w:rsidR="006E4579" w14:paraId="207CA857" w14:textId="77777777">
        <w:trPr>
          <w:jc w:val="center"/>
        </w:trPr>
        <w:tc>
          <w:tcPr>
            <w:tcW w:w="2257" w:type="dxa"/>
          </w:tcPr>
          <w:p w14:paraId="1B69F733" w14:textId="77777777" w:rsidR="006E4579" w:rsidRDefault="00000000">
            <w:r>
              <w:rPr>
                <w:rFonts w:ascii="Arial" w:hAnsi="Arial"/>
                <w:sz w:val="18"/>
              </w:rPr>
              <w:t>GRI 305-3a</w:t>
            </w:r>
          </w:p>
        </w:tc>
        <w:tc>
          <w:tcPr>
            <w:tcW w:w="2257" w:type="dxa"/>
          </w:tcPr>
          <w:p w14:paraId="4B3D20F0" w14:textId="77777777" w:rsidR="006E4579" w:rsidRDefault="00000000">
            <w:r>
              <w:rPr>
                <w:rFonts w:ascii="Arial" w:hAnsi="Arial"/>
                <w:sz w:val="18"/>
              </w:rPr>
              <w:t>Category 15: Investments (PCAF)</w:t>
            </w:r>
          </w:p>
        </w:tc>
        <w:tc>
          <w:tcPr>
            <w:tcW w:w="2257" w:type="dxa"/>
          </w:tcPr>
          <w:p w14:paraId="032586FC" w14:textId="77777777" w:rsidR="006E4579" w:rsidRDefault="00000000">
            <w:r>
              <w:rPr>
                <w:rFonts w:ascii="Arial" w:hAnsi="Arial"/>
                <w:sz w:val="18"/>
              </w:rPr>
              <w:t>PCAF / Scope 3</w:t>
            </w:r>
          </w:p>
        </w:tc>
        <w:tc>
          <w:tcPr>
            <w:tcW w:w="2257" w:type="dxa"/>
          </w:tcPr>
          <w:p w14:paraId="51B82552" w14:textId="77777777" w:rsidR="006E4579" w:rsidRDefault="00000000">
            <w:r>
              <w:rPr>
                <w:rFonts w:ascii="Arial" w:hAnsi="Arial"/>
                <w:sz w:val="18"/>
              </w:rPr>
              <w:t>✅ Disclosed</w:t>
            </w:r>
          </w:p>
        </w:tc>
      </w:tr>
      <w:tr w:rsidR="006E4579" w14:paraId="2836CCCF" w14:textId="77777777">
        <w:trPr>
          <w:jc w:val="center"/>
        </w:trPr>
        <w:tc>
          <w:tcPr>
            <w:tcW w:w="2257" w:type="dxa"/>
            <w:shd w:val="clear" w:color="auto" w:fill="F2F6FC"/>
          </w:tcPr>
          <w:p w14:paraId="6952CB26" w14:textId="77777777" w:rsidR="006E4579" w:rsidRDefault="00000000">
            <w:r>
              <w:rPr>
                <w:rFonts w:ascii="Arial" w:hAnsi="Arial"/>
                <w:sz w:val="18"/>
              </w:rPr>
              <w:t>GRI 305-4</w:t>
            </w:r>
          </w:p>
        </w:tc>
        <w:tc>
          <w:tcPr>
            <w:tcW w:w="2257" w:type="dxa"/>
            <w:shd w:val="clear" w:color="auto" w:fill="F2F6FC"/>
          </w:tcPr>
          <w:p w14:paraId="28485DD4" w14:textId="77777777" w:rsidR="006E4579" w:rsidRDefault="00000000">
            <w:r>
              <w:rPr>
                <w:rFonts w:ascii="Arial" w:hAnsi="Arial"/>
                <w:sz w:val="18"/>
              </w:rPr>
              <w:t>GHG emissions intensity</w:t>
            </w:r>
          </w:p>
        </w:tc>
        <w:tc>
          <w:tcPr>
            <w:tcW w:w="2257" w:type="dxa"/>
            <w:shd w:val="clear" w:color="auto" w:fill="F2F6FC"/>
          </w:tcPr>
          <w:p w14:paraId="7B444C81" w14:textId="77777777" w:rsidR="006E4579" w:rsidRDefault="00000000">
            <w:r>
              <w:rPr>
                <w:rFonts w:ascii="Arial" w:hAnsi="Arial"/>
                <w:sz w:val="18"/>
              </w:rPr>
              <w:t>Intensity</w:t>
            </w:r>
          </w:p>
        </w:tc>
        <w:tc>
          <w:tcPr>
            <w:tcW w:w="2257" w:type="dxa"/>
            <w:shd w:val="clear" w:color="auto" w:fill="F2F6FC"/>
          </w:tcPr>
          <w:p w14:paraId="0637DD70" w14:textId="77777777" w:rsidR="006E4579" w:rsidRDefault="00000000">
            <w:r>
              <w:rPr>
                <w:rFonts w:ascii="Arial" w:hAnsi="Arial"/>
                <w:sz w:val="18"/>
              </w:rPr>
              <w:t>✅ Disclosed</w:t>
            </w:r>
          </w:p>
        </w:tc>
      </w:tr>
      <w:tr w:rsidR="006E4579" w14:paraId="5625FD58" w14:textId="77777777">
        <w:trPr>
          <w:jc w:val="center"/>
        </w:trPr>
        <w:tc>
          <w:tcPr>
            <w:tcW w:w="2257" w:type="dxa"/>
          </w:tcPr>
          <w:p w14:paraId="595BE0BD" w14:textId="77777777" w:rsidR="006E4579" w:rsidRDefault="00000000">
            <w:r>
              <w:rPr>
                <w:rFonts w:ascii="Arial" w:hAnsi="Arial"/>
                <w:sz w:val="18"/>
              </w:rPr>
              <w:t>GRI 305-5</w:t>
            </w:r>
          </w:p>
        </w:tc>
        <w:tc>
          <w:tcPr>
            <w:tcW w:w="2257" w:type="dxa"/>
          </w:tcPr>
          <w:p w14:paraId="34C98DB3" w14:textId="77777777" w:rsidR="006E4579" w:rsidRDefault="00000000">
            <w:r>
              <w:rPr>
                <w:rFonts w:ascii="Arial" w:hAnsi="Arial"/>
                <w:sz w:val="18"/>
              </w:rPr>
              <w:t>Reduction of GHG emissions</w:t>
            </w:r>
          </w:p>
        </w:tc>
        <w:tc>
          <w:tcPr>
            <w:tcW w:w="2257" w:type="dxa"/>
          </w:tcPr>
          <w:p w14:paraId="334DDA1B" w14:textId="77777777" w:rsidR="006E4579" w:rsidRDefault="00000000">
            <w:r>
              <w:rPr>
                <w:rFonts w:ascii="Arial" w:hAnsi="Arial"/>
                <w:sz w:val="18"/>
              </w:rPr>
              <w:t>Reduction</w:t>
            </w:r>
          </w:p>
        </w:tc>
        <w:tc>
          <w:tcPr>
            <w:tcW w:w="2257" w:type="dxa"/>
          </w:tcPr>
          <w:p w14:paraId="4CB4FBA0" w14:textId="77777777" w:rsidR="006E4579" w:rsidRDefault="00000000">
            <w:r>
              <w:rPr>
                <w:rFonts w:ascii="Arial" w:hAnsi="Arial"/>
                <w:sz w:val="18"/>
              </w:rPr>
              <w:t>⚠️ Partial</w:t>
            </w:r>
          </w:p>
        </w:tc>
      </w:tr>
      <w:tr w:rsidR="006E4579" w14:paraId="0DA67DB1" w14:textId="77777777">
        <w:trPr>
          <w:jc w:val="center"/>
        </w:trPr>
        <w:tc>
          <w:tcPr>
            <w:tcW w:w="2257" w:type="dxa"/>
            <w:shd w:val="clear" w:color="auto" w:fill="F2F6FC"/>
          </w:tcPr>
          <w:p w14:paraId="0A74F91B" w14:textId="77777777" w:rsidR="006E4579" w:rsidRDefault="00000000">
            <w:r>
              <w:rPr>
                <w:rFonts w:ascii="Arial" w:hAnsi="Arial"/>
                <w:sz w:val="18"/>
              </w:rPr>
              <w:t>GRI 401-1</w:t>
            </w:r>
          </w:p>
        </w:tc>
        <w:tc>
          <w:tcPr>
            <w:tcW w:w="2257" w:type="dxa"/>
            <w:shd w:val="clear" w:color="auto" w:fill="F2F6FC"/>
          </w:tcPr>
          <w:p w14:paraId="44853602" w14:textId="77777777" w:rsidR="006E4579" w:rsidRDefault="00000000">
            <w:r>
              <w:rPr>
                <w:rFonts w:ascii="Arial" w:hAnsi="Arial"/>
                <w:sz w:val="18"/>
              </w:rPr>
              <w:t>New hires and turnover</w:t>
            </w:r>
          </w:p>
        </w:tc>
        <w:tc>
          <w:tcPr>
            <w:tcW w:w="2257" w:type="dxa"/>
            <w:shd w:val="clear" w:color="auto" w:fill="F2F6FC"/>
          </w:tcPr>
          <w:p w14:paraId="4575C338" w14:textId="77777777" w:rsidR="006E4579" w:rsidRDefault="00000000">
            <w:r>
              <w:rPr>
                <w:rFonts w:ascii="Arial" w:hAnsi="Arial"/>
                <w:sz w:val="18"/>
              </w:rPr>
              <w:t>Social</w:t>
            </w:r>
          </w:p>
        </w:tc>
        <w:tc>
          <w:tcPr>
            <w:tcW w:w="2257" w:type="dxa"/>
            <w:shd w:val="clear" w:color="auto" w:fill="F2F6FC"/>
          </w:tcPr>
          <w:p w14:paraId="51CF02AD" w14:textId="77777777" w:rsidR="006E4579" w:rsidRDefault="00000000">
            <w:r>
              <w:rPr>
                <w:rFonts w:ascii="Arial" w:hAnsi="Arial"/>
                <w:sz w:val="18"/>
              </w:rPr>
              <w:t>✅ Disclosed</w:t>
            </w:r>
          </w:p>
        </w:tc>
      </w:tr>
      <w:tr w:rsidR="006E4579" w14:paraId="1EA7E3C3" w14:textId="77777777">
        <w:trPr>
          <w:jc w:val="center"/>
        </w:trPr>
        <w:tc>
          <w:tcPr>
            <w:tcW w:w="2257" w:type="dxa"/>
          </w:tcPr>
          <w:p w14:paraId="4730B6C8" w14:textId="77777777" w:rsidR="006E4579" w:rsidRDefault="00000000">
            <w:r>
              <w:rPr>
                <w:rFonts w:ascii="Arial" w:hAnsi="Arial"/>
                <w:sz w:val="18"/>
              </w:rPr>
              <w:t>GRI 404-1</w:t>
            </w:r>
          </w:p>
        </w:tc>
        <w:tc>
          <w:tcPr>
            <w:tcW w:w="2257" w:type="dxa"/>
          </w:tcPr>
          <w:p w14:paraId="32E0FB70" w14:textId="77777777" w:rsidR="006E4579" w:rsidRDefault="00000000">
            <w:r>
              <w:rPr>
                <w:rFonts w:ascii="Arial" w:hAnsi="Arial"/>
                <w:sz w:val="18"/>
              </w:rPr>
              <w:t>Training hours per employee</w:t>
            </w:r>
          </w:p>
        </w:tc>
        <w:tc>
          <w:tcPr>
            <w:tcW w:w="2257" w:type="dxa"/>
          </w:tcPr>
          <w:p w14:paraId="7C1AB6EC" w14:textId="77777777" w:rsidR="006E4579" w:rsidRDefault="00000000">
            <w:r>
              <w:rPr>
                <w:rFonts w:ascii="Arial" w:hAnsi="Arial"/>
                <w:sz w:val="18"/>
              </w:rPr>
              <w:t>Social</w:t>
            </w:r>
          </w:p>
        </w:tc>
        <w:tc>
          <w:tcPr>
            <w:tcW w:w="2257" w:type="dxa"/>
          </w:tcPr>
          <w:p w14:paraId="27E887A1" w14:textId="77777777" w:rsidR="006E4579" w:rsidRDefault="00000000">
            <w:r>
              <w:rPr>
                <w:rFonts w:ascii="Arial" w:hAnsi="Arial"/>
                <w:sz w:val="18"/>
              </w:rPr>
              <w:t>✅ Disclosed</w:t>
            </w:r>
          </w:p>
        </w:tc>
      </w:tr>
      <w:tr w:rsidR="006E4579" w14:paraId="62F57DAF" w14:textId="77777777">
        <w:trPr>
          <w:jc w:val="center"/>
        </w:trPr>
        <w:tc>
          <w:tcPr>
            <w:tcW w:w="2257" w:type="dxa"/>
            <w:shd w:val="clear" w:color="auto" w:fill="F2F6FC"/>
          </w:tcPr>
          <w:p w14:paraId="29D97321" w14:textId="77777777" w:rsidR="006E4579" w:rsidRDefault="00000000">
            <w:r>
              <w:rPr>
                <w:rFonts w:ascii="Arial" w:hAnsi="Arial"/>
                <w:sz w:val="18"/>
              </w:rPr>
              <w:t>GRI 405-1</w:t>
            </w:r>
          </w:p>
        </w:tc>
        <w:tc>
          <w:tcPr>
            <w:tcW w:w="2257" w:type="dxa"/>
            <w:shd w:val="clear" w:color="auto" w:fill="F2F6FC"/>
          </w:tcPr>
          <w:p w14:paraId="162270D0" w14:textId="77777777" w:rsidR="006E4579" w:rsidRDefault="00000000">
            <w:r>
              <w:rPr>
                <w:rFonts w:ascii="Arial" w:hAnsi="Arial"/>
                <w:sz w:val="18"/>
              </w:rPr>
              <w:t>Diversity of governance bodies</w:t>
            </w:r>
          </w:p>
        </w:tc>
        <w:tc>
          <w:tcPr>
            <w:tcW w:w="2257" w:type="dxa"/>
            <w:shd w:val="clear" w:color="auto" w:fill="F2F6FC"/>
          </w:tcPr>
          <w:p w14:paraId="424E9B67" w14:textId="77777777" w:rsidR="006E4579" w:rsidRDefault="00000000">
            <w:r>
              <w:rPr>
                <w:rFonts w:ascii="Arial" w:hAnsi="Arial"/>
                <w:sz w:val="18"/>
              </w:rPr>
              <w:t>Social</w:t>
            </w:r>
          </w:p>
        </w:tc>
        <w:tc>
          <w:tcPr>
            <w:tcW w:w="2257" w:type="dxa"/>
            <w:shd w:val="clear" w:color="auto" w:fill="F2F6FC"/>
          </w:tcPr>
          <w:p w14:paraId="5CAC8EF7" w14:textId="77777777" w:rsidR="006E4579" w:rsidRDefault="00000000">
            <w:r>
              <w:rPr>
                <w:rFonts w:ascii="Arial" w:hAnsi="Arial"/>
                <w:sz w:val="18"/>
              </w:rPr>
              <w:t>✅ Disclosed</w:t>
            </w:r>
          </w:p>
        </w:tc>
      </w:tr>
      <w:tr w:rsidR="006E4579" w14:paraId="08A3536A" w14:textId="77777777">
        <w:trPr>
          <w:jc w:val="center"/>
        </w:trPr>
        <w:tc>
          <w:tcPr>
            <w:tcW w:w="2257" w:type="dxa"/>
          </w:tcPr>
          <w:p w14:paraId="7EE38840" w14:textId="77777777" w:rsidR="006E4579" w:rsidRDefault="00000000">
            <w:r>
              <w:rPr>
                <w:rFonts w:ascii="Arial" w:hAnsi="Arial"/>
                <w:sz w:val="18"/>
              </w:rPr>
              <w:t>GRI 406-1</w:t>
            </w:r>
          </w:p>
        </w:tc>
        <w:tc>
          <w:tcPr>
            <w:tcW w:w="2257" w:type="dxa"/>
          </w:tcPr>
          <w:p w14:paraId="79EEEBBE" w14:textId="77777777" w:rsidR="006E4579" w:rsidRDefault="00000000">
            <w:r>
              <w:rPr>
                <w:rFonts w:ascii="Arial" w:hAnsi="Arial"/>
                <w:sz w:val="18"/>
              </w:rPr>
              <w:t>Discrimination incidents</w:t>
            </w:r>
          </w:p>
        </w:tc>
        <w:tc>
          <w:tcPr>
            <w:tcW w:w="2257" w:type="dxa"/>
          </w:tcPr>
          <w:p w14:paraId="5DD6D8D3" w14:textId="77777777" w:rsidR="006E4579" w:rsidRDefault="00000000">
            <w:r>
              <w:rPr>
                <w:rFonts w:ascii="Arial" w:hAnsi="Arial"/>
                <w:sz w:val="18"/>
              </w:rPr>
              <w:t>Social</w:t>
            </w:r>
          </w:p>
        </w:tc>
        <w:tc>
          <w:tcPr>
            <w:tcW w:w="2257" w:type="dxa"/>
          </w:tcPr>
          <w:p w14:paraId="1648F9C9" w14:textId="77777777" w:rsidR="006E4579" w:rsidRDefault="00000000">
            <w:r>
              <w:rPr>
                <w:rFonts w:ascii="Arial" w:hAnsi="Arial"/>
                <w:sz w:val="18"/>
              </w:rPr>
              <w:t>✅ Disclosed</w:t>
            </w:r>
          </w:p>
        </w:tc>
      </w:tr>
    </w:tbl>
    <w:p w14:paraId="7CC3B03E" w14:textId="77777777" w:rsidR="006E4579" w:rsidRDefault="00000000">
      <w:r>
        <w:rPr>
          <w:rFonts w:ascii="Arial" w:hAnsi="Arial"/>
          <w:i/>
          <w:sz w:val="16"/>
        </w:rPr>
        <w:t>Source: GRI Standards 2021. Note: GRI 102 (2025) supersedes GRI 305 from 2027.</w:t>
      </w:r>
    </w:p>
    <w:p w14:paraId="7A4D3733" w14:textId="77777777" w:rsidR="006E4579" w:rsidRDefault="006E4579"/>
    <w:p w14:paraId="7F4BA951" w14:textId="77777777" w:rsidR="006E4579" w:rsidRDefault="00000000">
      <w:r>
        <w:br w:type="page"/>
      </w:r>
    </w:p>
    <w:p w14:paraId="14AB8A21" w14:textId="77777777" w:rsidR="006E4579" w:rsidRDefault="00000000">
      <w:pPr>
        <w:pStyle w:val="Heading1"/>
        <w:spacing w:after="240"/>
      </w:pPr>
      <w:r>
        <w:rPr>
          <w:rFonts w:ascii="Arial" w:hAnsi="Arial"/>
          <w:color w:val="1B3A6B"/>
          <w:sz w:val="36"/>
        </w:rPr>
        <w:lastRenderedPageBreak/>
        <w:t>Appendix E: Framework Disclosure Cross-Reference</w:t>
      </w:r>
    </w:p>
    <w:p w14:paraId="13DED7A7" w14:textId="77777777" w:rsidR="006E4579" w:rsidRDefault="00000000">
      <w:pPr>
        <w:spacing w:after="160"/>
      </w:pPr>
      <w:r>
        <w:t>This report simultaneously addresses requirements from four sustainability reporting frameworks. The table below maps report sections to specific disclosure requirements per framework.</w:t>
      </w:r>
    </w:p>
    <w:p w14:paraId="6703D5F7" w14:textId="77777777" w:rsidR="006E4579" w:rsidRDefault="00000000">
      <w:r>
        <w:rPr>
          <w:rFonts w:ascii="Arial" w:hAnsi="Arial"/>
          <w:b/>
          <w:sz w:val="20"/>
        </w:rPr>
        <w:t>Table 65: Multi-Framework Disclosure Mapping</w:t>
      </w:r>
    </w:p>
    <w:tbl>
      <w:tblPr>
        <w:tblW w:w="0" w:type="auto"/>
        <w:jc w:val="center"/>
        <w:tblLook w:val="04A0" w:firstRow="1" w:lastRow="0" w:firstColumn="1" w:lastColumn="0" w:noHBand="0" w:noVBand="1"/>
      </w:tblPr>
      <w:tblGrid>
        <w:gridCol w:w="1806"/>
        <w:gridCol w:w="1806"/>
        <w:gridCol w:w="1806"/>
        <w:gridCol w:w="1806"/>
        <w:gridCol w:w="1806"/>
      </w:tblGrid>
      <w:tr w:rsidR="006E4579" w14:paraId="5A7E2A8E" w14:textId="77777777">
        <w:trPr>
          <w:jc w:val="center"/>
        </w:trPr>
        <w:tc>
          <w:tcPr>
            <w:tcW w:w="1806" w:type="dxa"/>
            <w:shd w:val="clear" w:color="auto" w:fill="1B3A6B"/>
          </w:tcPr>
          <w:p w14:paraId="19345CB1" w14:textId="77777777" w:rsidR="006E4579" w:rsidRDefault="00000000">
            <w:r>
              <w:rPr>
                <w:rFonts w:ascii="Arial" w:hAnsi="Arial"/>
                <w:b/>
                <w:color w:val="FFFFFF"/>
                <w:sz w:val="18"/>
              </w:rPr>
              <w:t>Report Section</w:t>
            </w:r>
          </w:p>
        </w:tc>
        <w:tc>
          <w:tcPr>
            <w:tcW w:w="1806" w:type="dxa"/>
            <w:shd w:val="clear" w:color="auto" w:fill="1B3A6B"/>
          </w:tcPr>
          <w:p w14:paraId="08D4C4BA" w14:textId="77777777" w:rsidR="006E4579" w:rsidRDefault="00000000">
            <w:r>
              <w:rPr>
                <w:rFonts w:ascii="Arial" w:hAnsi="Arial"/>
                <w:b/>
                <w:color w:val="FFFFFF"/>
                <w:sz w:val="18"/>
              </w:rPr>
              <w:t>GRI 305</w:t>
            </w:r>
          </w:p>
        </w:tc>
        <w:tc>
          <w:tcPr>
            <w:tcW w:w="1806" w:type="dxa"/>
            <w:shd w:val="clear" w:color="auto" w:fill="1B3A6B"/>
          </w:tcPr>
          <w:p w14:paraId="658BBF8D" w14:textId="77777777" w:rsidR="006E4579" w:rsidRDefault="00000000">
            <w:r>
              <w:rPr>
                <w:rFonts w:ascii="Arial" w:hAnsi="Arial"/>
                <w:b/>
                <w:color w:val="FFFFFF"/>
                <w:sz w:val="18"/>
              </w:rPr>
              <w:t>IFRS S2</w:t>
            </w:r>
          </w:p>
        </w:tc>
        <w:tc>
          <w:tcPr>
            <w:tcW w:w="1806" w:type="dxa"/>
            <w:shd w:val="clear" w:color="auto" w:fill="1B3A6B"/>
          </w:tcPr>
          <w:p w14:paraId="3D4075F7" w14:textId="77777777" w:rsidR="006E4579" w:rsidRDefault="00000000">
            <w:r>
              <w:rPr>
                <w:rFonts w:ascii="Arial" w:hAnsi="Arial"/>
                <w:b/>
                <w:color w:val="FFFFFF"/>
                <w:sz w:val="18"/>
              </w:rPr>
              <w:t>ESRS E1</w:t>
            </w:r>
          </w:p>
        </w:tc>
        <w:tc>
          <w:tcPr>
            <w:tcW w:w="1806" w:type="dxa"/>
            <w:shd w:val="clear" w:color="auto" w:fill="1B3A6B"/>
          </w:tcPr>
          <w:p w14:paraId="6CFA543A" w14:textId="77777777" w:rsidR="006E4579" w:rsidRDefault="00000000">
            <w:r>
              <w:rPr>
                <w:rFonts w:ascii="Arial" w:hAnsi="Arial"/>
                <w:b/>
                <w:color w:val="FFFFFF"/>
                <w:sz w:val="18"/>
              </w:rPr>
              <w:t>OJK PSPK</w:t>
            </w:r>
          </w:p>
        </w:tc>
      </w:tr>
      <w:tr w:rsidR="006E4579" w14:paraId="4235C612" w14:textId="77777777">
        <w:trPr>
          <w:jc w:val="center"/>
        </w:trPr>
        <w:tc>
          <w:tcPr>
            <w:tcW w:w="1806" w:type="dxa"/>
          </w:tcPr>
          <w:p w14:paraId="35338299" w14:textId="77777777" w:rsidR="006E4579" w:rsidRDefault="00000000">
            <w:r>
              <w:rPr>
                <w:rFonts w:ascii="Arial" w:hAnsi="Arial"/>
                <w:sz w:val="18"/>
              </w:rPr>
              <w:t>Scope 1 Emissions</w:t>
            </w:r>
          </w:p>
        </w:tc>
        <w:tc>
          <w:tcPr>
            <w:tcW w:w="1806" w:type="dxa"/>
          </w:tcPr>
          <w:p w14:paraId="1425E879" w14:textId="77777777" w:rsidR="006E4579" w:rsidRDefault="00000000">
            <w:r>
              <w:rPr>
                <w:rFonts w:ascii="Arial" w:hAnsi="Arial"/>
                <w:sz w:val="18"/>
              </w:rPr>
              <w:t>305-1 (a-g)</w:t>
            </w:r>
          </w:p>
        </w:tc>
        <w:tc>
          <w:tcPr>
            <w:tcW w:w="1806" w:type="dxa"/>
          </w:tcPr>
          <w:p w14:paraId="0D5428FA" w14:textId="77777777" w:rsidR="006E4579" w:rsidRDefault="00000000">
            <w:r>
              <w:rPr>
                <w:rFonts w:ascii="Arial" w:hAnsi="Arial"/>
                <w:sz w:val="18"/>
              </w:rPr>
              <w:t>Para 29(a)(i)</w:t>
            </w:r>
          </w:p>
        </w:tc>
        <w:tc>
          <w:tcPr>
            <w:tcW w:w="1806" w:type="dxa"/>
          </w:tcPr>
          <w:p w14:paraId="70B4A914" w14:textId="77777777" w:rsidR="006E4579" w:rsidRDefault="00000000">
            <w:r>
              <w:rPr>
                <w:rFonts w:ascii="Arial" w:hAnsi="Arial"/>
                <w:sz w:val="18"/>
              </w:rPr>
              <w:t>DR E1-6 §44</w:t>
            </w:r>
          </w:p>
        </w:tc>
        <w:tc>
          <w:tcPr>
            <w:tcW w:w="1806" w:type="dxa"/>
          </w:tcPr>
          <w:p w14:paraId="5DC74F30" w14:textId="77777777" w:rsidR="006E4579" w:rsidRDefault="00000000">
            <w:r>
              <w:rPr>
                <w:rFonts w:ascii="Arial" w:hAnsi="Arial"/>
                <w:sz w:val="18"/>
              </w:rPr>
              <w:t>Lampiran II.A.1</w:t>
            </w:r>
          </w:p>
        </w:tc>
      </w:tr>
      <w:tr w:rsidR="006E4579" w14:paraId="3CFD5D3E" w14:textId="77777777">
        <w:trPr>
          <w:jc w:val="center"/>
        </w:trPr>
        <w:tc>
          <w:tcPr>
            <w:tcW w:w="1806" w:type="dxa"/>
            <w:shd w:val="clear" w:color="auto" w:fill="F2F6FC"/>
          </w:tcPr>
          <w:p w14:paraId="23FC6E04" w14:textId="77777777" w:rsidR="006E4579" w:rsidRDefault="00000000">
            <w:r>
              <w:rPr>
                <w:rFonts w:ascii="Arial" w:hAnsi="Arial"/>
                <w:sz w:val="18"/>
              </w:rPr>
              <w:t>Scope 2 Emissions</w:t>
            </w:r>
          </w:p>
        </w:tc>
        <w:tc>
          <w:tcPr>
            <w:tcW w:w="1806" w:type="dxa"/>
            <w:shd w:val="clear" w:color="auto" w:fill="F2F6FC"/>
          </w:tcPr>
          <w:p w14:paraId="26156240" w14:textId="77777777" w:rsidR="006E4579" w:rsidRDefault="00000000">
            <w:r>
              <w:rPr>
                <w:rFonts w:ascii="Arial" w:hAnsi="Arial"/>
                <w:sz w:val="18"/>
              </w:rPr>
              <w:t>305-2 (a-e)</w:t>
            </w:r>
          </w:p>
        </w:tc>
        <w:tc>
          <w:tcPr>
            <w:tcW w:w="1806" w:type="dxa"/>
            <w:shd w:val="clear" w:color="auto" w:fill="F2F6FC"/>
          </w:tcPr>
          <w:p w14:paraId="1D670014" w14:textId="77777777" w:rsidR="006E4579" w:rsidRDefault="00000000">
            <w:r>
              <w:rPr>
                <w:rFonts w:ascii="Arial" w:hAnsi="Arial"/>
                <w:sz w:val="18"/>
              </w:rPr>
              <w:t>Para 29(a)(ii)</w:t>
            </w:r>
          </w:p>
        </w:tc>
        <w:tc>
          <w:tcPr>
            <w:tcW w:w="1806" w:type="dxa"/>
            <w:shd w:val="clear" w:color="auto" w:fill="F2F6FC"/>
          </w:tcPr>
          <w:p w14:paraId="137AB60B" w14:textId="77777777" w:rsidR="006E4579" w:rsidRDefault="00000000">
            <w:r>
              <w:rPr>
                <w:rFonts w:ascii="Arial" w:hAnsi="Arial"/>
                <w:sz w:val="18"/>
              </w:rPr>
              <w:t>DR E1-6 §47-48</w:t>
            </w:r>
          </w:p>
        </w:tc>
        <w:tc>
          <w:tcPr>
            <w:tcW w:w="1806" w:type="dxa"/>
            <w:shd w:val="clear" w:color="auto" w:fill="F2F6FC"/>
          </w:tcPr>
          <w:p w14:paraId="65A66F01" w14:textId="77777777" w:rsidR="006E4579" w:rsidRDefault="00000000">
            <w:r>
              <w:rPr>
                <w:rFonts w:ascii="Arial" w:hAnsi="Arial"/>
                <w:sz w:val="18"/>
              </w:rPr>
              <w:t>Lampiran II.A.2</w:t>
            </w:r>
          </w:p>
        </w:tc>
      </w:tr>
      <w:tr w:rsidR="006E4579" w14:paraId="0B0AFD06" w14:textId="77777777">
        <w:trPr>
          <w:jc w:val="center"/>
        </w:trPr>
        <w:tc>
          <w:tcPr>
            <w:tcW w:w="1806" w:type="dxa"/>
          </w:tcPr>
          <w:p w14:paraId="5EEEF23B" w14:textId="77777777" w:rsidR="006E4579" w:rsidRDefault="00000000">
            <w:r>
              <w:rPr>
                <w:rFonts w:ascii="Arial" w:hAnsi="Arial"/>
                <w:sz w:val="18"/>
              </w:rPr>
              <w:t>Scope 3 / Financed</w:t>
            </w:r>
          </w:p>
        </w:tc>
        <w:tc>
          <w:tcPr>
            <w:tcW w:w="1806" w:type="dxa"/>
          </w:tcPr>
          <w:p w14:paraId="0FCFB20E" w14:textId="77777777" w:rsidR="006E4579" w:rsidRDefault="00000000">
            <w:r>
              <w:rPr>
                <w:rFonts w:ascii="Arial" w:hAnsi="Arial"/>
                <w:sz w:val="18"/>
              </w:rPr>
              <w:t>305-3 (a-f)</w:t>
            </w:r>
          </w:p>
        </w:tc>
        <w:tc>
          <w:tcPr>
            <w:tcW w:w="1806" w:type="dxa"/>
          </w:tcPr>
          <w:p w14:paraId="2DEE76CA" w14:textId="77777777" w:rsidR="006E4579" w:rsidRDefault="00000000">
            <w:r>
              <w:rPr>
                <w:rFonts w:ascii="Arial" w:hAnsi="Arial"/>
                <w:sz w:val="18"/>
              </w:rPr>
              <w:t>Para 29(a)(iv)</w:t>
            </w:r>
          </w:p>
        </w:tc>
        <w:tc>
          <w:tcPr>
            <w:tcW w:w="1806" w:type="dxa"/>
          </w:tcPr>
          <w:p w14:paraId="304FE399" w14:textId="77777777" w:rsidR="006E4579" w:rsidRDefault="00000000">
            <w:r>
              <w:rPr>
                <w:rFonts w:ascii="Arial" w:hAnsi="Arial"/>
                <w:sz w:val="18"/>
              </w:rPr>
              <w:t>DR E1-6 §51-54</w:t>
            </w:r>
          </w:p>
        </w:tc>
        <w:tc>
          <w:tcPr>
            <w:tcW w:w="1806" w:type="dxa"/>
          </w:tcPr>
          <w:p w14:paraId="03DB319D" w14:textId="77777777" w:rsidR="006E4579" w:rsidRDefault="00000000">
            <w:r>
              <w:rPr>
                <w:rFonts w:ascii="Arial" w:hAnsi="Arial"/>
                <w:sz w:val="18"/>
              </w:rPr>
              <w:t>Lampiran II.A.3</w:t>
            </w:r>
          </w:p>
        </w:tc>
      </w:tr>
      <w:tr w:rsidR="006E4579" w14:paraId="33705A9A" w14:textId="77777777">
        <w:trPr>
          <w:jc w:val="center"/>
        </w:trPr>
        <w:tc>
          <w:tcPr>
            <w:tcW w:w="1806" w:type="dxa"/>
            <w:shd w:val="clear" w:color="auto" w:fill="F2F6FC"/>
          </w:tcPr>
          <w:p w14:paraId="3F99905E" w14:textId="77777777" w:rsidR="006E4579" w:rsidRDefault="00000000">
            <w:r>
              <w:rPr>
                <w:rFonts w:ascii="Arial" w:hAnsi="Arial"/>
                <w:sz w:val="18"/>
              </w:rPr>
              <w:t>Intensity</w:t>
            </w:r>
          </w:p>
        </w:tc>
        <w:tc>
          <w:tcPr>
            <w:tcW w:w="1806" w:type="dxa"/>
            <w:shd w:val="clear" w:color="auto" w:fill="F2F6FC"/>
          </w:tcPr>
          <w:p w14:paraId="0144410A" w14:textId="77777777" w:rsidR="006E4579" w:rsidRDefault="00000000">
            <w:r>
              <w:rPr>
                <w:rFonts w:ascii="Arial" w:hAnsi="Arial"/>
                <w:sz w:val="18"/>
              </w:rPr>
              <w:t>305-4 (a-d)</w:t>
            </w:r>
          </w:p>
        </w:tc>
        <w:tc>
          <w:tcPr>
            <w:tcW w:w="1806" w:type="dxa"/>
            <w:shd w:val="clear" w:color="auto" w:fill="F2F6FC"/>
          </w:tcPr>
          <w:p w14:paraId="327FDCC6" w14:textId="77777777" w:rsidR="006E4579" w:rsidRDefault="00000000">
            <w:r>
              <w:rPr>
                <w:rFonts w:ascii="Arial" w:hAnsi="Arial"/>
                <w:sz w:val="18"/>
              </w:rPr>
              <w:t>Para 29(b)</w:t>
            </w:r>
          </w:p>
        </w:tc>
        <w:tc>
          <w:tcPr>
            <w:tcW w:w="1806" w:type="dxa"/>
            <w:shd w:val="clear" w:color="auto" w:fill="F2F6FC"/>
          </w:tcPr>
          <w:p w14:paraId="6E455DFC" w14:textId="77777777" w:rsidR="006E4579" w:rsidRDefault="00000000">
            <w:r>
              <w:rPr>
                <w:rFonts w:ascii="Arial" w:hAnsi="Arial"/>
                <w:sz w:val="18"/>
              </w:rPr>
              <w:t>DR E1-6 §55-56</w:t>
            </w:r>
          </w:p>
        </w:tc>
        <w:tc>
          <w:tcPr>
            <w:tcW w:w="1806" w:type="dxa"/>
            <w:shd w:val="clear" w:color="auto" w:fill="F2F6FC"/>
          </w:tcPr>
          <w:p w14:paraId="763391E1" w14:textId="77777777" w:rsidR="006E4579" w:rsidRDefault="00000000">
            <w:r>
              <w:rPr>
                <w:rFonts w:ascii="Arial" w:hAnsi="Arial"/>
                <w:sz w:val="18"/>
              </w:rPr>
              <w:t>Lampiran II.B</w:t>
            </w:r>
          </w:p>
        </w:tc>
      </w:tr>
      <w:tr w:rsidR="006E4579" w14:paraId="703C6172" w14:textId="77777777">
        <w:trPr>
          <w:jc w:val="center"/>
        </w:trPr>
        <w:tc>
          <w:tcPr>
            <w:tcW w:w="1806" w:type="dxa"/>
          </w:tcPr>
          <w:p w14:paraId="78509524" w14:textId="77777777" w:rsidR="006E4579" w:rsidRDefault="00000000">
            <w:r>
              <w:rPr>
                <w:rFonts w:ascii="Arial" w:hAnsi="Arial"/>
                <w:sz w:val="18"/>
              </w:rPr>
              <w:t>Reduction Targets</w:t>
            </w:r>
          </w:p>
        </w:tc>
        <w:tc>
          <w:tcPr>
            <w:tcW w:w="1806" w:type="dxa"/>
          </w:tcPr>
          <w:p w14:paraId="4676860E" w14:textId="77777777" w:rsidR="006E4579" w:rsidRDefault="00000000">
            <w:r>
              <w:rPr>
                <w:rFonts w:ascii="Arial" w:hAnsi="Arial"/>
                <w:sz w:val="18"/>
              </w:rPr>
              <w:t>305-5 (a-e)</w:t>
            </w:r>
          </w:p>
        </w:tc>
        <w:tc>
          <w:tcPr>
            <w:tcW w:w="1806" w:type="dxa"/>
          </w:tcPr>
          <w:p w14:paraId="4C01AA37" w14:textId="77777777" w:rsidR="006E4579" w:rsidRDefault="00000000">
            <w:r>
              <w:rPr>
                <w:rFonts w:ascii="Arial" w:hAnsi="Arial"/>
                <w:sz w:val="18"/>
              </w:rPr>
              <w:t>Para 33-36</w:t>
            </w:r>
          </w:p>
        </w:tc>
        <w:tc>
          <w:tcPr>
            <w:tcW w:w="1806" w:type="dxa"/>
          </w:tcPr>
          <w:p w14:paraId="76EBE5BB" w14:textId="77777777" w:rsidR="006E4579" w:rsidRDefault="00000000">
            <w:r>
              <w:rPr>
                <w:rFonts w:ascii="Arial" w:hAnsi="Arial"/>
                <w:sz w:val="18"/>
              </w:rPr>
              <w:t>DR E1-4 §34-42</w:t>
            </w:r>
          </w:p>
        </w:tc>
        <w:tc>
          <w:tcPr>
            <w:tcW w:w="1806" w:type="dxa"/>
          </w:tcPr>
          <w:p w14:paraId="52D92A66" w14:textId="77777777" w:rsidR="006E4579" w:rsidRDefault="00000000">
            <w:r>
              <w:rPr>
                <w:rFonts w:ascii="Arial" w:hAnsi="Arial"/>
                <w:sz w:val="18"/>
              </w:rPr>
              <w:t>Lampiran II.C</w:t>
            </w:r>
          </w:p>
        </w:tc>
      </w:tr>
      <w:tr w:rsidR="006E4579" w14:paraId="597E5649" w14:textId="77777777">
        <w:trPr>
          <w:jc w:val="center"/>
        </w:trPr>
        <w:tc>
          <w:tcPr>
            <w:tcW w:w="1806" w:type="dxa"/>
            <w:shd w:val="clear" w:color="auto" w:fill="F2F6FC"/>
          </w:tcPr>
          <w:p w14:paraId="57733CD0" w14:textId="77777777" w:rsidR="006E4579" w:rsidRDefault="00000000">
            <w:r>
              <w:rPr>
                <w:rFonts w:ascii="Arial" w:hAnsi="Arial"/>
                <w:sz w:val="18"/>
              </w:rPr>
              <w:t>Governance</w:t>
            </w:r>
          </w:p>
        </w:tc>
        <w:tc>
          <w:tcPr>
            <w:tcW w:w="1806" w:type="dxa"/>
            <w:shd w:val="clear" w:color="auto" w:fill="F2F6FC"/>
          </w:tcPr>
          <w:p w14:paraId="7AF0CEB3" w14:textId="77777777" w:rsidR="006E4579" w:rsidRDefault="00000000">
            <w:r>
              <w:rPr>
                <w:rFonts w:ascii="Arial" w:hAnsi="Arial"/>
                <w:sz w:val="18"/>
              </w:rPr>
              <w:t>N/A</w:t>
            </w:r>
          </w:p>
        </w:tc>
        <w:tc>
          <w:tcPr>
            <w:tcW w:w="1806" w:type="dxa"/>
            <w:shd w:val="clear" w:color="auto" w:fill="F2F6FC"/>
          </w:tcPr>
          <w:p w14:paraId="0336B2C0" w14:textId="77777777" w:rsidR="006E4579" w:rsidRDefault="00000000">
            <w:r>
              <w:rPr>
                <w:rFonts w:ascii="Arial" w:hAnsi="Arial"/>
                <w:sz w:val="18"/>
              </w:rPr>
              <w:t>Para 5-9</w:t>
            </w:r>
          </w:p>
        </w:tc>
        <w:tc>
          <w:tcPr>
            <w:tcW w:w="1806" w:type="dxa"/>
            <w:shd w:val="clear" w:color="auto" w:fill="F2F6FC"/>
          </w:tcPr>
          <w:p w14:paraId="64741DD4" w14:textId="77777777" w:rsidR="006E4579" w:rsidRDefault="00000000">
            <w:r>
              <w:rPr>
                <w:rFonts w:ascii="Arial" w:hAnsi="Arial"/>
                <w:sz w:val="18"/>
              </w:rPr>
              <w:t>ESRS 2 GOV-1</w:t>
            </w:r>
          </w:p>
        </w:tc>
        <w:tc>
          <w:tcPr>
            <w:tcW w:w="1806" w:type="dxa"/>
            <w:shd w:val="clear" w:color="auto" w:fill="F2F6FC"/>
          </w:tcPr>
          <w:p w14:paraId="55A9430E" w14:textId="77777777" w:rsidR="006E4579" w:rsidRDefault="00000000">
            <w:r>
              <w:rPr>
                <w:rFonts w:ascii="Arial" w:hAnsi="Arial"/>
                <w:sz w:val="18"/>
              </w:rPr>
              <w:t>Lampiran I</w:t>
            </w:r>
          </w:p>
        </w:tc>
      </w:tr>
      <w:tr w:rsidR="006E4579" w14:paraId="1DB9A9E1" w14:textId="77777777">
        <w:trPr>
          <w:jc w:val="center"/>
        </w:trPr>
        <w:tc>
          <w:tcPr>
            <w:tcW w:w="1806" w:type="dxa"/>
          </w:tcPr>
          <w:p w14:paraId="5EC1256E" w14:textId="77777777" w:rsidR="006E4579" w:rsidRDefault="00000000">
            <w:r>
              <w:rPr>
                <w:rFonts w:ascii="Arial" w:hAnsi="Arial"/>
                <w:sz w:val="18"/>
              </w:rPr>
              <w:t>Transition Plan</w:t>
            </w:r>
          </w:p>
        </w:tc>
        <w:tc>
          <w:tcPr>
            <w:tcW w:w="1806" w:type="dxa"/>
          </w:tcPr>
          <w:p w14:paraId="32C5D0EB" w14:textId="77777777" w:rsidR="006E4579" w:rsidRDefault="00000000">
            <w:r>
              <w:rPr>
                <w:rFonts w:ascii="Arial" w:hAnsi="Arial"/>
                <w:sz w:val="18"/>
              </w:rPr>
              <w:t>N/A</w:t>
            </w:r>
          </w:p>
        </w:tc>
        <w:tc>
          <w:tcPr>
            <w:tcW w:w="1806" w:type="dxa"/>
          </w:tcPr>
          <w:p w14:paraId="69EC86AF" w14:textId="77777777" w:rsidR="006E4579" w:rsidRDefault="00000000">
            <w:r>
              <w:rPr>
                <w:rFonts w:ascii="Arial" w:hAnsi="Arial"/>
                <w:sz w:val="18"/>
              </w:rPr>
              <w:t>Para 14-15</w:t>
            </w:r>
          </w:p>
        </w:tc>
        <w:tc>
          <w:tcPr>
            <w:tcW w:w="1806" w:type="dxa"/>
          </w:tcPr>
          <w:p w14:paraId="31F7D412" w14:textId="77777777" w:rsidR="006E4579" w:rsidRDefault="00000000">
            <w:r>
              <w:rPr>
                <w:rFonts w:ascii="Arial" w:hAnsi="Arial"/>
                <w:sz w:val="18"/>
              </w:rPr>
              <w:t>DR E1-1 §14-19</w:t>
            </w:r>
          </w:p>
        </w:tc>
        <w:tc>
          <w:tcPr>
            <w:tcW w:w="1806" w:type="dxa"/>
          </w:tcPr>
          <w:p w14:paraId="0B8F90FB" w14:textId="77777777" w:rsidR="006E4579" w:rsidRDefault="00000000">
            <w:r>
              <w:rPr>
                <w:rFonts w:ascii="Arial" w:hAnsi="Arial"/>
                <w:sz w:val="18"/>
              </w:rPr>
              <w:t>Lampiran III</w:t>
            </w:r>
          </w:p>
        </w:tc>
      </w:tr>
      <w:tr w:rsidR="006E4579" w14:paraId="2C425BC0" w14:textId="77777777">
        <w:trPr>
          <w:jc w:val="center"/>
        </w:trPr>
        <w:tc>
          <w:tcPr>
            <w:tcW w:w="1806" w:type="dxa"/>
            <w:shd w:val="clear" w:color="auto" w:fill="F2F6FC"/>
          </w:tcPr>
          <w:p w14:paraId="76B6D528" w14:textId="77777777" w:rsidR="006E4579" w:rsidRDefault="00000000">
            <w:r>
              <w:rPr>
                <w:rFonts w:ascii="Arial" w:hAnsi="Arial"/>
                <w:sz w:val="18"/>
              </w:rPr>
              <w:t>Social Metrics</w:t>
            </w:r>
          </w:p>
        </w:tc>
        <w:tc>
          <w:tcPr>
            <w:tcW w:w="1806" w:type="dxa"/>
            <w:shd w:val="clear" w:color="auto" w:fill="F2F6FC"/>
          </w:tcPr>
          <w:p w14:paraId="5F1C571D" w14:textId="77777777" w:rsidR="006E4579" w:rsidRDefault="00000000">
            <w:r>
              <w:rPr>
                <w:rFonts w:ascii="Arial" w:hAnsi="Arial"/>
                <w:sz w:val="18"/>
              </w:rPr>
              <w:t>401/404/405/406</w:t>
            </w:r>
          </w:p>
        </w:tc>
        <w:tc>
          <w:tcPr>
            <w:tcW w:w="1806" w:type="dxa"/>
            <w:shd w:val="clear" w:color="auto" w:fill="F2F6FC"/>
          </w:tcPr>
          <w:p w14:paraId="5D46EFD7" w14:textId="77777777" w:rsidR="006E4579" w:rsidRDefault="00000000">
            <w:r>
              <w:rPr>
                <w:rFonts w:ascii="Arial" w:hAnsi="Arial"/>
                <w:sz w:val="18"/>
              </w:rPr>
              <w:t>N/A</w:t>
            </w:r>
          </w:p>
        </w:tc>
        <w:tc>
          <w:tcPr>
            <w:tcW w:w="1806" w:type="dxa"/>
            <w:shd w:val="clear" w:color="auto" w:fill="F2F6FC"/>
          </w:tcPr>
          <w:p w14:paraId="056BF210" w14:textId="77777777" w:rsidR="006E4579" w:rsidRDefault="00000000">
            <w:r>
              <w:rPr>
                <w:rFonts w:ascii="Arial" w:hAnsi="Arial"/>
                <w:sz w:val="18"/>
              </w:rPr>
              <w:t>ESRS S1</w:t>
            </w:r>
          </w:p>
        </w:tc>
        <w:tc>
          <w:tcPr>
            <w:tcW w:w="1806" w:type="dxa"/>
            <w:shd w:val="clear" w:color="auto" w:fill="F2F6FC"/>
          </w:tcPr>
          <w:p w14:paraId="1931F2F5" w14:textId="77777777" w:rsidR="006E4579" w:rsidRDefault="00000000">
            <w:r>
              <w:rPr>
                <w:rFonts w:ascii="Arial" w:hAnsi="Arial"/>
                <w:sz w:val="18"/>
              </w:rPr>
              <w:t>Lampiran IV</w:t>
            </w:r>
          </w:p>
        </w:tc>
      </w:tr>
    </w:tbl>
    <w:p w14:paraId="08C697D1" w14:textId="77777777" w:rsidR="006E4579" w:rsidRDefault="00000000">
      <w:r>
        <w:rPr>
          <w:rFonts w:ascii="Arial" w:hAnsi="Arial"/>
          <w:i/>
          <w:sz w:val="16"/>
        </w:rPr>
        <w:t>Source: Cross-reference per framework publication (GRI 2021, IFRS S2 2023, ESRS 2023, POJK 51/2017)</w:t>
      </w:r>
    </w:p>
    <w:p w14:paraId="45BACFD8" w14:textId="77777777" w:rsidR="006E4579" w:rsidRDefault="006E4579"/>
    <w:p w14:paraId="2AC45DAC" w14:textId="77777777" w:rsidR="006E4579" w:rsidRDefault="00000000">
      <w:r>
        <w:br w:type="page"/>
      </w:r>
    </w:p>
    <w:p w14:paraId="4A4A5EE8" w14:textId="77777777" w:rsidR="006E4579" w:rsidRDefault="00000000">
      <w:pPr>
        <w:pStyle w:val="Heading1"/>
        <w:spacing w:after="240"/>
      </w:pPr>
      <w:r>
        <w:rPr>
          <w:rFonts w:ascii="Arial" w:hAnsi="Arial"/>
          <w:color w:val="1B3A6B"/>
          <w:sz w:val="36"/>
        </w:rPr>
        <w:lastRenderedPageBreak/>
        <w:t>Appendix F: Glossary of Terms &amp; Abbreviations</w:t>
      </w:r>
    </w:p>
    <w:p w14:paraId="2227D8CD" w14:textId="77777777" w:rsidR="006E4579" w:rsidRDefault="00000000">
      <w:r>
        <w:rPr>
          <w:rFonts w:ascii="Arial" w:hAnsi="Arial"/>
          <w:b/>
          <w:sz w:val="20"/>
        </w:rPr>
        <w:t>Table 66: Glossary</w:t>
      </w:r>
    </w:p>
    <w:tbl>
      <w:tblPr>
        <w:tblW w:w="0" w:type="auto"/>
        <w:jc w:val="center"/>
        <w:tblLook w:val="04A0" w:firstRow="1" w:lastRow="0" w:firstColumn="1" w:lastColumn="0" w:noHBand="0" w:noVBand="1"/>
      </w:tblPr>
      <w:tblGrid>
        <w:gridCol w:w="4514"/>
        <w:gridCol w:w="4514"/>
      </w:tblGrid>
      <w:tr w:rsidR="006E4579" w14:paraId="39FFC03F" w14:textId="77777777">
        <w:trPr>
          <w:jc w:val="center"/>
        </w:trPr>
        <w:tc>
          <w:tcPr>
            <w:tcW w:w="4514" w:type="dxa"/>
            <w:shd w:val="clear" w:color="auto" w:fill="1B3A6B"/>
          </w:tcPr>
          <w:p w14:paraId="6DB5073D" w14:textId="77777777" w:rsidR="006E4579" w:rsidRDefault="00000000">
            <w:r>
              <w:rPr>
                <w:rFonts w:ascii="Arial" w:hAnsi="Arial"/>
                <w:b/>
                <w:color w:val="FFFFFF"/>
                <w:sz w:val="18"/>
              </w:rPr>
              <w:t>Term / Abbreviation</w:t>
            </w:r>
          </w:p>
        </w:tc>
        <w:tc>
          <w:tcPr>
            <w:tcW w:w="4514" w:type="dxa"/>
            <w:shd w:val="clear" w:color="auto" w:fill="1B3A6B"/>
          </w:tcPr>
          <w:p w14:paraId="54E39609" w14:textId="77777777" w:rsidR="006E4579" w:rsidRDefault="00000000">
            <w:r>
              <w:rPr>
                <w:rFonts w:ascii="Arial" w:hAnsi="Arial"/>
                <w:b/>
                <w:color w:val="FFFFFF"/>
                <w:sz w:val="18"/>
              </w:rPr>
              <w:t>Definition</w:t>
            </w:r>
          </w:p>
        </w:tc>
      </w:tr>
      <w:tr w:rsidR="006E4579" w14:paraId="1ED4DA1C" w14:textId="77777777">
        <w:trPr>
          <w:jc w:val="center"/>
        </w:trPr>
        <w:tc>
          <w:tcPr>
            <w:tcW w:w="4514" w:type="dxa"/>
          </w:tcPr>
          <w:p w14:paraId="237EF6B9" w14:textId="77777777" w:rsidR="006E4579" w:rsidRDefault="00000000">
            <w:r>
              <w:rPr>
                <w:rFonts w:ascii="Arial" w:hAnsi="Arial"/>
                <w:sz w:val="18"/>
              </w:rPr>
              <w:t>tCO₂e</w:t>
            </w:r>
          </w:p>
        </w:tc>
        <w:tc>
          <w:tcPr>
            <w:tcW w:w="4514" w:type="dxa"/>
          </w:tcPr>
          <w:p w14:paraId="58CBD5C5" w14:textId="77777777" w:rsidR="006E4579" w:rsidRDefault="00000000">
            <w:r>
              <w:rPr>
                <w:rFonts w:ascii="Arial" w:hAnsi="Arial"/>
                <w:sz w:val="18"/>
              </w:rPr>
              <w:t>Tonnes of carbon dioxide equivalent</w:t>
            </w:r>
          </w:p>
        </w:tc>
      </w:tr>
      <w:tr w:rsidR="006E4579" w14:paraId="079DB32F" w14:textId="77777777">
        <w:trPr>
          <w:jc w:val="center"/>
        </w:trPr>
        <w:tc>
          <w:tcPr>
            <w:tcW w:w="4514" w:type="dxa"/>
            <w:shd w:val="clear" w:color="auto" w:fill="F2F6FC"/>
          </w:tcPr>
          <w:p w14:paraId="66C01B18" w14:textId="77777777" w:rsidR="006E4579" w:rsidRDefault="00000000">
            <w:r>
              <w:rPr>
                <w:rFonts w:ascii="Arial" w:hAnsi="Arial"/>
                <w:sz w:val="18"/>
              </w:rPr>
              <w:t>GHG</w:t>
            </w:r>
          </w:p>
        </w:tc>
        <w:tc>
          <w:tcPr>
            <w:tcW w:w="4514" w:type="dxa"/>
            <w:shd w:val="clear" w:color="auto" w:fill="F2F6FC"/>
          </w:tcPr>
          <w:p w14:paraId="72DC4706" w14:textId="77777777" w:rsidR="006E4579" w:rsidRDefault="00000000">
            <w:r>
              <w:rPr>
                <w:rFonts w:ascii="Arial" w:hAnsi="Arial"/>
                <w:sz w:val="18"/>
              </w:rPr>
              <w:t>Greenhouse Gas</w:t>
            </w:r>
          </w:p>
        </w:tc>
      </w:tr>
      <w:tr w:rsidR="006E4579" w14:paraId="380A3146" w14:textId="77777777">
        <w:trPr>
          <w:jc w:val="center"/>
        </w:trPr>
        <w:tc>
          <w:tcPr>
            <w:tcW w:w="4514" w:type="dxa"/>
          </w:tcPr>
          <w:p w14:paraId="47EFCB3F" w14:textId="77777777" w:rsidR="006E4579" w:rsidRDefault="00000000">
            <w:r>
              <w:rPr>
                <w:rFonts w:ascii="Arial" w:hAnsi="Arial"/>
                <w:sz w:val="18"/>
              </w:rPr>
              <w:t>GWP</w:t>
            </w:r>
          </w:p>
        </w:tc>
        <w:tc>
          <w:tcPr>
            <w:tcW w:w="4514" w:type="dxa"/>
          </w:tcPr>
          <w:p w14:paraId="5554FA11" w14:textId="77777777" w:rsidR="006E4579" w:rsidRDefault="00000000">
            <w:r>
              <w:rPr>
                <w:rFonts w:ascii="Arial" w:hAnsi="Arial"/>
                <w:sz w:val="18"/>
              </w:rPr>
              <w:t>Global Warming Potential (100-year, IPCC AR6)</w:t>
            </w:r>
          </w:p>
        </w:tc>
      </w:tr>
      <w:tr w:rsidR="006E4579" w14:paraId="1C9B4182" w14:textId="77777777">
        <w:trPr>
          <w:jc w:val="center"/>
        </w:trPr>
        <w:tc>
          <w:tcPr>
            <w:tcW w:w="4514" w:type="dxa"/>
            <w:shd w:val="clear" w:color="auto" w:fill="F2F6FC"/>
          </w:tcPr>
          <w:p w14:paraId="7A110EC3" w14:textId="77777777" w:rsidR="006E4579" w:rsidRDefault="00000000">
            <w:r>
              <w:rPr>
                <w:rFonts w:ascii="Arial" w:hAnsi="Arial"/>
                <w:sz w:val="18"/>
              </w:rPr>
              <w:t>PCAF</w:t>
            </w:r>
          </w:p>
        </w:tc>
        <w:tc>
          <w:tcPr>
            <w:tcW w:w="4514" w:type="dxa"/>
            <w:shd w:val="clear" w:color="auto" w:fill="F2F6FC"/>
          </w:tcPr>
          <w:p w14:paraId="7B7041DA" w14:textId="77777777" w:rsidR="006E4579" w:rsidRDefault="00000000">
            <w:r>
              <w:rPr>
                <w:rFonts w:ascii="Arial" w:hAnsi="Arial"/>
                <w:sz w:val="18"/>
              </w:rPr>
              <w:t>Partnership for Carbon Accounting Financials</w:t>
            </w:r>
          </w:p>
        </w:tc>
      </w:tr>
      <w:tr w:rsidR="006E4579" w14:paraId="68B0ECD4" w14:textId="77777777">
        <w:trPr>
          <w:jc w:val="center"/>
        </w:trPr>
        <w:tc>
          <w:tcPr>
            <w:tcW w:w="4514" w:type="dxa"/>
          </w:tcPr>
          <w:p w14:paraId="0B2CCEB4" w14:textId="77777777" w:rsidR="006E4579" w:rsidRDefault="00000000">
            <w:r>
              <w:rPr>
                <w:rFonts w:ascii="Arial" w:hAnsi="Arial"/>
                <w:sz w:val="18"/>
              </w:rPr>
              <w:t>SBTi</w:t>
            </w:r>
          </w:p>
        </w:tc>
        <w:tc>
          <w:tcPr>
            <w:tcW w:w="4514" w:type="dxa"/>
          </w:tcPr>
          <w:p w14:paraId="510284E4" w14:textId="77777777" w:rsidR="006E4579" w:rsidRDefault="00000000">
            <w:r>
              <w:rPr>
                <w:rFonts w:ascii="Arial" w:hAnsi="Arial"/>
                <w:sz w:val="18"/>
              </w:rPr>
              <w:t>Science Based Targets initiative</w:t>
            </w:r>
          </w:p>
        </w:tc>
      </w:tr>
      <w:tr w:rsidR="006E4579" w14:paraId="13BF2EE8" w14:textId="77777777">
        <w:trPr>
          <w:jc w:val="center"/>
        </w:trPr>
        <w:tc>
          <w:tcPr>
            <w:tcW w:w="4514" w:type="dxa"/>
            <w:shd w:val="clear" w:color="auto" w:fill="F2F6FC"/>
          </w:tcPr>
          <w:p w14:paraId="667A5E39" w14:textId="77777777" w:rsidR="006E4579" w:rsidRDefault="00000000">
            <w:r>
              <w:rPr>
                <w:rFonts w:ascii="Arial" w:hAnsi="Arial"/>
                <w:sz w:val="18"/>
              </w:rPr>
              <w:t>NZBA</w:t>
            </w:r>
          </w:p>
        </w:tc>
        <w:tc>
          <w:tcPr>
            <w:tcW w:w="4514" w:type="dxa"/>
            <w:shd w:val="clear" w:color="auto" w:fill="F2F6FC"/>
          </w:tcPr>
          <w:p w14:paraId="7F7DAF68" w14:textId="77777777" w:rsidR="006E4579" w:rsidRDefault="00000000">
            <w:r>
              <w:rPr>
                <w:rFonts w:ascii="Arial" w:hAnsi="Arial"/>
                <w:sz w:val="18"/>
              </w:rPr>
              <w:t>Net-Zero Banking Alliance</w:t>
            </w:r>
          </w:p>
        </w:tc>
      </w:tr>
      <w:tr w:rsidR="006E4579" w14:paraId="09BB7C53" w14:textId="77777777">
        <w:trPr>
          <w:jc w:val="center"/>
        </w:trPr>
        <w:tc>
          <w:tcPr>
            <w:tcW w:w="4514" w:type="dxa"/>
          </w:tcPr>
          <w:p w14:paraId="28773327" w14:textId="77777777" w:rsidR="006E4579" w:rsidRDefault="00000000">
            <w:r>
              <w:rPr>
                <w:rFonts w:ascii="Arial" w:hAnsi="Arial"/>
                <w:sz w:val="18"/>
              </w:rPr>
              <w:t>NDC</w:t>
            </w:r>
          </w:p>
        </w:tc>
        <w:tc>
          <w:tcPr>
            <w:tcW w:w="4514" w:type="dxa"/>
          </w:tcPr>
          <w:p w14:paraId="7FF233D5" w14:textId="77777777" w:rsidR="006E4579" w:rsidRDefault="00000000">
            <w:r>
              <w:rPr>
                <w:rFonts w:ascii="Arial" w:hAnsi="Arial"/>
                <w:sz w:val="18"/>
              </w:rPr>
              <w:t>Nationally Determined Contribution (Paris Agreement)</w:t>
            </w:r>
          </w:p>
        </w:tc>
      </w:tr>
      <w:tr w:rsidR="006E4579" w14:paraId="003104C4" w14:textId="77777777">
        <w:trPr>
          <w:jc w:val="center"/>
        </w:trPr>
        <w:tc>
          <w:tcPr>
            <w:tcW w:w="4514" w:type="dxa"/>
            <w:shd w:val="clear" w:color="auto" w:fill="F2F6FC"/>
          </w:tcPr>
          <w:p w14:paraId="789D3F0F" w14:textId="77777777" w:rsidR="006E4579" w:rsidRDefault="00000000">
            <w:r>
              <w:rPr>
                <w:rFonts w:ascii="Arial" w:hAnsi="Arial"/>
                <w:sz w:val="18"/>
              </w:rPr>
              <w:t>RECs</w:t>
            </w:r>
          </w:p>
        </w:tc>
        <w:tc>
          <w:tcPr>
            <w:tcW w:w="4514" w:type="dxa"/>
            <w:shd w:val="clear" w:color="auto" w:fill="F2F6FC"/>
          </w:tcPr>
          <w:p w14:paraId="43892A85" w14:textId="77777777" w:rsidR="006E4579" w:rsidRDefault="00000000">
            <w:r>
              <w:rPr>
                <w:rFonts w:ascii="Arial" w:hAnsi="Arial"/>
                <w:sz w:val="18"/>
              </w:rPr>
              <w:t>Renewable Energy Certificates</w:t>
            </w:r>
          </w:p>
        </w:tc>
      </w:tr>
      <w:tr w:rsidR="006E4579" w14:paraId="78932E3E" w14:textId="77777777">
        <w:trPr>
          <w:jc w:val="center"/>
        </w:trPr>
        <w:tc>
          <w:tcPr>
            <w:tcW w:w="4514" w:type="dxa"/>
          </w:tcPr>
          <w:p w14:paraId="73907B83" w14:textId="77777777" w:rsidR="006E4579" w:rsidRDefault="00000000">
            <w:r>
              <w:rPr>
                <w:rFonts w:ascii="Arial" w:hAnsi="Arial"/>
                <w:sz w:val="18"/>
              </w:rPr>
              <w:t>PPA</w:t>
            </w:r>
          </w:p>
        </w:tc>
        <w:tc>
          <w:tcPr>
            <w:tcW w:w="4514" w:type="dxa"/>
          </w:tcPr>
          <w:p w14:paraId="08DF4628" w14:textId="77777777" w:rsidR="006E4579" w:rsidRDefault="00000000">
            <w:r>
              <w:rPr>
                <w:rFonts w:ascii="Arial" w:hAnsi="Arial"/>
                <w:sz w:val="18"/>
              </w:rPr>
              <w:t>Power Purchase Agreement</w:t>
            </w:r>
          </w:p>
        </w:tc>
      </w:tr>
      <w:tr w:rsidR="006E4579" w14:paraId="0E57F22B" w14:textId="77777777">
        <w:trPr>
          <w:jc w:val="center"/>
        </w:trPr>
        <w:tc>
          <w:tcPr>
            <w:tcW w:w="4514" w:type="dxa"/>
            <w:shd w:val="clear" w:color="auto" w:fill="F2F6FC"/>
          </w:tcPr>
          <w:p w14:paraId="4161E5D4" w14:textId="77777777" w:rsidR="006E4579" w:rsidRDefault="00000000">
            <w:r>
              <w:rPr>
                <w:rFonts w:ascii="Arial" w:hAnsi="Arial"/>
                <w:sz w:val="18"/>
              </w:rPr>
              <w:t>EF</w:t>
            </w:r>
          </w:p>
        </w:tc>
        <w:tc>
          <w:tcPr>
            <w:tcW w:w="4514" w:type="dxa"/>
            <w:shd w:val="clear" w:color="auto" w:fill="F2F6FC"/>
          </w:tcPr>
          <w:p w14:paraId="63BABFAB" w14:textId="77777777" w:rsidR="006E4579" w:rsidRDefault="00000000">
            <w:r>
              <w:rPr>
                <w:rFonts w:ascii="Arial" w:hAnsi="Arial"/>
                <w:sz w:val="18"/>
              </w:rPr>
              <w:t>Emission Factor</w:t>
            </w:r>
          </w:p>
        </w:tc>
      </w:tr>
      <w:tr w:rsidR="006E4579" w14:paraId="0EA365CB" w14:textId="77777777">
        <w:trPr>
          <w:jc w:val="center"/>
        </w:trPr>
        <w:tc>
          <w:tcPr>
            <w:tcW w:w="4514" w:type="dxa"/>
          </w:tcPr>
          <w:p w14:paraId="5EF21670" w14:textId="77777777" w:rsidR="006E4579" w:rsidRDefault="00000000">
            <w:r>
              <w:rPr>
                <w:rFonts w:ascii="Arial" w:hAnsi="Arial"/>
                <w:sz w:val="18"/>
              </w:rPr>
              <w:t>FTE</w:t>
            </w:r>
          </w:p>
        </w:tc>
        <w:tc>
          <w:tcPr>
            <w:tcW w:w="4514" w:type="dxa"/>
          </w:tcPr>
          <w:p w14:paraId="0853B715" w14:textId="77777777" w:rsidR="006E4579" w:rsidRDefault="00000000">
            <w:r>
              <w:rPr>
                <w:rFonts w:ascii="Arial" w:hAnsi="Arial"/>
                <w:sz w:val="18"/>
              </w:rPr>
              <w:t>Full-Time Equivalent (headcount)</w:t>
            </w:r>
          </w:p>
        </w:tc>
      </w:tr>
      <w:tr w:rsidR="006E4579" w14:paraId="59ADE7FB" w14:textId="77777777">
        <w:trPr>
          <w:jc w:val="center"/>
        </w:trPr>
        <w:tc>
          <w:tcPr>
            <w:tcW w:w="4514" w:type="dxa"/>
            <w:shd w:val="clear" w:color="auto" w:fill="F2F6FC"/>
          </w:tcPr>
          <w:p w14:paraId="2D84C2F6" w14:textId="77777777" w:rsidR="006E4579" w:rsidRDefault="00000000">
            <w:r>
              <w:rPr>
                <w:rFonts w:ascii="Arial" w:hAnsi="Arial"/>
                <w:sz w:val="18"/>
              </w:rPr>
              <w:t>YoY</w:t>
            </w:r>
          </w:p>
        </w:tc>
        <w:tc>
          <w:tcPr>
            <w:tcW w:w="4514" w:type="dxa"/>
            <w:shd w:val="clear" w:color="auto" w:fill="F2F6FC"/>
          </w:tcPr>
          <w:p w14:paraId="59382345" w14:textId="77777777" w:rsidR="006E4579" w:rsidRDefault="00000000">
            <w:r>
              <w:rPr>
                <w:rFonts w:ascii="Arial" w:hAnsi="Arial"/>
                <w:sz w:val="18"/>
              </w:rPr>
              <w:t>Year-over-Year</w:t>
            </w:r>
          </w:p>
        </w:tc>
      </w:tr>
      <w:tr w:rsidR="006E4579" w14:paraId="7B44537B" w14:textId="77777777">
        <w:trPr>
          <w:jc w:val="center"/>
        </w:trPr>
        <w:tc>
          <w:tcPr>
            <w:tcW w:w="4514" w:type="dxa"/>
          </w:tcPr>
          <w:p w14:paraId="7FA960D2" w14:textId="77777777" w:rsidR="006E4579" w:rsidRDefault="00000000">
            <w:r>
              <w:rPr>
                <w:rFonts w:ascii="Arial" w:hAnsi="Arial"/>
                <w:sz w:val="18"/>
              </w:rPr>
              <w:t>EEIO</w:t>
            </w:r>
          </w:p>
        </w:tc>
        <w:tc>
          <w:tcPr>
            <w:tcW w:w="4514" w:type="dxa"/>
          </w:tcPr>
          <w:p w14:paraId="1FF453EC" w14:textId="77777777" w:rsidR="006E4579" w:rsidRDefault="00000000">
            <w:r>
              <w:rPr>
                <w:rFonts w:ascii="Arial" w:hAnsi="Arial"/>
                <w:sz w:val="18"/>
              </w:rPr>
              <w:t>Environmentally Extended Input-Output (model)</w:t>
            </w:r>
          </w:p>
        </w:tc>
      </w:tr>
      <w:tr w:rsidR="006E4579" w14:paraId="17764E35" w14:textId="77777777">
        <w:trPr>
          <w:jc w:val="center"/>
        </w:trPr>
        <w:tc>
          <w:tcPr>
            <w:tcW w:w="4514" w:type="dxa"/>
            <w:shd w:val="clear" w:color="auto" w:fill="F2F6FC"/>
          </w:tcPr>
          <w:p w14:paraId="07439238" w14:textId="77777777" w:rsidR="006E4579" w:rsidRDefault="00000000">
            <w:r>
              <w:rPr>
                <w:rFonts w:ascii="Arial" w:hAnsi="Arial"/>
                <w:sz w:val="18"/>
              </w:rPr>
              <w:t>GRI</w:t>
            </w:r>
          </w:p>
        </w:tc>
        <w:tc>
          <w:tcPr>
            <w:tcW w:w="4514" w:type="dxa"/>
            <w:shd w:val="clear" w:color="auto" w:fill="F2F6FC"/>
          </w:tcPr>
          <w:p w14:paraId="464D1DA0" w14:textId="77777777" w:rsidR="006E4579" w:rsidRDefault="00000000">
            <w:r>
              <w:rPr>
                <w:rFonts w:ascii="Arial" w:hAnsi="Arial"/>
                <w:sz w:val="18"/>
              </w:rPr>
              <w:t>Global Reporting Initiative</w:t>
            </w:r>
          </w:p>
        </w:tc>
      </w:tr>
      <w:tr w:rsidR="006E4579" w14:paraId="6DF94C7A" w14:textId="77777777">
        <w:trPr>
          <w:jc w:val="center"/>
        </w:trPr>
        <w:tc>
          <w:tcPr>
            <w:tcW w:w="4514" w:type="dxa"/>
          </w:tcPr>
          <w:p w14:paraId="30A2FAE1" w14:textId="77777777" w:rsidR="006E4579" w:rsidRDefault="00000000">
            <w:r>
              <w:rPr>
                <w:rFonts w:ascii="Arial" w:hAnsi="Arial"/>
                <w:sz w:val="18"/>
              </w:rPr>
              <w:t>IFRS S2</w:t>
            </w:r>
          </w:p>
        </w:tc>
        <w:tc>
          <w:tcPr>
            <w:tcW w:w="4514" w:type="dxa"/>
          </w:tcPr>
          <w:p w14:paraId="777F6958" w14:textId="77777777" w:rsidR="006E4579" w:rsidRDefault="00000000">
            <w:r>
              <w:rPr>
                <w:rFonts w:ascii="Arial" w:hAnsi="Arial"/>
                <w:sz w:val="18"/>
              </w:rPr>
              <w:t>IFRS Sustainability Disclosure Standard S2 (Climate)</w:t>
            </w:r>
          </w:p>
        </w:tc>
      </w:tr>
      <w:tr w:rsidR="006E4579" w14:paraId="798F37B2" w14:textId="77777777">
        <w:trPr>
          <w:jc w:val="center"/>
        </w:trPr>
        <w:tc>
          <w:tcPr>
            <w:tcW w:w="4514" w:type="dxa"/>
            <w:shd w:val="clear" w:color="auto" w:fill="F2F6FC"/>
          </w:tcPr>
          <w:p w14:paraId="0FF7D9BC" w14:textId="77777777" w:rsidR="006E4579" w:rsidRDefault="00000000">
            <w:r>
              <w:rPr>
                <w:rFonts w:ascii="Arial" w:hAnsi="Arial"/>
                <w:sz w:val="18"/>
              </w:rPr>
              <w:t>ESRS E1</w:t>
            </w:r>
          </w:p>
        </w:tc>
        <w:tc>
          <w:tcPr>
            <w:tcW w:w="4514" w:type="dxa"/>
            <w:shd w:val="clear" w:color="auto" w:fill="F2F6FC"/>
          </w:tcPr>
          <w:p w14:paraId="3268CD0D" w14:textId="77777777" w:rsidR="006E4579" w:rsidRDefault="00000000">
            <w:r>
              <w:rPr>
                <w:rFonts w:ascii="Arial" w:hAnsi="Arial"/>
                <w:sz w:val="18"/>
              </w:rPr>
              <w:t>European Sustainability Reporting Standard E1 (Climate Change)</w:t>
            </w:r>
          </w:p>
        </w:tc>
      </w:tr>
      <w:tr w:rsidR="006E4579" w14:paraId="57DF01C5" w14:textId="77777777">
        <w:trPr>
          <w:jc w:val="center"/>
        </w:trPr>
        <w:tc>
          <w:tcPr>
            <w:tcW w:w="4514" w:type="dxa"/>
          </w:tcPr>
          <w:p w14:paraId="0658AEEA" w14:textId="77777777" w:rsidR="006E4579" w:rsidRDefault="00000000">
            <w:r>
              <w:rPr>
                <w:rFonts w:ascii="Arial" w:hAnsi="Arial"/>
                <w:sz w:val="18"/>
              </w:rPr>
              <w:t>CSRD</w:t>
            </w:r>
          </w:p>
        </w:tc>
        <w:tc>
          <w:tcPr>
            <w:tcW w:w="4514" w:type="dxa"/>
          </w:tcPr>
          <w:p w14:paraId="133AF53E" w14:textId="77777777" w:rsidR="006E4579" w:rsidRDefault="00000000">
            <w:r>
              <w:rPr>
                <w:rFonts w:ascii="Arial" w:hAnsi="Arial"/>
                <w:sz w:val="18"/>
              </w:rPr>
              <w:t>Corporate Sustainability Reporting Directive (EU)</w:t>
            </w:r>
          </w:p>
        </w:tc>
      </w:tr>
      <w:tr w:rsidR="006E4579" w14:paraId="6BC7CE1A" w14:textId="77777777">
        <w:trPr>
          <w:jc w:val="center"/>
        </w:trPr>
        <w:tc>
          <w:tcPr>
            <w:tcW w:w="4514" w:type="dxa"/>
            <w:shd w:val="clear" w:color="auto" w:fill="F2F6FC"/>
          </w:tcPr>
          <w:p w14:paraId="2153CFE4" w14:textId="77777777" w:rsidR="006E4579" w:rsidRDefault="00000000">
            <w:r>
              <w:rPr>
                <w:rFonts w:ascii="Arial" w:hAnsi="Arial"/>
                <w:sz w:val="18"/>
              </w:rPr>
              <w:t>OJK</w:t>
            </w:r>
          </w:p>
        </w:tc>
        <w:tc>
          <w:tcPr>
            <w:tcW w:w="4514" w:type="dxa"/>
            <w:shd w:val="clear" w:color="auto" w:fill="F2F6FC"/>
          </w:tcPr>
          <w:p w14:paraId="275B11D5" w14:textId="77777777" w:rsidR="006E4579" w:rsidRDefault="00000000">
            <w:r>
              <w:rPr>
                <w:rFonts w:ascii="Arial" w:hAnsi="Arial"/>
                <w:sz w:val="18"/>
              </w:rPr>
              <w:t>Otoritas Jasa Keuangan (Financial Services Authority, Indonesia)</w:t>
            </w:r>
          </w:p>
        </w:tc>
      </w:tr>
      <w:tr w:rsidR="006E4579" w14:paraId="34C9B509" w14:textId="77777777">
        <w:trPr>
          <w:jc w:val="center"/>
        </w:trPr>
        <w:tc>
          <w:tcPr>
            <w:tcW w:w="4514" w:type="dxa"/>
          </w:tcPr>
          <w:p w14:paraId="6B3A9E59" w14:textId="77777777" w:rsidR="006E4579" w:rsidRDefault="00000000">
            <w:r>
              <w:rPr>
                <w:rFonts w:ascii="Arial" w:hAnsi="Arial"/>
                <w:sz w:val="18"/>
              </w:rPr>
              <w:t>POJK</w:t>
            </w:r>
          </w:p>
        </w:tc>
        <w:tc>
          <w:tcPr>
            <w:tcW w:w="4514" w:type="dxa"/>
          </w:tcPr>
          <w:p w14:paraId="42D9B38B" w14:textId="77777777" w:rsidR="006E4579" w:rsidRDefault="00000000">
            <w:r>
              <w:rPr>
                <w:rFonts w:ascii="Arial" w:hAnsi="Arial"/>
                <w:sz w:val="18"/>
              </w:rPr>
              <w:t>Peraturan Otoritas Jasa Keuangan (OJK Regulation)</w:t>
            </w:r>
          </w:p>
        </w:tc>
      </w:tr>
      <w:tr w:rsidR="006E4579" w14:paraId="6479B578" w14:textId="77777777">
        <w:trPr>
          <w:jc w:val="center"/>
        </w:trPr>
        <w:tc>
          <w:tcPr>
            <w:tcW w:w="4514" w:type="dxa"/>
            <w:shd w:val="clear" w:color="auto" w:fill="F2F6FC"/>
          </w:tcPr>
          <w:p w14:paraId="3932F66F" w14:textId="77777777" w:rsidR="006E4579" w:rsidRDefault="00000000">
            <w:r>
              <w:rPr>
                <w:rFonts w:ascii="Arial" w:hAnsi="Arial"/>
                <w:sz w:val="18"/>
              </w:rPr>
              <w:t>PSPK</w:t>
            </w:r>
          </w:p>
        </w:tc>
        <w:tc>
          <w:tcPr>
            <w:tcW w:w="4514" w:type="dxa"/>
            <w:shd w:val="clear" w:color="auto" w:fill="F2F6FC"/>
          </w:tcPr>
          <w:p w14:paraId="7324C3D5" w14:textId="77777777" w:rsidR="006E4579" w:rsidRDefault="00000000">
            <w:r>
              <w:rPr>
                <w:rFonts w:ascii="Arial" w:hAnsi="Arial"/>
                <w:sz w:val="18"/>
              </w:rPr>
              <w:t>Penerapan Keuangan Berkelanjutan (Sustainable Finance Implementation)</w:t>
            </w:r>
          </w:p>
        </w:tc>
      </w:tr>
      <w:tr w:rsidR="006E4579" w14:paraId="08369D08" w14:textId="77777777">
        <w:trPr>
          <w:jc w:val="center"/>
        </w:trPr>
        <w:tc>
          <w:tcPr>
            <w:tcW w:w="4514" w:type="dxa"/>
          </w:tcPr>
          <w:p w14:paraId="2C33966F" w14:textId="77777777" w:rsidR="006E4579" w:rsidRDefault="00000000">
            <w:r>
              <w:rPr>
                <w:rFonts w:ascii="Arial" w:hAnsi="Arial"/>
                <w:sz w:val="18"/>
              </w:rPr>
              <w:t>PLN</w:t>
            </w:r>
          </w:p>
        </w:tc>
        <w:tc>
          <w:tcPr>
            <w:tcW w:w="4514" w:type="dxa"/>
          </w:tcPr>
          <w:p w14:paraId="521EF1FF" w14:textId="77777777" w:rsidR="006E4579" w:rsidRDefault="00000000">
            <w:r>
              <w:rPr>
                <w:rFonts w:ascii="Arial" w:hAnsi="Arial"/>
                <w:sz w:val="18"/>
              </w:rPr>
              <w:t>Perusahaan Listrik Negara (State Electricity Company, Indonesia)</w:t>
            </w:r>
          </w:p>
        </w:tc>
      </w:tr>
      <w:tr w:rsidR="006E4579" w14:paraId="1A09BDC5" w14:textId="77777777">
        <w:trPr>
          <w:jc w:val="center"/>
        </w:trPr>
        <w:tc>
          <w:tcPr>
            <w:tcW w:w="4514" w:type="dxa"/>
            <w:shd w:val="clear" w:color="auto" w:fill="F2F6FC"/>
          </w:tcPr>
          <w:p w14:paraId="3232E3C5" w14:textId="77777777" w:rsidR="006E4579" w:rsidRDefault="00000000">
            <w:r>
              <w:rPr>
                <w:rFonts w:ascii="Arial" w:hAnsi="Arial"/>
                <w:sz w:val="18"/>
              </w:rPr>
              <w:t>DJK-ESDM</w:t>
            </w:r>
          </w:p>
        </w:tc>
        <w:tc>
          <w:tcPr>
            <w:tcW w:w="4514" w:type="dxa"/>
            <w:shd w:val="clear" w:color="auto" w:fill="F2F6FC"/>
          </w:tcPr>
          <w:p w14:paraId="6558C851" w14:textId="77777777" w:rsidR="006E4579" w:rsidRDefault="00000000">
            <w:r>
              <w:rPr>
                <w:rFonts w:ascii="Arial" w:hAnsi="Arial"/>
                <w:sz w:val="18"/>
              </w:rPr>
              <w:t>Directorate General of Electricity, Ministry of Energy</w:t>
            </w:r>
          </w:p>
        </w:tc>
      </w:tr>
    </w:tbl>
    <w:p w14:paraId="02C1E917" w14:textId="77777777" w:rsidR="006E4579" w:rsidRDefault="00000000">
      <w:r>
        <w:rPr>
          <w:rFonts w:ascii="Arial" w:hAnsi="Arial"/>
          <w:i/>
          <w:sz w:val="16"/>
        </w:rPr>
        <w:t>Source: Compiled from GHG Protocol, PCAF Standard, and regulatory publications</w:t>
      </w:r>
    </w:p>
    <w:p w14:paraId="6417C582" w14:textId="77777777" w:rsidR="006E4579" w:rsidRDefault="006E4579"/>
    <w:sectPr w:rsidR="006E4579" w:rsidSect="00034616">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2B0ED" w14:textId="77777777" w:rsidR="00402B15" w:rsidRDefault="00402B15">
      <w:pPr>
        <w:spacing w:after="0" w:line="240" w:lineRule="auto"/>
      </w:pPr>
      <w:r>
        <w:separator/>
      </w:r>
    </w:p>
  </w:endnote>
  <w:endnote w:type="continuationSeparator" w:id="0">
    <w:p w14:paraId="2A6FC2D7" w14:textId="77777777" w:rsidR="00402B15" w:rsidRDefault="00402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3B60" w14:textId="36DFBF76" w:rsidR="006E4579" w:rsidRDefault="00000000">
    <w:pPr>
      <w:pStyle w:val="Footer"/>
    </w:pPr>
    <w:r>
      <w:rPr>
        <w:rFonts w:ascii="Arial" w:hAnsi="Arial"/>
        <w:color w:val="808080"/>
        <w:sz w:val="18"/>
      </w:rPr>
      <w:t>ESG Report MULTI_FRAMEWORK 2024</w:t>
    </w:r>
    <w:r>
      <w:tab/>
    </w:r>
    <w:r>
      <w:tab/>
    </w:r>
    <w:r>
      <w:rPr>
        <w:color w:val="808080"/>
        <w:sz w:val="18"/>
      </w:rPr>
      <w:t xml:space="preserve">Page </w:t>
    </w:r>
    <w:r>
      <w:rPr>
        <w:color w:val="808080"/>
        <w:sz w:val="18"/>
      </w:rPr>
      <w:fldChar w:fldCharType="begin"/>
    </w:r>
    <w:r>
      <w:rPr>
        <w:color w:val="808080"/>
        <w:sz w:val="18"/>
      </w:rPr>
      <w:instrText xml:space="preserve"> PAGE </w:instrText>
    </w:r>
    <w:r w:rsidR="00AE1B64">
      <w:rPr>
        <w:color w:val="808080"/>
        <w:sz w:val="18"/>
      </w:rPr>
      <w:fldChar w:fldCharType="separate"/>
    </w:r>
    <w:r w:rsidR="00AE1B64">
      <w:rPr>
        <w:noProof/>
        <w:color w:val="808080"/>
        <w:sz w:val="18"/>
      </w:rPr>
      <w:t>2</w:t>
    </w:r>
    <w:r>
      <w:rPr>
        <w:color w:val="808080"/>
        <w:sz w:val="18"/>
      </w:rPr>
      <w:fldChar w:fldCharType="end"/>
    </w:r>
    <w:r>
      <w:rPr>
        <w:color w:val="808080"/>
        <w:sz w:val="18"/>
      </w:rPr>
      <w:t xml:space="preserve"> of </w:t>
    </w:r>
    <w:r>
      <w:rPr>
        <w:color w:val="808080"/>
        <w:sz w:val="18"/>
      </w:rPr>
      <w:fldChar w:fldCharType="begin"/>
    </w:r>
    <w:r>
      <w:rPr>
        <w:color w:val="808080"/>
        <w:sz w:val="18"/>
      </w:rPr>
      <w:instrText xml:space="preserve"> NUMPAGES </w:instrText>
    </w:r>
    <w:r w:rsidR="00AE1B64">
      <w:rPr>
        <w:color w:val="808080"/>
        <w:sz w:val="18"/>
      </w:rPr>
      <w:fldChar w:fldCharType="separate"/>
    </w:r>
    <w:r w:rsidR="00AE1B64">
      <w:rPr>
        <w:noProof/>
        <w:color w:val="808080"/>
        <w:sz w:val="18"/>
      </w:rPr>
      <w:t>3</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FB301" w14:textId="77777777" w:rsidR="00402B15" w:rsidRDefault="00402B15">
      <w:pPr>
        <w:spacing w:after="0" w:line="240" w:lineRule="auto"/>
      </w:pPr>
      <w:r>
        <w:separator/>
      </w:r>
    </w:p>
  </w:footnote>
  <w:footnote w:type="continuationSeparator" w:id="0">
    <w:p w14:paraId="2D29C3F6" w14:textId="77777777" w:rsidR="00402B15" w:rsidRDefault="00402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93F28" w14:textId="77777777" w:rsidR="006E4579" w:rsidRDefault="00000000">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927969">
    <w:abstractNumId w:val="8"/>
  </w:num>
  <w:num w:numId="2" w16cid:durableId="992561883">
    <w:abstractNumId w:val="6"/>
  </w:num>
  <w:num w:numId="3" w16cid:durableId="2086104039">
    <w:abstractNumId w:val="5"/>
  </w:num>
  <w:num w:numId="4" w16cid:durableId="2081587003">
    <w:abstractNumId w:val="4"/>
  </w:num>
  <w:num w:numId="5" w16cid:durableId="693505789">
    <w:abstractNumId w:val="7"/>
  </w:num>
  <w:num w:numId="6" w16cid:durableId="2021852225">
    <w:abstractNumId w:val="3"/>
  </w:num>
  <w:num w:numId="7" w16cid:durableId="1829662493">
    <w:abstractNumId w:val="2"/>
  </w:num>
  <w:num w:numId="8" w16cid:durableId="794953038">
    <w:abstractNumId w:val="1"/>
  </w:num>
  <w:num w:numId="9" w16cid:durableId="152601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B15"/>
    <w:rsid w:val="006E4579"/>
    <w:rsid w:val="00752EE4"/>
    <w:rsid w:val="00AA1D8D"/>
    <w:rsid w:val="00AE1B6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FA6969-1314-435E-AB65-A8A12820B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76</Pages>
  <Words>19354</Words>
  <Characters>110320</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arn:aws:states:us-east-1:061039769766:execution:ESGReportGenerationStateMachine:946a8d3a-397d-40e0-9894-fd3c392e8dc3</dc:description>
  <cp:lastModifiedBy>Raditya Rahardyansyah Rifat</cp:lastModifiedBy>
  <cp:revision>2</cp:revision>
  <dcterms:created xsi:type="dcterms:W3CDTF">2013-12-23T23:15:00Z</dcterms:created>
  <dcterms:modified xsi:type="dcterms:W3CDTF">2026-06-12T04:11:00Z</dcterms:modified>
  <cp:category>ESG Sustainability Report</cp:category>
</cp:coreProperties>
</file>