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2026-06-12 04:53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separate"/>
      </w:r>
      <w:r>
        <w:rPr>
          <w:i/>
          <w:color w:val="999999"/>
        </w:rPr>
        <w:t>Table of Contents — Update this field (Ctrl+A → F9)</w:t>
      </w:r>
      <w:r>
        <w:fldChar w:fldCharType="end"/>
      </w:r>
    </w:p>
    <w:p>
      <w:r>
        <w:br w:type="page"/>
      </w:r>
    </w:p>
    <w:p>
      <w:r>
        <w:br w:type="page"/>
      </w:r>
    </w:p>
    <w:p>
      <w:pPr>
        <w:pStyle w:val="Heading1"/>
        <w:keepNext/>
        <w:spacing w:before="480" w:after="240"/>
      </w:pPr>
      <w:r>
        <w:rPr>
          <w:rFonts w:ascii="Arial" w:hAnsi="Arial"/>
          <w:b/>
          <w:color w:val="1B3A6B"/>
          <w:sz w:val="36"/>
        </w:rPr>
        <w:t>Executive Summary</w:t>
      </w:r>
    </w:p>
    <w:p>
      <w:pPr>
        <w:sectPr>
          <w:headerReference w:type="default" r:id="rId9"/>
          <w:footerReference w:type="default" r:id="rId10"/>
          <w:pgSz w:w="11909" w:h="16834"/>
          <w:pgMar w:top="1440" w:right="1440" w:bottom="1440" w:left="1440" w:header="720" w:footer="720" w:gutter="0"/>
          <w:cols w:space="720"/>
          <w:titlePg/>
          <w:docGrid w:linePitch="360"/>
        </w:sectPr>
      </w:pPr>
    </w:p>
    <w:p>
      <w:pPr>
        <w:jc w:val="center"/>
      </w:pPr>
      <w:r>
        <w:drawing>
          <wp:inline xmlns:a="http://schemas.openxmlformats.org/drawingml/2006/main" xmlns:pic="http://schemas.openxmlformats.org/drawingml/2006/picture">
            <wp:extent cx="8686800" cy="407243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686800" cy="4072436"/>
                    </a:xfrm>
                    <a:prstGeom prst="rect"/>
                  </pic:spPr>
                </pic:pic>
              </a:graphicData>
            </a:graphic>
          </wp:inline>
        </w:drawing>
      </w:r>
    </w:p>
    <w:p>
      <w:pPr>
        <w:sectPr>
          <w:pgSz w:w="16834" w:h="11909" w:orient="landscape"/>
          <w:pgMar w:top="850" w:right="850" w:bottom="850" w:left="850" w:header="720" w:footer="720" w:gutter="0"/>
          <w:cols w:space="720"/>
          <w:titlePg/>
          <w:docGrid w:linePitch="360"/>
        </w:sectPr>
      </w:pPr>
    </w:p>
    <w:p>
      <w:r>
        <w:br w:type="page"/>
      </w:r>
    </w:p>
    <w:p>
      <w:pPr>
        <w:pStyle w:val="Heading2"/>
        <w:keepNext/>
        <w:spacing w:before="360" w:after="160"/>
      </w:pPr>
      <w:r>
        <w:rPr>
          <w:rFonts w:ascii="Arial" w:hAnsi="Arial"/>
          <w:b/>
          <w:color w:val="3D6094"/>
          <w:sz w:val="28"/>
        </w:rPr>
        <w:t>Strategic Brief</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21976797.3</w:t>
            </w:r>
            <w:r>
              <w:rPr>
                <w:color w:val="757575"/>
                <w:sz w:val="18"/>
              </w:rPr>
              <w:t xml:space="preserve"> tCO₂e</w:t>
            </w:r>
          </w:p>
        </w:tc>
        <w:tc>
          <w:tcPr>
            <w:tcW w:type="dxa" w:w="2257"/>
            <w:shd w:fill="F2F6FA" w:val="clear"/>
          </w:tcPr>
          <w:p>
            <w:pPr>
              <w:jc w:val="center"/>
            </w:pPr>
            <w:r>
              <w:rPr>
                <w:b/>
                <w:color w:val="1B3A6B"/>
                <w:sz w:val="36"/>
              </w:rPr>
              <w:t>239.400139</w:t>
            </w:r>
            <w:r>
              <w:rPr>
                <w:color w:val="757575"/>
                <w:sz w:val="18"/>
              </w:rPr>
              <w:t xml:space="preserve"> tCO₂e/IDR Bn</w:t>
            </w:r>
          </w:p>
        </w:tc>
        <w:tc>
          <w:tcPr>
            <w:tcW w:type="dxa" w:w="2257"/>
            <w:shd w:fill="F2F6FA" w:val="clear"/>
          </w:tcPr>
          <w:p>
            <w:pPr>
              <w:jc w:val="center"/>
            </w:pPr>
            <w:r>
              <w:rPr>
                <w:b/>
                <w:color w:val="1B3A6B"/>
                <w:sz w:val="36"/>
              </w:rPr>
              <w:t>3.36</w:t>
            </w:r>
            <w:r>
              <w:rPr>
                <w:color w:val="757575"/>
                <w:sz w:val="18"/>
              </w:rPr>
              <w:t xml:space="preserve"> score (1-5)</w:t>
            </w:r>
          </w:p>
        </w:tc>
        <w:tc>
          <w:tcPr>
            <w:tcW w:type="dxa" w:w="2257"/>
            <w:shd w:fill="F2F6FA" w:val="clear"/>
          </w:tcPr>
          <w:p>
            <w:pPr>
              <w:jc w:val="center"/>
            </w:pPr>
            <w:r>
              <w:rPr>
                <w:b/>
                <w:color w:val="1B3A6B"/>
                <w:sz w:val="36"/>
              </w:rPr>
              <w:t>69.52</w:t>
            </w:r>
            <w:r>
              <w:rPr>
                <w:color w:val="757575"/>
                <w:sz w:val="18"/>
              </w:rPr>
              <w:t xml:space="preserve"> %</w:t>
            </w:r>
          </w:p>
        </w:tc>
      </w:tr>
      <w:tr>
        <w:tc>
          <w:tcPr>
            <w:tcW w:type="dxa" w:w="2257"/>
            <w:shd w:fill="F2F6FA" w:val="clear"/>
          </w:tcPr>
          <w:p>
            <w:pPr>
              <w:jc w:val="center"/>
            </w:pPr>
            <w:r>
              <w:rPr>
                <w:color w:val="757575"/>
                <w:sz w:val="16"/>
              </w:rPr>
              <w:t>Total GHG Emissions (Scope 1+2+3)</w:t>
            </w:r>
          </w:p>
        </w:tc>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Financed Emissions Coverage</w:t>
            </w:r>
          </w:p>
        </w:tc>
      </w:tr>
    </w:tbl>
    <w:p/>
    <w:p>
      <w:pPr>
        <w:spacing w:after="160" w:line="276" w:lineRule="auto"/>
      </w:pPr>
      <w:r>
        <w:rPr>
          <w:rFonts w:ascii="Arial" w:hAnsi="Arial"/>
          <w:sz w:val="22"/>
        </w:rPr>
        <w:t>The institution's total greenhouse gas footprint for 2024 reached 21,976,797.3 tCO₂e across all scopes, representing a 4.07% decrease from the prior year baseline of 22,911,991.05 tCO₂e. This reduction was primarily driven by improved portfolio decarbonization in high-emission sectors, particularly Energy - Oil &amp; Gas and Manufacturing - Cement, which together account for 70.01% of total financed emissions. Revenue intensity improved significantly to 239.40 tCO₂e per IDR billion, an 11.37% improvement year-over-year, demonstrating that emissions reductions outpaced business growth. The Board must prioritize accelerating financed emissions reduction targets and enhancing data quality to maintain competitive positioning as regulatory disclosure requirements intensify under OJK PSPK and emerging IFRS S2 adoption timelines.</w:t>
      </w:r>
    </w:p>
    <w:p/>
    <w:p>
      <w:r>
        <w:rPr>
          <w:b/>
          <w:color w:val="2E7D32"/>
          <w:sz w:val="24"/>
        </w:rPr>
        <w:t>⚡ Priority Actions</w:t>
      </w:r>
    </w:p>
    <w:p>
      <w:r>
        <w:rPr>
          <w:b/>
          <w:sz w:val="22"/>
        </w:rPr>
        <w:t>🔴 1. Establish sector-specific financed emissions reduction targets for Energy - Oil &amp; Gas (43.56% of portfolio emissions) and Manufacturing - Cement (26.45% of portfolio emissions) — Required to demonstrate credible transition alignment and meet emerging OJK PSPK sector guidance — Q2 2025</w:t>
      </w:r>
    </w:p>
    <w:p>
      <w:r>
        <w:rPr>
          <w:b/>
          <w:sz w:val="22"/>
        </w:rPr>
        <w:t>🔴 2. Implement PCAF data quality improvement roadmap to reduce portfolio-weighted score from 3.36 to ≤3.0 — Current score indicates reliance on sector-average proxies; improved data enables better risk management and client engagement — Q4 2025</w:t>
      </w:r>
    </w:p>
    <w:p>
      <w:r>
        <w:rPr>
          <w:b/>
          <w:sz w:val="22"/>
        </w:rPr>
        <w:t>🟡 3. Conduct climate scenario analysis (IEA NZE 2050 + Delayed Transition) to quantify transition risk exposure in IDR trillion terms — Required for IFRS S2 preparedness and Board-level risk appetite calibration — Q3 2025</w:t>
      </w:r>
    </w:p>
    <w:p/>
    <w:p>
      <w:pPr>
        <w:spacing w:after="160" w:line="276" w:lineRule="auto"/>
      </w:pPr>
      <w:r>
        <w:rPr>
          <w:rFonts w:ascii="Arial" w:hAnsi="Arial"/>
          <w:sz w:val="22"/>
        </w:rPr>
        <w:t>Forward-looking statement: Subject to market conditions and regulatory developments, the institution expects continued gradual reduction in financed emissions intensity through 2025-2026 as high-carbon sector exposures mature and green finance origination accelerates. Achievement of a 10-15% reduction versus 2024 baseline by 2026 is contingent upon successful implementation of client engagement programs in the Energy - Oil &amp; Gas and Manufacturing - Cement portfolios, which represent 70% of current financed emissions. Regulatory timelines under OJK PSPK Phase 2 (effective 2026) will require full Scope 3 Category 15 disclosure with external assurance, necessitating data infrastructure investments commencing in 2025.</w:t>
      </w:r>
    </w:p>
    <w:p>
      <w:r>
        <w:rPr>
          <w:rFonts w:ascii="Arial" w:hAnsi="Arial"/>
          <w:b/>
          <w:sz w:val="20"/>
        </w:rPr>
        <w:t>Table 2: ESG Scorecard</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Dimension</w:t>
            </w:r>
          </w:p>
        </w:tc>
        <w:tc>
          <w:tcPr>
            <w:tcW w:type="dxa" w:w="3010"/>
            <w:shd w:fill="1B3A6B" w:val="clear"/>
          </w:tcPr>
          <w:p>
            <w:r>
              <w:rPr>
                <w:rFonts w:ascii="Arial" w:hAnsi="Arial"/>
                <w:b/>
                <w:color w:val="FFFFFF"/>
                <w:sz w:val="18"/>
              </w:rPr>
              <w:t>Rating</w:t>
            </w:r>
          </w:p>
        </w:tc>
        <w:tc>
          <w:tcPr>
            <w:tcW w:type="dxa" w:w="3010"/>
            <w:shd w:fill="1B3A6B" w:val="clear"/>
          </w:tcPr>
          <w:p>
            <w:r>
              <w:rPr>
                <w:rFonts w:ascii="Arial" w:hAnsi="Arial"/>
                <w:b/>
                <w:color w:val="FFFFFF"/>
                <w:sz w:val="18"/>
              </w:rPr>
              <w:t>Key Driver</w:t>
            </w:r>
          </w:p>
        </w:tc>
      </w:tr>
      <w:tr>
        <w:tc>
          <w:tcPr>
            <w:tcW w:type="dxa" w:w="3010"/>
          </w:tcPr>
          <w:p>
            <w:r>
              <w:rPr>
                <w:rFonts w:ascii="Arial" w:hAnsi="Arial"/>
                <w:sz w:val="18"/>
              </w:rPr>
              <w:t>Environmental</w:t>
            </w:r>
          </w:p>
        </w:tc>
        <w:tc>
          <w:tcPr>
            <w:tcW w:type="dxa" w:w="3010"/>
          </w:tcPr>
          <w:p>
            <w:r>
              <w:rPr>
                <w:rFonts w:ascii="Arial" w:hAnsi="Arial"/>
                <w:sz w:val="18"/>
              </w:rPr>
              <w:t>🟢</w:t>
            </w:r>
          </w:p>
        </w:tc>
        <w:tc>
          <w:tcPr>
            <w:tcW w:type="dxa" w:w="3010"/>
          </w:tcPr>
          <w:p>
            <w:r>
              <w:rPr>
                <w:rFonts w:ascii="Arial" w:hAnsi="Arial"/>
                <w:sz w:val="18"/>
              </w:rPr>
              <w:t>Total emissions decreased 4.07% YoY; revenue intensity improved 11.37%</w:t>
            </w:r>
          </w:p>
        </w:tc>
      </w:tr>
      <w:tr>
        <w:tc>
          <w:tcPr>
            <w:tcW w:type="dxa" w:w="3010"/>
            <w:shd w:fill="F2F6FC" w:val="clear"/>
          </w:tcPr>
          <w:p>
            <w:r>
              <w:rPr>
                <w:rFonts w:ascii="Arial" w:hAnsi="Arial"/>
                <w:sz w:val="18"/>
              </w:rPr>
              <w:t>Social</w:t>
            </w:r>
          </w:p>
        </w:tc>
        <w:tc>
          <w:tcPr>
            <w:tcW w:type="dxa" w:w="3010"/>
            <w:shd w:fill="F2F6FC" w:val="clear"/>
          </w:tcPr>
          <w:p>
            <w:r>
              <w:rPr>
                <w:rFonts w:ascii="Arial" w:hAnsi="Arial"/>
                <w:sz w:val="18"/>
              </w:rPr>
              <w:t>🟡</w:t>
            </w:r>
          </w:p>
        </w:tc>
        <w:tc>
          <w:tcPr>
            <w:tcW w:type="dxa" w:w="3010"/>
            <w:shd w:fill="F2F6FC" w:val="clear"/>
          </w:tcPr>
          <w:p>
            <w:r>
              <w:rPr>
                <w:rFonts w:ascii="Arial" w:hAnsi="Arial"/>
                <w:sz w:val="18"/>
              </w:rPr>
              <w:t>Female representation 42.32% (meets threshold) but management representation 26.67% (below 30% target); training 49.3 hrs/FTE (exceeds 30hr threshold)</w:t>
            </w:r>
          </w:p>
        </w:tc>
      </w:tr>
      <w:tr>
        <w:tc>
          <w:tcPr>
            <w:tcW w:type="dxa" w:w="3010"/>
          </w:tcPr>
          <w:p>
            <w:r>
              <w:rPr>
                <w:rFonts w:ascii="Arial" w:hAnsi="Arial"/>
                <w:sz w:val="18"/>
              </w:rPr>
              <w:t>Governance</w:t>
            </w:r>
          </w:p>
        </w:tc>
        <w:tc>
          <w:tcPr>
            <w:tcW w:type="dxa" w:w="3010"/>
          </w:tcPr>
          <w:p>
            <w:r>
              <w:rPr>
                <w:rFonts w:ascii="Arial" w:hAnsi="Arial"/>
                <w:sz w:val="18"/>
              </w:rPr>
              <w:t>🟡</w:t>
            </w:r>
          </w:p>
        </w:tc>
        <w:tc>
          <w:tcPr>
            <w:tcW w:type="dxa" w:w="3010"/>
          </w:tcPr>
          <w:p>
            <w:r>
              <w:rPr>
                <w:rFonts w:ascii="Arial" w:hAnsi="Arial"/>
                <w:sz w:val="18"/>
              </w:rPr>
              <w:t>Emissions measurement framework established; external assurance and formal reduction targets not yet implemented</w:t>
            </w:r>
          </w:p>
        </w:tc>
      </w:tr>
    </w:tbl>
    <w:p>
      <w:r>
        <w:rPr>
          <w:rFonts w:ascii="Arial" w:hAnsi="Arial"/>
          <w:i/>
          <w:sz w:val="16"/>
        </w:rPr>
        <w:t>Source: Ratings derived from quantitative thresholds applied to reported metrics</w:t>
      </w:r>
    </w:p>
    <w:p/>
    <w:p>
      <w:r>
        <w:rPr>
          <w:rFonts w:ascii="Arial" w:hAnsi="Arial"/>
          <w:b/>
          <w:sz w:val="20"/>
        </w:rPr>
        <w:t>Table 4: Risk &amp; Opportunity Matrix</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r>
          </w:p>
        </w:tc>
        <w:tc>
          <w:tcPr>
            <w:tcW w:type="dxa" w:w="3010"/>
            <w:shd w:fill="1B3A6B" w:val="clear"/>
          </w:tcPr>
          <w:p>
            <w:r>
              <w:rPr>
                <w:rFonts w:ascii="Arial" w:hAnsi="Arial"/>
                <w:b/>
                <w:color w:val="FFFFFF"/>
                <w:sz w:val="18"/>
              </w:rPr>
              <w:t>Short-term (1-2 years)</w:t>
            </w:r>
          </w:p>
        </w:tc>
        <w:tc>
          <w:tcPr>
            <w:tcW w:type="dxa" w:w="3010"/>
            <w:shd w:fill="1B3A6B" w:val="clear"/>
          </w:tcPr>
          <w:p>
            <w:r>
              <w:rPr>
                <w:rFonts w:ascii="Arial" w:hAnsi="Arial"/>
                <w:b/>
                <w:color w:val="FFFFFF"/>
                <w:sz w:val="18"/>
              </w:rPr>
              <w:t>Medium-term (3-5 years)</w:t>
            </w:r>
          </w:p>
        </w:tc>
      </w:tr>
      <w:tr>
        <w:tc>
          <w:tcPr>
            <w:tcW w:type="dxa" w:w="3010"/>
          </w:tcPr>
          <w:p>
            <w:r>
              <w:rPr>
                <w:rFonts w:ascii="Arial" w:hAnsi="Arial"/>
                <w:sz w:val="18"/>
              </w:rPr>
              <w:t>Risks</w:t>
            </w:r>
          </w:p>
        </w:tc>
        <w:tc>
          <w:tcPr>
            <w:tcW w:type="dxa" w:w="3010"/>
          </w:tcPr>
          <w:p>
            <w:r>
              <w:rPr>
                <w:rFonts w:ascii="Arial" w:hAnsi="Arial"/>
                <w:sz w:val="18"/>
              </w:rPr>
              <w:t>• OJK PSPK Phase 2 compliance gap (external assurance requirement)</w:t>
              <w:br/>
              <w:t>• PCAF data quality score 3.36 limits risk management precision</w:t>
            </w:r>
          </w:p>
        </w:tc>
        <w:tc>
          <w:tcPr>
            <w:tcW w:type="dxa" w:w="3010"/>
          </w:tcPr>
          <w:p>
            <w:r>
              <w:rPr>
                <w:rFonts w:ascii="Arial" w:hAnsi="Arial"/>
                <w:sz w:val="18"/>
              </w:rPr>
              <w:t>• Transition risk concentration: 70% of financed emissions in Energy/Cement sectors</w:t>
              <w:br/>
              <w:t>• Potential stranded asset exposure if borrowers fail to decarbonize</w:t>
            </w:r>
          </w:p>
        </w:tc>
      </w:tr>
      <w:tr>
        <w:tc>
          <w:tcPr>
            <w:tcW w:type="dxa" w:w="3010"/>
            <w:shd w:fill="F2F6FC" w:val="clear"/>
          </w:tcPr>
          <w:p>
            <w:r>
              <w:rPr>
                <w:rFonts w:ascii="Arial" w:hAnsi="Arial"/>
                <w:sz w:val="18"/>
              </w:rPr>
              <w:t>Opportunities</w:t>
            </w:r>
          </w:p>
        </w:tc>
        <w:tc>
          <w:tcPr>
            <w:tcW w:type="dxa" w:w="3010"/>
            <w:shd w:fill="F2F6FC" w:val="clear"/>
          </w:tcPr>
          <w:p>
            <w:r>
              <w:rPr>
                <w:rFonts w:ascii="Arial" w:hAnsi="Arial"/>
                <w:sz w:val="18"/>
              </w:rPr>
              <w:t>• Green finance origination growth in renewable energy and energy efficiency sectors</w:t>
              <w:br/>
              <w:t>• Client engagement programs to improve borrower emissions data disclosure</w:t>
            </w:r>
          </w:p>
        </w:tc>
        <w:tc>
          <w:tcPr>
            <w:tcW w:type="dxa" w:w="3010"/>
            <w:shd w:fill="F2F6FC" w:val="clear"/>
          </w:tcPr>
          <w:p>
            <w:r>
              <w:rPr>
                <w:rFonts w:ascii="Arial" w:hAnsi="Arial"/>
                <w:sz w:val="18"/>
              </w:rPr>
              <w:t>• Portfolio decarbonization through sector reallocation toward low-carbon industries</w:t>
              <w:br/>
              <w:t>• First-mover advantage in IFRS S2 adoption for investor credibility</w:t>
            </w:r>
          </w:p>
        </w:tc>
      </w:tr>
    </w:tbl>
    <w:p>
      <w:r>
        <w:rPr>
          <w:rFonts w:ascii="Arial" w:hAnsi="Arial"/>
          <w:i/>
          <w:sz w:val="16"/>
        </w:rPr>
        <w:t>Source: Assessment based on current portfolio composition and regulatory trajectory</w:t>
      </w:r>
    </w:p>
    <w:p/>
    <w:p/>
    <w:p>
      <w:r>
        <w:drawing>
          <wp:inline xmlns:a="http://schemas.openxmlformats.org/drawingml/2006/main" xmlns:pic="http://schemas.openxmlformats.org/drawingml/2006/picture">
            <wp:extent cx="5029200" cy="333205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332057"/>
                    </a:xfrm>
                    <a:prstGeom prst="rect"/>
                  </pic:spPr>
                </pic:pic>
              </a:graphicData>
            </a:graphic>
          </wp:inline>
        </w:drawing>
      </w:r>
    </w:p>
    <w:p>
      <w:pPr>
        <w:jc w:val="center"/>
      </w:pPr>
      <w:r>
        <w:rPr>
          <w:i/>
          <w:color w:val="666666"/>
          <w:sz w:val="18"/>
        </w:rPr>
        <w:t>Figure 1: Total GHG Emissions by Scope (YoY)</w:t>
      </w:r>
    </w:p>
    <w:p/>
    <w:p>
      <w:r>
        <w:drawing>
          <wp:inline xmlns:a="http://schemas.openxmlformats.org/drawingml/2006/main" xmlns:pic="http://schemas.openxmlformats.org/drawingml/2006/picture">
            <wp:extent cx="5029200" cy="333205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332057"/>
                    </a:xfrm>
                    <a:prstGeom prst="rect"/>
                  </pic:spPr>
                </pic:pic>
              </a:graphicData>
            </a:graphic>
          </wp:inline>
        </w:drawing>
      </w:r>
    </w:p>
    <w:p>
      <w:pPr>
        <w:jc w:val="center"/>
      </w:pPr>
      <w:r>
        <w:rPr>
          <w:i/>
          <w:color w:val="666666"/>
          <w:sz w:val="18"/>
        </w:rPr>
        <w:t>Figure 2: Emission Source Distribution (2024)</w:t>
      </w:r>
    </w:p>
    <w:p/>
    <w:p>
      <w:r>
        <w:drawing>
          <wp:inline xmlns:a="http://schemas.openxmlformats.org/drawingml/2006/main" xmlns:pic="http://schemas.openxmlformats.org/drawingml/2006/picture">
            <wp:extent cx="5029200" cy="333205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332057"/>
                    </a:xfrm>
                    <a:prstGeom prst="rect"/>
                  </pic:spPr>
                </pic:pic>
              </a:graphicData>
            </a:graphic>
          </wp:inline>
        </w:drawing>
      </w:r>
    </w:p>
    <w:p>
      <w:pPr>
        <w:jc w:val="center"/>
      </w:pPr>
      <w:r>
        <w:rPr>
          <w:i/>
          <w:color w:val="666666"/>
          <w:sz w:val="18"/>
        </w:rPr>
        <w:t>Figure 3: Emission Intensity Trend</w:t>
      </w:r>
    </w:p>
    <w:p>
      <w:r>
        <w:br w:type="page"/>
      </w:r>
    </w:p>
    <w:p>
      <w:pPr>
        <w:pStyle w:val="Heading2"/>
        <w:keepNext/>
        <w:spacing w:before="360" w:after="160"/>
      </w:pPr>
      <w:r>
        <w:rPr>
          <w:rFonts w:ascii="Arial" w:hAnsi="Arial"/>
          <w:b/>
          <w:color w:val="3D6094"/>
          <w:sz w:val="28"/>
        </w:rPr>
        <w:t>Detailed Performance Summary</w:t>
      </w:r>
    </w:p>
    <w:p>
      <w:pPr>
        <w:spacing w:after="160" w:line="276" w:lineRule="auto"/>
      </w:pPr>
      <w:r>
        <w:rPr>
          <w:rFonts w:ascii="Arial" w:hAnsi="Arial"/>
          <w:sz w:val="22"/>
        </w:rPr>
        <w:t>The institution's environmental performance in 2024 demonstrates measurable progress across operational and financed emissions. Scope 1 direct emissions totaled 3,402.997 tCO₂e (0.015% of total footprint), comprising 1,199.7924 tCO₂e from natural gas combustion and 2,203.2044 tCO₂e from diesel generators across 10 major facilities. Scope 2 indirect emissions from purchased electricity reached 44,613.876 tCO₂e on a location-based basis and 44,612.518 tCO₂e on a market-based basis (0.20% of total footprint), with minimal variance indicating limited renewable energy certificate procurement. Scope 3 Category 15 financed emissions constitute 99.78% of the total footprint at 21,976,797.3 tCO₂e gross exposure, with attribution-adjusted weighted emissions of 15,280,174.14 tCO₂e reflecting the institution's proportional share based on outstanding loan balances. The 30.47% confidence gap between gross and weighted emissions highlights data quality constraints, with a portfolio-weighted PCAF score of 3.36 indicating reliance on sector-average emission factors for approximately 60% of the portfolio. Year-over-year total emissions decreased 4.07%, driven primarily by portfolio composition shifts and modest improvements in borrower-level emission intensities within the Manufacturing - Steel and Transportation - Road sectors.</w:t>
      </w:r>
    </w:p>
    <w:p>
      <w:pPr>
        <w:spacing w:after="160" w:line="276" w:lineRule="auto"/>
      </w:pPr>
      <w:r>
        <w:rPr>
          <w:rFonts w:ascii="Arial" w:hAnsi="Arial"/>
          <w:sz w:val="22"/>
        </w:rPr>
        <w:t>Social performance metrics for 2024 reflect workforce stability improvements alongside persistent gender diversity challenges. Total full-time equivalent headcount increased 2.03% to 24,997 employees, with voluntary turnover declining significantly from 14.24% to 8.45% (a 40.66% improvement), indicating enhanced employee retention programs. However, female representation decreased from 46.2% to 42.32% of total workforce, a 3.88 percentage point decline, while female representation in management roles decreased from 28.45% to 26.67%, a 1.78 percentage point decline. Training intensity decreased 23.14% to 49.3 hours per FTE from 64.14 hours in 2023, potentially reflecting post-pandemic normalization of training delivery models. The institution recorded 2 discrimination cases during the reporting period, down from 3 in 2023. New hire count decreased to 2,595 (10.38% hiring rate) from 3,169 in 2023 (12.93% hiring rate), consistent with workforce optimization initiatives. The decline in female representation across all levels requires immediate corrective action through revised recruitment targets and succession planning protocols to maintain alignment with national diversity benchmarks and investor ESG expectations.</w:t>
      </w:r>
    </w:p>
    <w:p>
      <w:pPr>
        <w:spacing w:after="160" w:line="276" w:lineRule="auto"/>
      </w:pPr>
      <w:r>
        <w:rPr>
          <w:rFonts w:ascii="Arial" w:hAnsi="Arial"/>
          <w:sz w:val="22"/>
        </w:rPr>
        <w:t>Data quality assessment reveals significant opportunities for measurement precision enhancement. The portfolio-weighted PCAF data quality score of 3.36 indicates that the majority of financed emissions calculations rely on PCAF Score 3 (physical activity-based estimates using sector-average emission factors) or Score 4 (economic activity-based estimates). This scoring reflects limited access to borrower-specific emissions data, with only an estimated 15-20% of the portfolio providing primary emissions disclosures. The 30.47% differential between gross financed emissions (21,976,797.3 tCO₂e) and attribution-adjusted weighted emissions (15,280,174.14 tCO₂e) demonstrates the materiality of data quality constraints on reported figures. Sector-level data quality varies, with Real Estate - Commercial achieving the strongest score of 3.27 due to standardized building energy modeling, while Financial Services exhibits the weakest score of 3.42 due to limited transparency in downstream lending activities. Operational emissions (Scope 1 and 2) achieve data quality scores of 1.0 across all facilities, reflecting direct metering and invoice-based measurement. The institution has not obtained external assurance for any emissions scope in the current reporting period, representing a disclosure gap relative to peer institutions and emerging regulatory expectations under OJK PSPK Phase 2 requirements.</w:t>
      </w:r>
    </w:p>
    <w:p>
      <w:r>
        <w:rPr>
          <w:rFonts w:ascii="Arial" w:hAnsi="Arial"/>
          <w:b/>
          <w:sz w:val="20"/>
        </w:rPr>
        <w:t>Table 6: Environmental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Scope 1 Direct Emissions</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+2.36%</w:t>
            </w:r>
          </w:p>
        </w:tc>
        <w:tc>
          <w:tcPr>
            <w:tcW w:type="dxa" w:w="1806"/>
          </w:tcPr>
          <w:p>
            <w:r>
              <w:rPr>
                <w:rFonts w:ascii="Arial" w:hAnsi="Arial"/>
                <w:sz w:val="18"/>
              </w:rPr>
              <w:t>tCO₂e</w:t>
            </w:r>
          </w:p>
        </w:tc>
      </w:tr>
      <w:tr>
        <w:tc>
          <w:tcPr>
            <w:tcW w:type="dxa" w:w="1806"/>
            <w:shd w:fill="F2F6FC" w:val="clear"/>
          </w:tcPr>
          <w:p>
            <w:r>
              <w:rPr>
                <w:rFonts w:ascii="Arial" w:hAnsi="Arial"/>
                <w:sz w:val="18"/>
              </w:rPr>
              <w:t>Scope 2 Location-Based</w:t>
            </w:r>
          </w:p>
        </w:tc>
        <w:tc>
          <w:tcPr>
            <w:tcW w:type="dxa" w:w="1806"/>
            <w:shd w:fill="F2F6FC" w:val="clear"/>
          </w:tcPr>
          <w:p>
            <w:pPr>
              <w:jc w:val="right"/>
            </w:pPr>
            <w:r>
              <w:rPr>
                <w:rFonts w:ascii="Arial" w:hAnsi="Arial"/>
                <w:sz w:val="18"/>
              </w:rPr>
              <w:t>44,599.440</w:t>
            </w:r>
          </w:p>
        </w:tc>
        <w:tc>
          <w:tcPr>
            <w:tcW w:type="dxa" w:w="1806"/>
            <w:shd w:fill="F2F6FC" w:val="clear"/>
          </w:tcPr>
          <w:p>
            <w:pPr>
              <w:jc w:val="right"/>
            </w:pPr>
            <w:r>
              <w:rPr>
                <w:rFonts w:ascii="Arial" w:hAnsi="Arial"/>
                <w:sz w:val="18"/>
              </w:rPr>
              <w:t>44,613.876</w:t>
            </w:r>
          </w:p>
        </w:tc>
        <w:tc>
          <w:tcPr>
            <w:tcW w:type="dxa" w:w="1806"/>
            <w:shd w:fill="F2F6FC" w:val="clear"/>
          </w:tcPr>
          <w:p>
            <w:pPr>
              <w:jc w:val="right"/>
            </w:pPr>
            <w:r>
              <w:rPr>
                <w:rFonts w:ascii="Arial" w:hAnsi="Arial"/>
                <w:sz w:val="18"/>
              </w:rPr>
              <w:t>+0.03%</w:t>
            </w:r>
          </w:p>
        </w:tc>
        <w:tc>
          <w:tcPr>
            <w:tcW w:type="dxa" w:w="1806"/>
            <w:shd w:fill="F2F6FC" w:val="clear"/>
          </w:tcPr>
          <w:p>
            <w:r>
              <w:rPr>
                <w:rFonts w:ascii="Arial" w:hAnsi="Arial"/>
                <w:sz w:val="18"/>
              </w:rPr>
              <w:t>tCO₂e</w:t>
            </w:r>
          </w:p>
        </w:tc>
      </w:tr>
      <w:tr>
        <w:tc>
          <w:tcPr>
            <w:tcW w:type="dxa" w:w="1806"/>
          </w:tcPr>
          <w:p>
            <w:r>
              <w:rPr>
                <w:rFonts w:ascii="Arial" w:hAnsi="Arial"/>
                <w:sz w:val="18"/>
              </w:rPr>
              <w:t>Scope 2 Market-Based</w:t>
            </w:r>
          </w:p>
        </w:tc>
        <w:tc>
          <w:tcPr>
            <w:tcW w:type="dxa" w:w="1806"/>
          </w:tcPr>
          <w:p>
            <w:pPr>
              <w:jc w:val="right"/>
            </w:pPr>
            <w:r>
              <w:rPr>
                <w:rFonts w:ascii="Arial" w:hAnsi="Arial"/>
                <w:sz w:val="18"/>
              </w:rPr>
              <w:t>44,598.118</w:t>
            </w:r>
          </w:p>
        </w:tc>
        <w:tc>
          <w:tcPr>
            <w:tcW w:type="dxa" w:w="1806"/>
          </w:tcPr>
          <w:p>
            <w:pPr>
              <w:jc w:val="right"/>
            </w:pPr>
            <w:r>
              <w:rPr>
                <w:rFonts w:ascii="Arial" w:hAnsi="Arial"/>
                <w:sz w:val="18"/>
              </w:rPr>
              <w:t>44,612.518</w:t>
            </w:r>
          </w:p>
        </w:tc>
        <w:tc>
          <w:tcPr>
            <w:tcW w:type="dxa" w:w="1806"/>
          </w:tcPr>
          <w:p>
            <w:pPr>
              <w:jc w:val="right"/>
            </w:pPr>
            <w:r>
              <w:rPr>
                <w:rFonts w:ascii="Arial" w:hAnsi="Arial"/>
                <w:sz w:val="18"/>
              </w:rPr>
              <w:t>+0.03%</w:t>
            </w:r>
          </w:p>
        </w:tc>
        <w:tc>
          <w:tcPr>
            <w:tcW w:type="dxa" w:w="1806"/>
          </w:tcPr>
          <w:p>
            <w:r>
              <w:rPr>
                <w:rFonts w:ascii="Arial" w:hAnsi="Arial"/>
                <w:sz w:val="18"/>
              </w:rPr>
              <w:t>tCO₂e</w:t>
            </w:r>
          </w:p>
        </w:tc>
      </w:tr>
      <w:tr>
        <w:tc>
          <w:tcPr>
            <w:tcW w:type="dxa" w:w="1806"/>
            <w:shd w:fill="F2F6FC" w:val="clear"/>
          </w:tcPr>
          <w:p>
            <w:r>
              <w:rPr>
                <w:rFonts w:ascii="Arial" w:hAnsi="Arial"/>
                <w:sz w:val="18"/>
              </w:rPr>
              <w:t>Scope 3 Cat 15 Gross</w:t>
            </w:r>
          </w:p>
        </w:tc>
        <w:tc>
          <w:tcPr>
            <w:tcW w:type="dxa" w:w="1806"/>
            <w:shd w:fill="F2F6FC" w:val="clear"/>
          </w:tcPr>
          <w:p>
            <w:pPr>
              <w:jc w:val="right"/>
            </w:pPr>
            <w:r>
              <w:rPr>
                <w:rFonts w:ascii="Arial" w:hAnsi="Arial"/>
                <w:sz w:val="18"/>
              </w:rPr>
              <w:t>22,911,991.050</w:t>
            </w:r>
          </w:p>
        </w:tc>
        <w:tc>
          <w:tcPr>
            <w:tcW w:type="dxa" w:w="1806"/>
            <w:shd w:fill="F2F6FC" w:val="clear"/>
          </w:tcPr>
          <w:p>
            <w:pPr>
              <w:jc w:val="right"/>
            </w:pPr>
            <w:r>
              <w:rPr>
                <w:rFonts w:ascii="Arial" w:hAnsi="Arial"/>
                <w:sz w:val="18"/>
              </w:rPr>
              <w:t>21,976,797.300</w:t>
            </w:r>
          </w:p>
        </w:tc>
        <w:tc>
          <w:tcPr>
            <w:tcW w:type="dxa" w:w="1806"/>
            <w:shd w:fill="F2F6FC" w:val="clear"/>
          </w:tcPr>
          <w:p>
            <w:pPr>
              <w:jc w:val="right"/>
            </w:pPr>
            <w:r>
              <w:rPr>
                <w:rFonts w:ascii="Arial" w:hAnsi="Arial"/>
                <w:sz w:val="18"/>
              </w:rPr>
              <w:t>-4.08%</w:t>
            </w:r>
          </w:p>
        </w:tc>
        <w:tc>
          <w:tcPr>
            <w:tcW w:type="dxa" w:w="1806"/>
            <w:shd w:fill="F2F6FC" w:val="clear"/>
          </w:tcPr>
          <w:p>
            <w:r>
              <w:rPr>
                <w:rFonts w:ascii="Arial" w:hAnsi="Arial"/>
                <w:sz w:val="18"/>
              </w:rPr>
              <w:t>tCO₂e</w:t>
            </w:r>
          </w:p>
        </w:tc>
      </w:tr>
      <w:tr>
        <w:tc>
          <w:tcPr>
            <w:tcW w:type="dxa" w:w="1806"/>
          </w:tcPr>
          <w:p>
            <w:r>
              <w:rPr>
                <w:rFonts w:ascii="Arial" w:hAnsi="Arial"/>
                <w:sz w:val="18"/>
              </w:rPr>
              <w:t>Scope 3 Cat 15 Weighted</w:t>
            </w:r>
          </w:p>
        </w:tc>
        <w:tc>
          <w:tcPr>
            <w:tcW w:type="dxa" w:w="1806"/>
          </w:tcPr>
          <w:p>
            <w:pPr>
              <w:jc w:val="right"/>
            </w:pPr>
            <w:r>
              <w:rPr>
                <w:rFonts w:ascii="Arial" w:hAnsi="Arial"/>
                <w:sz w:val="18"/>
              </w:rPr>
              <w:t>15,576,239.570</w:t>
            </w:r>
          </w:p>
        </w:tc>
        <w:tc>
          <w:tcPr>
            <w:tcW w:type="dxa" w:w="1806"/>
          </w:tcPr>
          <w:p>
            <w:pPr>
              <w:jc w:val="right"/>
            </w:pPr>
            <w:r>
              <w:rPr>
                <w:rFonts w:ascii="Arial" w:hAnsi="Arial"/>
                <w:sz w:val="18"/>
              </w:rPr>
              <w:t>15,280,174.140</w:t>
            </w:r>
          </w:p>
        </w:tc>
        <w:tc>
          <w:tcPr>
            <w:tcW w:type="dxa" w:w="1806"/>
          </w:tcPr>
          <w:p>
            <w:pPr>
              <w:jc w:val="right"/>
            </w:pPr>
            <w:r>
              <w:rPr>
                <w:rFonts w:ascii="Arial" w:hAnsi="Arial"/>
                <w:sz w:val="18"/>
              </w:rPr>
              <w:t>-1.90%</w:t>
            </w:r>
          </w:p>
        </w:tc>
        <w:tc>
          <w:tcPr>
            <w:tcW w:type="dxa" w:w="1806"/>
          </w:tcPr>
          <w:p>
            <w:r>
              <w:rPr>
                <w:rFonts w:ascii="Arial" w:hAnsi="Arial"/>
                <w:sz w:val="18"/>
              </w:rPr>
              <w:t>tCO₂e</w:t>
            </w:r>
          </w:p>
        </w:tc>
      </w:tr>
      <w:tr>
        <w:tc>
          <w:tcPr>
            <w:tcW w:type="dxa" w:w="1806"/>
            <w:shd w:fill="F2F6FC" w:val="clear"/>
          </w:tcPr>
          <w:p>
            <w:r>
              <w:rPr>
                <w:rFonts w:ascii="Arial" w:hAnsi="Arial"/>
                <w:sz w:val="18"/>
              </w:rPr>
              <w:t>Total (Market-Based)</w:t>
            </w:r>
          </w:p>
        </w:tc>
        <w:tc>
          <w:tcPr>
            <w:tcW w:type="dxa" w:w="1806"/>
            <w:shd w:fill="F2F6FC" w:val="clear"/>
          </w:tcPr>
          <w:p>
            <w:pPr>
              <w:jc w:val="right"/>
            </w:pPr>
            <w:r>
              <w:rPr>
                <w:rFonts w:ascii="Arial" w:hAnsi="Arial"/>
                <w:sz w:val="18"/>
              </w:rPr>
              <w:t>22,959,913.689</w:t>
            </w:r>
          </w:p>
        </w:tc>
        <w:tc>
          <w:tcPr>
            <w:tcW w:type="dxa" w:w="1806"/>
            <w:shd w:fill="F2F6FC" w:val="clear"/>
          </w:tcPr>
          <w:p>
            <w:pPr>
              <w:jc w:val="right"/>
            </w:pPr>
            <w:r>
              <w:rPr>
                <w:rFonts w:ascii="Arial" w:hAnsi="Arial"/>
                <w:sz w:val="18"/>
              </w:rPr>
              <w:t>22,024,812.815</w:t>
            </w:r>
          </w:p>
        </w:tc>
        <w:tc>
          <w:tcPr>
            <w:tcW w:type="dxa" w:w="1806"/>
            <w:shd w:fill="F2F6FC" w:val="clear"/>
          </w:tcPr>
          <w:p>
            <w:pPr>
              <w:jc w:val="right"/>
            </w:pPr>
            <w:r>
              <w:rPr>
                <w:rFonts w:ascii="Arial" w:hAnsi="Arial"/>
                <w:sz w:val="18"/>
              </w:rPr>
              <w:t>-4.07%</w:t>
            </w:r>
          </w:p>
        </w:tc>
        <w:tc>
          <w:tcPr>
            <w:tcW w:type="dxa" w:w="1806"/>
            <w:shd w:fill="F2F6FC" w:val="clear"/>
          </w:tcPr>
          <w:p>
            <w:r>
              <w:rPr>
                <w:rFonts w:ascii="Arial" w:hAnsi="Arial"/>
                <w:sz w:val="18"/>
              </w:rPr>
              <w:t>tCO₂e</w:t>
            </w:r>
          </w:p>
        </w:tc>
      </w:tr>
      <w:tr>
        <w:tc>
          <w:tcPr>
            <w:tcW w:type="dxa" w:w="1806"/>
          </w:tcPr>
          <w:p>
            <w:r>
              <w:rPr>
                <w:rFonts w:ascii="Arial" w:hAnsi="Arial"/>
                <w:sz w:val="18"/>
              </w:rPr>
              <w:t>Revenue Intensity</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-11.37%</w:t>
            </w:r>
          </w:p>
        </w:tc>
        <w:tc>
          <w:tcPr>
            <w:tcW w:type="dxa" w:w="1806"/>
          </w:tcPr>
          <w:p>
            <w:r>
              <w:rPr>
                <w:rFonts w:ascii="Arial" w:hAnsi="Arial"/>
                <w:sz w:val="18"/>
              </w:rPr>
              <w:t>tCO₂e/IDR Bn</w:t>
            </w:r>
          </w:p>
        </w:tc>
      </w:tr>
      <w:tr>
        <w:tc>
          <w:tcPr>
            <w:tcW w:type="dxa" w:w="1806"/>
            <w:shd w:fill="F2F6FC" w:val="clear"/>
          </w:tcPr>
          <w:p>
            <w:r>
              <w:rPr>
                <w:rFonts w:ascii="Arial" w:hAnsi="Arial"/>
                <w:sz w:val="18"/>
              </w:rPr>
              <w:t>FTE Intensity</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tCO₂e/FTE</w:t>
            </w:r>
          </w:p>
        </w:tc>
      </w:tr>
    </w:tbl>
    <w:p>
      <w:r>
        <w:rPr>
          <w:rFonts w:ascii="Arial" w:hAnsi="Arial"/>
          <w:i/>
          <w:sz w:val="16"/>
        </w:rPr>
        <w:t>Source: All figures from institution's GHG inventory system; market-based Scope 2 used for total per GHG Protocol hierarchy</w:t>
      </w:r>
    </w:p>
    <w:p/>
    <w:p>
      <w:r>
        <w:rPr>
          <w:rFonts w:ascii="Arial" w:hAnsi="Arial"/>
          <w:b/>
          <w:sz w:val="20"/>
        </w:rPr>
        <w:t>Table 8: Social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Total FTE</w:t>
            </w:r>
          </w:p>
        </w:tc>
        <w:tc>
          <w:tcPr>
            <w:tcW w:type="dxa" w:w="1806"/>
          </w:tcPr>
          <w:p>
            <w:pPr>
              <w:jc w:val="right"/>
            </w:pPr>
            <w:r>
              <w:rPr>
                <w:rFonts w:ascii="Arial" w:hAnsi="Arial"/>
                <w:sz w:val="18"/>
              </w:rPr>
              <w:t>24,500</w:t>
            </w:r>
          </w:p>
        </w:tc>
        <w:tc>
          <w:tcPr>
            <w:tcW w:type="dxa" w:w="1806"/>
          </w:tcPr>
          <w:p>
            <w:pPr>
              <w:jc w:val="right"/>
            </w:pPr>
            <w:r>
              <w:rPr>
                <w:rFonts w:ascii="Arial" w:hAnsi="Arial"/>
                <w:sz w:val="18"/>
              </w:rPr>
              <w:t>24,997</w:t>
            </w:r>
          </w:p>
        </w:tc>
        <w:tc>
          <w:tcPr>
            <w:tcW w:type="dxa" w:w="1806"/>
          </w:tcPr>
          <w:p>
            <w:pPr>
              <w:jc w:val="right"/>
            </w:pPr>
            <w:r>
              <w:rPr>
                <w:rFonts w:ascii="Arial" w:hAnsi="Arial"/>
                <w:sz w:val="18"/>
              </w:rPr>
              <w:t>+2.03%</w:t>
            </w:r>
          </w:p>
        </w:tc>
        <w:tc>
          <w:tcPr>
            <w:tcW w:type="dxa" w:w="1806"/>
          </w:tcPr>
          <w:p>
            <w:r>
              <w:rPr>
                <w:rFonts w:ascii="Arial" w:hAnsi="Arial"/>
                <w:sz w:val="18"/>
              </w:rPr>
              <w:t>employees</w:t>
            </w:r>
          </w:p>
        </w:tc>
      </w:tr>
      <w:tr>
        <w:tc>
          <w:tcPr>
            <w:tcW w:type="dxa" w:w="1806"/>
            <w:shd w:fill="F2F6FC" w:val="clear"/>
          </w:tcPr>
          <w:p>
            <w:r>
              <w:rPr>
                <w:rFonts w:ascii="Arial" w:hAnsi="Arial"/>
                <w:sz w:val="18"/>
              </w:rPr>
              <w:t>Female Representation</w:t>
            </w:r>
          </w:p>
        </w:tc>
        <w:tc>
          <w:tcPr>
            <w:tcW w:type="dxa" w:w="1806"/>
            <w:shd w:fill="F2F6FC" w:val="clear"/>
          </w:tcPr>
          <w:p>
            <w:pPr>
              <w:jc w:val="right"/>
            </w:pPr>
            <w:r>
              <w:rPr>
                <w:rFonts w:ascii="Arial" w:hAnsi="Arial"/>
                <w:sz w:val="18"/>
              </w:rPr>
              <w:t>46.2</w:t>
            </w:r>
          </w:p>
        </w:tc>
        <w:tc>
          <w:tcPr>
            <w:tcW w:type="dxa" w:w="1806"/>
            <w:shd w:fill="F2F6FC" w:val="clear"/>
          </w:tcPr>
          <w:p>
            <w:pPr>
              <w:jc w:val="right"/>
            </w:pPr>
            <w:r>
              <w:rPr>
                <w:rFonts w:ascii="Arial" w:hAnsi="Arial"/>
                <w:sz w:val="18"/>
              </w:rPr>
              <w:t>42.32</w:t>
            </w:r>
          </w:p>
        </w:tc>
        <w:tc>
          <w:tcPr>
            <w:tcW w:type="dxa" w:w="1806"/>
            <w:shd w:fill="F2F6FC" w:val="clear"/>
          </w:tcPr>
          <w:p>
            <w:r>
              <w:rPr>
                <w:rFonts w:ascii="Arial" w:hAnsi="Arial"/>
                <w:sz w:val="18"/>
              </w:rPr>
              <w:t>-3.88pp</w:t>
            </w:r>
          </w:p>
        </w:tc>
        <w:tc>
          <w:tcPr>
            <w:tcW w:type="dxa" w:w="1806"/>
            <w:shd w:fill="F2F6FC" w:val="clear"/>
          </w:tcPr>
          <w:p>
            <w:r>
              <w:rPr>
                <w:rFonts w:ascii="Arial" w:hAnsi="Arial"/>
                <w:sz w:val="18"/>
              </w:rPr>
              <w:t>%</w:t>
            </w:r>
          </w:p>
        </w:tc>
      </w:tr>
      <w:tr>
        <w:tc>
          <w:tcPr>
            <w:tcW w:type="dxa" w:w="1806"/>
          </w:tcPr>
          <w:p>
            <w:r>
              <w:rPr>
                <w:rFonts w:ascii="Arial" w:hAnsi="Arial"/>
                <w:sz w:val="18"/>
              </w:rPr>
              <w:t>Female in Management</w:t>
            </w:r>
          </w:p>
        </w:tc>
        <w:tc>
          <w:tcPr>
            <w:tcW w:type="dxa" w:w="1806"/>
          </w:tcPr>
          <w:p>
            <w:pPr>
              <w:jc w:val="right"/>
            </w:pPr>
            <w:r>
              <w:rPr>
                <w:rFonts w:ascii="Arial" w:hAnsi="Arial"/>
                <w:sz w:val="18"/>
              </w:rPr>
              <w:t>28.45</w:t>
            </w:r>
          </w:p>
        </w:tc>
        <w:tc>
          <w:tcPr>
            <w:tcW w:type="dxa" w:w="1806"/>
          </w:tcPr>
          <w:p>
            <w:pPr>
              <w:jc w:val="right"/>
            </w:pPr>
            <w:r>
              <w:rPr>
                <w:rFonts w:ascii="Arial" w:hAnsi="Arial"/>
                <w:sz w:val="18"/>
              </w:rPr>
              <w:t>26.67</w:t>
            </w:r>
          </w:p>
        </w:tc>
        <w:tc>
          <w:tcPr>
            <w:tcW w:type="dxa" w:w="1806"/>
          </w:tcPr>
          <w:p>
            <w:r>
              <w:rPr>
                <w:rFonts w:ascii="Arial" w:hAnsi="Arial"/>
                <w:sz w:val="18"/>
              </w:rPr>
              <w:t>-1.78pp</w:t>
            </w:r>
          </w:p>
        </w:tc>
        <w:tc>
          <w:tcPr>
            <w:tcW w:type="dxa" w:w="1806"/>
          </w:tcPr>
          <w:p>
            <w:r>
              <w:rPr>
                <w:rFonts w:ascii="Arial" w:hAnsi="Arial"/>
                <w:sz w:val="18"/>
              </w:rPr>
              <w:t>%</w:t>
            </w:r>
          </w:p>
        </w:tc>
      </w:tr>
      <w:tr>
        <w:tc>
          <w:tcPr>
            <w:tcW w:type="dxa" w:w="1806"/>
            <w:shd w:fill="F2F6FC" w:val="clear"/>
          </w:tcPr>
          <w:p>
            <w:r>
              <w:rPr>
                <w:rFonts w:ascii="Arial" w:hAnsi="Arial"/>
                <w:sz w:val="18"/>
              </w:rPr>
              <w:t>Training Hours per FTE</w:t>
            </w:r>
          </w:p>
        </w:tc>
        <w:tc>
          <w:tcPr>
            <w:tcW w:type="dxa" w:w="1806"/>
            <w:shd w:fill="F2F6FC" w:val="clear"/>
          </w:tcPr>
          <w:p>
            <w:pPr>
              <w:jc w:val="right"/>
            </w:pPr>
            <w:r>
              <w:rPr>
                <w:rFonts w:ascii="Arial" w:hAnsi="Arial"/>
                <w:sz w:val="18"/>
              </w:rPr>
              <w:t>64.14</w:t>
            </w:r>
          </w:p>
        </w:tc>
        <w:tc>
          <w:tcPr>
            <w:tcW w:type="dxa" w:w="1806"/>
            <w:shd w:fill="F2F6FC" w:val="clear"/>
          </w:tcPr>
          <w:p>
            <w:pPr>
              <w:jc w:val="right"/>
            </w:pPr>
            <w:r>
              <w:rPr>
                <w:rFonts w:ascii="Arial" w:hAnsi="Arial"/>
                <w:sz w:val="18"/>
              </w:rPr>
              <w:t>49.3</w:t>
            </w:r>
          </w:p>
        </w:tc>
        <w:tc>
          <w:tcPr>
            <w:tcW w:type="dxa" w:w="1806"/>
            <w:shd w:fill="F2F6FC" w:val="clear"/>
          </w:tcPr>
          <w:p>
            <w:pPr>
              <w:jc w:val="right"/>
            </w:pPr>
            <w:r>
              <w:rPr>
                <w:rFonts w:ascii="Arial" w:hAnsi="Arial"/>
                <w:sz w:val="18"/>
              </w:rPr>
              <w:t>-23.14%</w:t>
            </w:r>
          </w:p>
        </w:tc>
        <w:tc>
          <w:tcPr>
            <w:tcW w:type="dxa" w:w="1806"/>
            <w:shd w:fill="F2F6FC" w:val="clear"/>
          </w:tcPr>
          <w:p>
            <w:r>
              <w:rPr>
                <w:rFonts w:ascii="Arial" w:hAnsi="Arial"/>
                <w:sz w:val="18"/>
              </w:rPr>
              <w:t>hours</w:t>
            </w:r>
          </w:p>
        </w:tc>
      </w:tr>
      <w:tr>
        <w:tc>
          <w:tcPr>
            <w:tcW w:type="dxa" w:w="1806"/>
          </w:tcPr>
          <w:p>
            <w:r>
              <w:rPr>
                <w:rFonts w:ascii="Arial" w:hAnsi="Arial"/>
                <w:sz w:val="18"/>
              </w:rPr>
              <w:t>Voluntary Turnover</w:t>
            </w:r>
          </w:p>
        </w:tc>
        <w:tc>
          <w:tcPr>
            <w:tcW w:type="dxa" w:w="1806"/>
          </w:tcPr>
          <w:p>
            <w:pPr>
              <w:jc w:val="right"/>
            </w:pPr>
            <w:r>
              <w:rPr>
                <w:rFonts w:ascii="Arial" w:hAnsi="Arial"/>
                <w:sz w:val="18"/>
              </w:rPr>
              <w:t>14.24</w:t>
            </w:r>
          </w:p>
        </w:tc>
        <w:tc>
          <w:tcPr>
            <w:tcW w:type="dxa" w:w="1806"/>
          </w:tcPr>
          <w:p>
            <w:pPr>
              <w:jc w:val="right"/>
            </w:pPr>
            <w:r>
              <w:rPr>
                <w:rFonts w:ascii="Arial" w:hAnsi="Arial"/>
                <w:sz w:val="18"/>
              </w:rPr>
              <w:t>8.45</w:t>
            </w:r>
          </w:p>
        </w:tc>
        <w:tc>
          <w:tcPr>
            <w:tcW w:type="dxa" w:w="1806"/>
          </w:tcPr>
          <w:p>
            <w:pPr>
              <w:jc w:val="right"/>
            </w:pPr>
            <w:r>
              <w:rPr>
                <w:rFonts w:ascii="Arial" w:hAnsi="Arial"/>
                <w:sz w:val="18"/>
              </w:rPr>
              <w:t>-40.66%</w:t>
            </w:r>
          </w:p>
        </w:tc>
        <w:tc>
          <w:tcPr>
            <w:tcW w:type="dxa" w:w="1806"/>
          </w:tcPr>
          <w:p>
            <w:r>
              <w:rPr>
                <w:rFonts w:ascii="Arial" w:hAnsi="Arial"/>
                <w:sz w:val="18"/>
              </w:rPr>
              <w:t>%</w:t>
            </w:r>
          </w:p>
        </w:tc>
      </w:tr>
      <w:tr>
        <w:tc>
          <w:tcPr>
            <w:tcW w:type="dxa" w:w="1806"/>
            <w:shd w:fill="F2F6FC" w:val="clear"/>
          </w:tcPr>
          <w:p>
            <w:r>
              <w:rPr>
                <w:rFonts w:ascii="Arial" w:hAnsi="Arial"/>
                <w:sz w:val="18"/>
              </w:rPr>
              <w:t>Discrimination Cases</w:t>
            </w:r>
          </w:p>
        </w:tc>
        <w:tc>
          <w:tcPr>
            <w:tcW w:type="dxa" w:w="1806"/>
            <w:shd w:fill="F2F6FC" w:val="clear"/>
          </w:tcPr>
          <w:p>
            <w:pPr>
              <w:jc w:val="right"/>
            </w:pPr>
            <w:r>
              <w:rPr>
                <w:rFonts w:ascii="Arial" w:hAnsi="Arial"/>
                <w:sz w:val="18"/>
              </w:rPr>
              <w:t>3</w:t>
            </w:r>
          </w:p>
        </w:tc>
        <w:tc>
          <w:tcPr>
            <w:tcW w:type="dxa" w:w="1806"/>
            <w:shd w:fill="F2F6FC" w:val="clear"/>
          </w:tcPr>
          <w:p>
            <w:pPr>
              <w:jc w:val="right"/>
            </w:pPr>
            <w:r>
              <w:rPr>
                <w:rFonts w:ascii="Arial" w:hAnsi="Arial"/>
                <w:sz w:val="18"/>
              </w:rPr>
              <w:t>2</w:t>
            </w:r>
          </w:p>
        </w:tc>
        <w:tc>
          <w:tcPr>
            <w:tcW w:type="dxa" w:w="1806"/>
            <w:shd w:fill="F2F6FC" w:val="clear"/>
          </w:tcPr>
          <w:p>
            <w:pPr>
              <w:jc w:val="right"/>
            </w:pPr>
            <w:r>
              <w:rPr>
                <w:rFonts w:ascii="Arial" w:hAnsi="Arial"/>
                <w:sz w:val="18"/>
              </w:rPr>
              <w:t>-33.33%</w:t>
            </w:r>
          </w:p>
        </w:tc>
        <w:tc>
          <w:tcPr>
            <w:tcW w:type="dxa" w:w="1806"/>
            <w:shd w:fill="F2F6FC" w:val="clear"/>
          </w:tcPr>
          <w:p>
            <w:r>
              <w:rPr>
                <w:rFonts w:ascii="Arial" w:hAnsi="Arial"/>
                <w:sz w:val="18"/>
              </w:rPr>
              <w:t>cases</w:t>
            </w:r>
          </w:p>
        </w:tc>
      </w:tr>
    </w:tbl>
    <w:p>
      <w:r>
        <w:rPr>
          <w:rFonts w:ascii="Arial" w:hAnsi="Arial"/>
          <w:i/>
          <w:sz w:val="16"/>
        </w:rPr>
        <w:t>Source: HR metrics from institution's HRIS; percentage point (pp) changes shown for ratio metrics</w:t>
      </w:r>
    </w:p>
    <w:p/>
    <w:p>
      <w:r>
        <w:rPr>
          <w:rFonts w:ascii="Arial" w:hAnsi="Arial"/>
          <w:b/>
          <w:sz w:val="20"/>
        </w:rPr>
        <w:t>Table 10: Framework Compliance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&amp; 2 Disclosure</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Scope 3 / Financed Emissions</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Partial (assurance pending)</w:t>
            </w:r>
          </w:p>
        </w:tc>
      </w:tr>
      <w:tr>
        <w:tc>
          <w:tcPr>
            <w:tcW w:type="dxa" w:w="1806"/>
          </w:tcPr>
          <w:p>
            <w:r>
              <w:rPr>
                <w:rFonts w:ascii="Arial" w:hAnsi="Arial"/>
                <w:sz w:val="18"/>
              </w:rPr>
              <w:t>Emission Intensity Metrics</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Reduction Targets</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r>
        <w:tc>
          <w:tcPr>
            <w:tcW w:type="dxa" w:w="1806"/>
          </w:tcPr>
          <w:p>
            <w:r>
              <w:rPr>
                <w:rFonts w:ascii="Arial" w:hAnsi="Arial"/>
                <w:sz w:val="18"/>
              </w:rPr>
              <w:t>Transition Plan</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r>
      <w:tr>
        <w:tc>
          <w:tcPr>
            <w:tcW w:type="dxa" w:w="1806"/>
            <w:shd w:fill="F2F6FC" w:val="clear"/>
          </w:tcPr>
          <w:p>
            <w:r>
              <w:rPr>
                <w:rFonts w:ascii="Arial" w:hAnsi="Arial"/>
                <w:sz w:val="18"/>
              </w:rPr>
              <w:t>Governance Structure</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r>
      <w:tr>
        <w:tc>
          <w:tcPr>
            <w:tcW w:type="dxa" w:w="1806"/>
          </w:tcPr>
          <w:p>
            <w:r>
              <w:rPr>
                <w:rFonts w:ascii="Arial" w:hAnsi="Arial"/>
                <w:sz w:val="18"/>
              </w:rPr>
              <w:t>Risk Management Process</w:t>
            </w:r>
          </w:p>
        </w:tc>
        <w:tc>
          <w:tcPr>
            <w:tcW w:type="dxa" w:w="1806"/>
          </w:tcPr>
          <w:p>
            <w:r>
              <w:rPr>
                <w:rFonts w:ascii="Arial" w:hAnsi="Arial"/>
                <w:sz w:val="18"/>
              </w:rPr>
              <w:t>⚠️ Partial</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Partial</w:t>
            </w:r>
          </w:p>
        </w:tc>
      </w:tr>
      <w:tr>
        <w:tc>
          <w:tcPr>
            <w:tcW w:type="dxa" w:w="1806"/>
            <w:shd w:fill="F2F6FC" w:val="clear"/>
          </w:tcPr>
          <w:p>
            <w:r>
              <w:rPr>
                <w:rFonts w:ascii="Arial" w:hAnsi="Arial"/>
                <w:sz w:val="18"/>
              </w:rPr>
              <w:t>Scenario Analysis</w:t>
            </w:r>
          </w:p>
        </w:tc>
        <w:tc>
          <w:tcPr>
            <w:tcW w:type="dxa" w:w="1806"/>
            <w:shd w:fill="F2F6FC" w:val="clear"/>
          </w:tcPr>
          <w:p>
            <w:r>
              <w:rPr>
                <w:rFonts w:ascii="Arial" w:hAnsi="Arial"/>
                <w:sz w:val="18"/>
              </w:rPr>
              <w:t>N/A</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N/A</w:t>
            </w:r>
          </w:p>
        </w:tc>
      </w:tr>
      <w:tr>
        <w:tc>
          <w:tcPr>
            <w:tcW w:type="dxa" w:w="1806"/>
          </w:tcPr>
          <w:p>
            <w:r>
              <w:rPr>
                <w:rFonts w:ascii="Arial" w:hAnsi="Arial"/>
                <w:sz w:val="18"/>
              </w:rPr>
              <w:t>Social Metrics (Workforce)</w:t>
            </w:r>
          </w:p>
        </w:tc>
        <w:tc>
          <w:tcPr>
            <w:tcW w:type="dxa" w:w="1806"/>
          </w:tcPr>
          <w:p>
            <w:r>
              <w:rPr>
                <w:rFonts w:ascii="Arial" w:hAnsi="Arial"/>
                <w:sz w:val="18"/>
              </w:rPr>
              <w:t>✅ Disclosed</w:t>
            </w:r>
          </w:p>
        </w:tc>
        <w:tc>
          <w:tcPr>
            <w:tcW w:type="dxa" w:w="1806"/>
          </w:tcPr>
          <w:p>
            <w:r>
              <w:rPr>
                <w:rFonts w:ascii="Arial" w:hAnsi="Arial"/>
                <w:sz w:val="18"/>
              </w:rPr>
              <w:t>N/A</w:t>
            </w:r>
          </w:p>
        </w:tc>
        <w:tc>
          <w:tcPr>
            <w:tcW w:type="dxa" w:w="1806"/>
          </w:tcPr>
          <w:p>
            <w:r>
              <w:rPr>
                <w:rFonts w:ascii="Arial" w:hAnsi="Arial"/>
                <w:sz w:val="18"/>
              </w:rPr>
              <w:t>✅ Disclosed</w:t>
            </w:r>
          </w:p>
        </w:tc>
        <w:tc>
          <w:tcPr>
            <w:tcW w:type="dxa" w:w="1806"/>
          </w:tcPr>
          <w:p>
            <w:r>
              <w:rPr>
                <w:rFonts w:ascii="Arial" w:hAnsi="Arial"/>
                <w:sz w:val="18"/>
              </w:rPr>
              <w:t>✅ Disclosed</w:t>
            </w:r>
          </w:p>
        </w:tc>
      </w:tr>
    </w:tbl>
    <w:p>
      <w:r>
        <w:rPr>
          <w:rFonts w:ascii="Arial" w:hAnsi="Arial"/>
          <w:i/>
          <w:sz w:val="16"/>
        </w:rPr>
        <w:t>Source: Assessment based on current disclosure completeness versus framework requirements; ✅ = fully disclosed, ⚠️ = partially disclosed, ❌ = not disclosed, N/A = not required by framework</w:t>
      </w:r>
    </w:p>
    <w:p/>
    <w:p/>
    <w:p>
      <w:r>
        <w:rPr>
          <w:b/>
          <w:color w:val="3D6094"/>
          <w:sz w:val="24"/>
        </w:rPr>
        <w:t>Top Strategic Recommendations</w:t>
      </w:r>
    </w:p>
    <w:p>
      <w:pPr>
        <w:spacing w:after="160" w:line="276" w:lineRule="auto"/>
      </w:pPr>
      <w:r>
        <w:t>→ Establish sector-specific financed emissions reduction targets for Energy - Oil &amp; Gas (9,573,144.27 tCO₂e, 43.56% of portfolio) and Manufacturing - Cement (5,813,830.91 tCO₂e, 26.45% of portfolio) — Expected to reduce portfolio emissions by 15-20% by 2030 through client engagement and sector reallocation — Implementation Q2 2025 — Reference: Peer banks in Indonesia have adopted sector-level targets aligned with IEA Net Zero scenarios</w:t>
      </w:r>
    </w:p>
    <w:p>
      <w:pPr>
        <w:spacing w:after="160" w:line="276" w:lineRule="auto"/>
      </w:pPr>
      <w:r>
        <w:t>→ Implement PCAF data quality improvement roadmap targeting portfolio-weighted score reduction from 3.36 to ≤3.0 by end-2025 — Requires borrower engagement protocols to collect primary emissions data for top 100 exposures (estimated 60% of financed emissions) — Expected to reduce confidence gap from 30.47% to &lt;20% — Timeline: Q1-Q4 2025 — Reference: Leading Indonesian banks achieve PCAF scores of 2.8-3.1 through systematic borrower data collection programs</w:t>
      </w:r>
    </w:p>
    <w:p>
      <w:pPr>
        <w:spacing w:after="160" w:line="276" w:lineRule="auto"/>
      </w:pPr>
      <w:r>
        <w:t>→ Obtain limited assurance for Scope 1, 2, and 3 Category 15 emissions for FY2025 reporting — Required for OJK PSPK Phase 2 compliance (effective 2026) and investor credibility — Estimated cost IDR 800M-1.2B for initial assurance engagement — Timeline: Engage assurance provider Q3 2025 for FY2025 audit — Reference: 65% of Indonesian listed banks obtained assurance for FY2023 disclosures</w:t>
      </w:r>
    </w:p>
    <w:p>
      <w:pPr>
        <w:spacing w:after="160" w:line="276" w:lineRule="auto"/>
      </w:pPr>
      <w:r>
        <w:t>→ Develop formal gender diversity improvement plan targeting 45% female representation and 35% female management representation by 2027 — Current trajectory shows 3.88pp decline in overall female representation requiring immediate intervention — Implement revised recruitment targets, mentorship programs, and succession planning protocols — Timeline: Plan approval Q2 2025, implementation Q3 2025 — Reference: Indonesian banking sector average female representation is 48% (2023 OJK data)</w:t>
      </w:r>
    </w:p>
    <w:p>
      <w:pPr>
        <w:spacing w:after="160" w:line="276" w:lineRule="auto"/>
      </w:pPr>
      <w:r>
        <w:t>→ Conduct climate scenario analysis using IEA NZE 2050 and Delayed Transition scenarios to quantify transition risk exposure in IDR trillion terms — Required for IFRS S2 preparedness and Board-level risk appetite calibration — Focus on Energy - Oil &amp; Gas and Manufacturing - Cement portfolios (70% of financed emissions) — Timeline: Complete analysis Q3 2025, integrate into 2025 ICAAP — Reference: TCFD-aligned banks conduct biennial scenario analysis with Board review</w:t>
      </w:r>
    </w:p>
    <w:p>
      <w:r>
        <w:rPr>
          <w:i/>
          <w:color w:val="3D6094"/>
          <w:sz w:val="18"/>
        </w:rPr>
        <w:t>Framework references: GRI 305-1 (Direct GHG emissions - Scope 1); GRI 305-2 (Energy indirect GHG emissions - Scope 2); GRI 305-3 (Other indirect GHG emissions - Scope 3); GRI 305-4 (GHG emissions intensity); GRI 405-1 (Diversity of governance bodies and employees); GRI 404-1 (Average hours of training per year per employee); PCAF Standard (2022) - Financed Emissions Methodology; GHG Protocol Corporate Accounting and Reporting Standard (Revised Edition); OJK Regulation No. 51/2017 on Sustainable Finance for Financial Services Institutions</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Total GHG emissions calculated as Scope 1 + Scope 2 (market-based) + Scope 3 Category 15 (gross) per GHG Protocol Corporate Standard hierarchy. Location-based Scope 2 total (22,025,211.173 tCO₂e) provided as supplementary disclosure.</w:t>
      </w:r>
    </w:p>
    <w:p>
      <w:pPr>
        <w:spacing w:after="160" w:line="276" w:lineRule="auto"/>
      </w:pPr>
      <w:r>
        <w:rPr>
          <w:rFonts w:ascii="Arial" w:hAnsi="Arial"/>
          <w:i/>
          <w:color w:val="646464"/>
          <w:sz w:val="18"/>
        </w:rPr>
        <w:t>Scope 3 Category 15 financed emissions calculated using PCAF Standard (2022) methodology. Gross emissions represent total borrower emissions proportional to outstanding loan balances. Weighted emissions adjust for attribution factors and data quality confidence levels.</w:t>
      </w:r>
    </w:p>
    <w:p>
      <w:pPr>
        <w:spacing w:after="160" w:line="276" w:lineRule="auto"/>
      </w:pPr>
      <w:r>
        <w:rPr>
          <w:rFonts w:ascii="Arial" w:hAnsi="Arial"/>
          <w:i/>
          <w:color w:val="646464"/>
          <w:sz w:val="18"/>
        </w:rPr>
        <w:t>PCAF data quality score of 3.36 indicates portfolio-weighted reliance on PCAF Score 3 (physical activity-based estimates using sector-average emission factors) for majority of financed emissions calculations.</w:t>
      </w:r>
    </w:p>
    <w:p>
      <w:pPr>
        <w:spacing w:after="160" w:line="276" w:lineRule="auto"/>
      </w:pPr>
      <w:r>
        <w:rPr>
          <w:rFonts w:ascii="Arial" w:hAnsi="Arial"/>
          <w:i/>
          <w:color w:val="646464"/>
          <w:sz w:val="18"/>
        </w:rPr>
        <w:t>Year-over-year comparison based on restated 2023 baseline using consistent methodology. Prior year figures have not been adjusted for portfolio composition changes.</w:t>
      </w:r>
    </w:p>
    <w:p>
      <w:pPr>
        <w:spacing w:after="160" w:line="276" w:lineRule="auto"/>
      </w:pPr>
      <w:r>
        <w:rPr>
          <w:rFonts w:ascii="Arial" w:hAnsi="Arial"/>
          <w:i/>
          <w:color w:val="646464"/>
          <w:sz w:val="18"/>
        </w:rPr>
        <w:t>Emission intensity metrics calculated using total market-based emissions (22,024,812.815 tCO₂e) divided by total revenue (IDR 92,000 billion estimated) and total FTE (24,997 employees).</w:t>
      </w:r>
    </w:p>
    <w:p>
      <w:pPr>
        <w:spacing w:after="160" w:line="276" w:lineRule="auto"/>
      </w:pPr>
      <w:r>
        <w:rPr>
          <w:rFonts w:ascii="Arial" w:hAnsi="Arial"/>
          <w:i/>
          <w:color w:val="646464"/>
          <w:sz w:val="18"/>
        </w:rPr>
        <w:t>Social metrics sourced from institution's HRIS system. Female representation percentages calculated as headcount (not FTE). Discrimination cases reflect formal complaints filed through internal grievance mechanism.</w:t>
      </w:r>
    </w:p>
    <w:p>
      <w:pPr>
        <w:spacing w:after="160" w:line="276" w:lineRule="auto"/>
      </w:pPr>
      <w:r>
        <w:rPr>
          <w:rFonts w:ascii="Arial" w:hAnsi="Arial"/>
          <w:i/>
          <w:color w:val="646464"/>
          <w:sz w:val="18"/>
        </w:rPr>
        <w:t>Framework compliance assessment reflects disclosure completeness as of reporting date. Gaps identified do not constitute non-compliance where frameworks permit phased implementation or voluntary adoption.</w:t>
      </w:r>
    </w:p>
    <w:p>
      <w:r>
        <w:br w:type="page"/>
      </w:r>
    </w:p>
    <w:p>
      <w:pPr>
        <w:pStyle w:val="Heading1"/>
        <w:keepNext/>
        <w:spacing w:before="480" w:after="240"/>
      </w:pPr>
      <w:r>
        <w:rPr>
          <w:rFonts w:ascii="Arial" w:hAnsi="Arial"/>
          <w:b/>
          <w:color w:val="1B3A6B"/>
          <w:sz w:val="36"/>
        </w:rPr>
        <w:t>Environmental Performance</w:t>
      </w:r>
    </w:p>
    <w:p>
      <w:pPr>
        <w:pStyle w:val="Heading2"/>
        <w:keepNext/>
        <w:spacing w:before="360" w:after="160"/>
      </w:pPr>
      <w:r>
        <w:rPr>
          <w:rFonts w:ascii="Arial" w:hAnsi="Arial"/>
          <w:b/>
          <w:color w:val="3D6094"/>
          <w:sz w:val="28"/>
        </w:rPr>
        <w:t>1.1 Direct GHG Emissions — Scope 1</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3,403.0</w:t>
            </w:r>
            <w:r>
              <w:rPr>
                <w:color w:val="757575"/>
                <w:sz w:val="18"/>
              </w:rPr>
              <w:t xml:space="preserve"> tCO₂e</w:t>
            </w:r>
            <w:r>
              <w:rPr>
                <w:b/>
                <w:color w:val="C62828"/>
                <w:sz w:val="20"/>
              </w:rPr>
              <w:br/>
              <w:t>+2.36% YoY</w:t>
            </w:r>
          </w:p>
        </w:tc>
        <w:tc>
          <w:tcPr>
            <w:tcW w:type="dxa" w:w="2257"/>
            <w:shd w:fill="F2F6FA" w:val="clear"/>
          </w:tcPr>
          <w:p>
            <w:pPr>
              <w:jc w:val="center"/>
            </w:pPr>
            <w:r>
              <w:rPr>
                <w:b/>
                <w:color w:val="1B3A6B"/>
                <w:sz w:val="36"/>
              </w:rPr>
              <w:t>64.7</w:t>
            </w:r>
            <w:r>
              <w:rPr>
                <w:color w:val="757575"/>
                <w:sz w:val="18"/>
              </w:rPr>
              <w:t xml:space="preserve"> %</w:t>
            </w:r>
            <w:r>
              <w:rPr>
                <w:b/>
                <w:color w:val="C62828"/>
                <w:sz w:val="20"/>
              </w:rPr>
              <w:br/>
              <w:t>Primary reduction lever</w:t>
            </w:r>
          </w:p>
        </w:tc>
        <w:tc>
          <w:tcPr>
            <w:tcW w:type="dxa" w:w="2257"/>
            <w:shd w:fill="F2F6FA" w:val="clear"/>
          </w:tcPr>
          <w:p>
            <w:pPr>
              <w:jc w:val="center"/>
            </w:pPr>
            <w:r>
              <w:rPr>
                <w:b/>
                <w:color w:val="1B3A6B"/>
                <w:sz w:val="36"/>
              </w:rPr>
              <w:t>+2.36</w:t>
            </w:r>
            <w:r>
              <w:rPr>
                <w:color w:val="757575"/>
                <w:sz w:val="18"/>
              </w:rPr>
              <w:t xml:space="preserve"> % (Institution)</w:t>
            </w:r>
            <w:r>
              <w:rPr>
                <w:b/>
                <w:color w:val="C62828"/>
                <w:sz w:val="20"/>
              </w:rPr>
              <w:br/>
              <w:t>Peers: -5% to -12%</w:t>
            </w:r>
          </w:p>
        </w:tc>
        <w:tc>
          <w:tcPr>
            <w:tcW w:type="dxa" w:w="2257"/>
            <w:shd w:fill="F2F6FA" w:val="clear"/>
          </w:tcPr>
          <w:p>
            <w:pPr>
              <w:jc w:val="center"/>
            </w:pPr>
            <w:r>
              <w:rPr>
                <w:b/>
                <w:color w:val="1B3A6B"/>
                <w:sz w:val="36"/>
              </w:rPr>
              <w:t>20.9</w:t>
            </w:r>
            <w:r>
              <w:rPr>
                <w:color w:val="757575"/>
                <w:sz w:val="18"/>
              </w:rPr>
              <w:t xml:space="preserve"> %</w:t>
            </w:r>
            <w:r>
              <w:rPr>
                <w:b/>
                <w:color w:val="2E7D32"/>
                <w:sz w:val="20"/>
              </w:rPr>
              <w:br/>
              <w:t>Targeted intervention opportunity</w:t>
            </w:r>
          </w:p>
        </w:tc>
      </w:tr>
      <w:tr>
        <w:tc>
          <w:tcPr>
            <w:tcW w:type="dxa" w:w="2257"/>
            <w:shd w:fill="F2F6FA" w:val="clear"/>
          </w:tcPr>
          <w:p>
            <w:pPr>
              <w:jc w:val="center"/>
            </w:pPr>
            <w:r>
              <w:rPr>
                <w:color w:val="757575"/>
                <w:sz w:val="16"/>
              </w:rPr>
              <w:t>Total Scope 1 Emissions</w:t>
            </w:r>
          </w:p>
        </w:tc>
        <w:tc>
          <w:tcPr>
            <w:tcW w:type="dxa" w:w="2257"/>
            <w:shd w:fill="F2F6FA" w:val="clear"/>
          </w:tcPr>
          <w:p>
            <w:pPr>
              <w:jc w:val="center"/>
            </w:pPr>
            <w:r>
              <w:rPr>
                <w:color w:val="757575"/>
                <w:sz w:val="16"/>
              </w:rPr>
              <w:t>Diesel Contribution</w:t>
            </w:r>
          </w:p>
        </w:tc>
        <w:tc>
          <w:tcPr>
            <w:tcW w:type="dxa" w:w="2257"/>
            <w:shd w:fill="F2F6FA" w:val="clear"/>
          </w:tcPr>
          <w:p>
            <w:pPr>
              <w:jc w:val="center"/>
            </w:pPr>
            <w:r>
              <w:rPr>
                <w:color w:val="757575"/>
                <w:sz w:val="16"/>
              </w:rPr>
              <w:t>YoY Change vs Peers</w:t>
            </w:r>
          </w:p>
        </w:tc>
        <w:tc>
          <w:tcPr>
            <w:tcW w:type="dxa" w:w="2257"/>
            <w:shd w:fill="F2F6FA" w:val="clear"/>
          </w:tcPr>
          <w:p>
            <w:pPr>
              <w:jc w:val="center"/>
            </w:pPr>
            <w:r>
              <w:rPr>
                <w:color w:val="757575"/>
                <w:sz w:val="16"/>
              </w:rPr>
              <w:t>Top 5 Facilities Concentration</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naik 2.36% sementara peers turun 8-12% — diesel over-reliance adalah gap driver utama</w:t>
            </w:r>
          </w:p>
          <w:p>
            <w:r>
              <w:rPr>
                <w:sz w:val="20"/>
              </w:rPr>
              <w:t>Emisi diesel meningkat 3.66% YoY, mencerminkan ketergantungan struktural pada generator backup dan armada kendaraan konvensional. DBS mencapai penurunan 12% melalui renewable energy 62%, sementara BRI turunkan intensitas energi 7.1% via solar+EV. Gap ini mengekspos risiko regulasi (OJK POJK 51, CSRD timeline) dan reputasi (investor ESG scrutiny).</w:t>
            </w:r>
          </w:p>
        </w:tc>
      </w:tr>
    </w:tbl>
    <w:p/>
    <w:p>
      <w:pPr>
        <w:spacing w:after="160" w:line="276" w:lineRule="auto"/>
      </w:pPr>
      <w:r>
        <w:rPr>
          <w:rFonts w:ascii="Arial" w:hAnsi="Arial"/>
          <w:sz w:val="22"/>
        </w:rPr>
        <w:t>The institution's gross direct (Scope 1) greenhouse gas emissions for the reporting period ending 31 December 2024 totaled 3402.997 metric tons of carbon dioxide equivalent (tCO₂e). These emissions arise from fuel combustion in facilities and vehicles under the institution's operational control, as defined by the GHG Protocol Corporate Accounting and Reporting Standard. The operational boundary encompasses all assets and operations where the institution holds operational control, consistent with the consolidation approach applied across all sustainability disclosures.</w:t>
      </w:r>
    </w:p>
    <w:p>
      <w:pPr>
        <w:spacing w:after="160" w:line="276" w:lineRule="auto"/>
      </w:pPr>
      <w:r>
        <w:rPr>
          <w:rFonts w:ascii="Arial" w:hAnsi="Arial"/>
          <w:sz w:val="22"/>
        </w:rPr>
        <w:t>Scope 1 emissions originate from two primary combustion sources: stationary natural gas consumption in building heating and backup power systems contributed 1199.7924 tCO₂e (35.3% of total Scope 1), while mobile and stationary diesel combustion for generators, fleet vehicles, and emergency backup systems accounted for 2203.2044 tCO₂e (64.7% of total Scope 1). The diesel-dominant emission profile reflects the institution's reliance on backup generators during grid instability events and a fleet composition that has not yet transitioned to lower-carbon alternatives. This source distribution presents a clear decarbonization pathway, as diesel-related emissions are addressable through renewable energy integration, battery storage systems, and fleet electrification.</w:t>
      </w:r>
    </w:p>
    <w:p>
      <w:pPr>
        <w:spacing w:after="160" w:line="276" w:lineRule="auto"/>
      </w:pPr>
      <w:r>
        <w:rPr>
          <w:rFonts w:ascii="Arial" w:hAnsi="Arial"/>
          <w:sz w:val="22"/>
        </w:rPr>
        <w:t>The institution applies the GHG Protocol Corporate Standard (Revised Edition, 2015) for all Scope 1 emission calculations, using the operational control consolidation approach as specified in Chapter 3 of the Standard. Emission factors for natural gas and diesel combustion are sourced from the Indonesian Ministry of Energy and Mineral Resources (ESDM) 2023 National Emission Factor Database, with supplementary factors from the 2006 IPCC Guidelines for National Greenhouse Gas Inventories (Volume 2, Energy) where country-specific factors are unavailable. Global Warming Potential (GWP) values are derived from the Intergovernmental Panel on Climate Change (IPCC) Sixth Assessment Report (AR6, 2021) using a 100-year time horizon: methane (CH₄) = 29.8 kg CO₂e/kg, nitrous oxide (N₂O) = 273.0 kg CO₂e/kg, and carbon dioxide (CO₂) = 1.0 kg CO₂e/kg. The calculation encompasses three greenhouse gases—CO₂, CH₄, and N₂O—which represent all material GHG species emitted from natural gas and diesel combustion processes. Fluorinated gases (HFCs, PFCs, SF₆, NF₃) are not included as the institution does not operate refrigeration systems, fire suppression equipment, or electrical switchgear under operational control that would generate material emissions from these sources.</w:t>
      </w:r>
    </w:p>
    <w:p>
      <w:pPr>
        <w:spacing w:after="160" w:line="276" w:lineRule="auto"/>
      </w:pPr>
      <w:r>
        <w:rPr>
          <w:rFonts w:ascii="Arial" w:hAnsi="Arial"/>
          <w:sz w:val="22"/>
        </w:rPr>
        <w:t>Compared to the prior reporting period (2023), Scope 1 emissions increased by 78.476 tCO₂e, representing a year-over-year growth of 2.36%. The 2023 baseline was 3324.521 tCO₂e, comprising 1199.0321 tCO₂e from natural gas and 2125.4888 tCO₂e from diesel. Natural gas emissions remained essentially stable with a marginal increase of 0.7603 tCO₂e (+0.06%), attributable to consistent heating demand across the facility portfolio. Diesel emissions, however, rose by 77.7156 tCO₂e (+3.66%), driven by increased generator runtime during Q2 and Q3 2024 grid maintenance events in the Jakarta metropolitan area and expansion of the vehicle fleet to support new branch operations in secondary cities. This upward trend contrasts with peer institution performance: DBS Group achieved a 12% reduction in total operational emissions (Scope 1+2) in 2023, BRI reduced energy intensity by 7.1% year-over-year, and Bank Mandiri reported a 5.1% decline in combined Scope 1+2 emissions. The institution's countercyclical trend indicates a structural reliance on diesel that requires strategic intervention to align with sectoral decarbonization trajectories.</w:t>
      </w:r>
    </w:p>
    <w:p>
      <w:pPr>
        <w:spacing w:after="160" w:line="276" w:lineRule="auto"/>
      </w:pPr>
      <w:r>
        <w:rPr>
          <w:rFonts w:ascii="Arial" w:hAnsi="Arial"/>
          <w:sz w:val="22"/>
        </w:rPr>
        <w:t>Facility-level analysis reveals concentration of Scope 1 emissions across the institution's largest operational sites. The top five emitting facilities collectively account for 711.3896 tCO₂e, or 20.9% of total Scope 1 emissions. FAC-0197 (Jakarta headquarters complex) leads with 147.7152 tCO₂e, driven by dual-fuel backup systems and high diesel generator utilization during peak demand periods. FAC-0198 (Surabaya regional office) and FAC-0200 (Bandung processing center) contribute 137.8381 tCO₂e and 131.4422 tCO₂e respectively, both exhibiting balanced natural gas and diesel profiles. FAC-0196 (Medan branch cluster) and FAC-0199 (Semarang operations hub) complete the top five with 124.4219 tCO₂e and 109.4122 tCO₂e. All ten facilities listed in the facility breakdown achieved Data Quality Score 1, indicating primary metered data with no estimation or proxy application, which provides high confidence for targeted reduction initiatives. The geographic distribution of high-emission facilities—concentrated in Java and Sumatra—aligns with grid infrastructure challenges in these regions, reinforcing the strategic case for on-site renewable energy deployment.</w:t>
      </w:r>
    </w:p>
    <w:p>
      <w:pPr>
        <w:spacing w:after="160" w:line="276" w:lineRule="auto"/>
      </w:pPr>
      <w:r>
        <w:rPr>
          <w:rFonts w:ascii="Arial" w:hAnsi="Arial"/>
          <w:sz w:val="22"/>
        </w:rPr>
        <w:t>These figures have not been subject to external assurance for the current reporting period.</w:t>
      </w:r>
    </w:p>
    <w:p>
      <w:r>
        <w:rPr>
          <w:rFonts w:ascii="Arial" w:hAnsi="Arial"/>
          <w:b/>
          <w:sz w:val="20"/>
        </w:rPr>
        <w:t>Table 12: Table 1.1.1: Scope 1 Emissions by Combustion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Fuel Type</w:t>
            </w:r>
          </w:p>
        </w:tc>
        <w:tc>
          <w:tcPr>
            <w:tcW w:type="dxa" w:w="1806"/>
            <w:shd w:fill="1B3A6B" w:val="clear"/>
          </w:tcPr>
          <w:p>
            <w:r>
              <w:rPr>
                <w:rFonts w:ascii="Arial" w:hAnsi="Arial"/>
                <w:b/>
                <w:color w:val="FFFFFF"/>
                <w:sz w:val="18"/>
              </w:rPr>
              <w:t>Emissions (tCO₂e)</w:t>
            </w:r>
          </w:p>
        </w:tc>
        <w:tc>
          <w:tcPr>
            <w:tcW w:type="dxa" w:w="1806"/>
            <w:shd w:fill="1B3A6B" w:val="clear"/>
          </w:tcPr>
          <w:p>
            <w:r>
              <w:rPr>
                <w:rFonts w:ascii="Arial" w:hAnsi="Arial"/>
                <w:b/>
                <w:color w:val="FFFFFF"/>
                <w:sz w:val="18"/>
              </w:rPr>
              <w:t>Percentage of Scope 1</w:t>
            </w:r>
          </w:p>
        </w:tc>
        <w:tc>
          <w:tcPr>
            <w:tcW w:type="dxa" w:w="1806"/>
            <w:shd w:fill="1B3A6B" w:val="clear"/>
          </w:tcPr>
          <w:p>
            <w:r>
              <w:rPr>
                <w:rFonts w:ascii="Arial" w:hAnsi="Arial"/>
                <w:b/>
                <w:color w:val="FFFFFF"/>
                <w:sz w:val="18"/>
              </w:rPr>
              <w:t>Primary Use</w:t>
            </w:r>
          </w:p>
        </w:tc>
      </w:tr>
      <w:tr>
        <w:tc>
          <w:tcPr>
            <w:tcW w:type="dxa" w:w="1806"/>
          </w:tcPr>
          <w:p>
            <w:r>
              <w:rPr>
                <w:rFonts w:ascii="Arial" w:hAnsi="Arial"/>
                <w:sz w:val="18"/>
              </w:rPr>
              <w:t>Stationary Combustion</w:t>
            </w:r>
          </w:p>
        </w:tc>
        <w:tc>
          <w:tcPr>
            <w:tcW w:type="dxa" w:w="1806"/>
          </w:tcPr>
          <w:p>
            <w:r>
              <w:rPr>
                <w:rFonts w:ascii="Arial" w:hAnsi="Arial"/>
                <w:sz w:val="18"/>
              </w:rPr>
              <w:t>Natural Gas</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c>
          <w:tcPr>
            <w:tcW w:type="dxa" w:w="1806"/>
          </w:tcPr>
          <w:p>
            <w:r>
              <w:rPr>
                <w:rFonts w:ascii="Arial" w:hAnsi="Arial"/>
                <w:sz w:val="18"/>
              </w:rPr>
              <w:t>Building heating, backup power</w:t>
            </w:r>
          </w:p>
        </w:tc>
      </w:tr>
      <w:tr>
        <w:tc>
          <w:tcPr>
            <w:tcW w:type="dxa" w:w="1806"/>
            <w:shd w:fill="F2F6FC" w:val="clear"/>
          </w:tcPr>
          <w:p>
            <w:r>
              <w:rPr>
                <w:rFonts w:ascii="Arial" w:hAnsi="Arial"/>
                <w:sz w:val="18"/>
              </w:rPr>
              <w:t>Mobile &amp; Stationary Combustion</w:t>
            </w:r>
          </w:p>
        </w:tc>
        <w:tc>
          <w:tcPr>
            <w:tcW w:type="dxa" w:w="1806"/>
            <w:shd w:fill="F2F6FC" w:val="clear"/>
          </w:tcPr>
          <w:p>
            <w:r>
              <w:rPr>
                <w:rFonts w:ascii="Arial" w:hAnsi="Arial"/>
                <w:sz w:val="18"/>
              </w:rPr>
              <w:t>Diesel</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c>
          <w:tcPr>
            <w:tcW w:type="dxa" w:w="1806"/>
            <w:shd w:fill="F2F6FC" w:val="clear"/>
          </w:tcPr>
          <w:p>
            <w:r>
              <w:rPr>
                <w:rFonts w:ascii="Arial" w:hAnsi="Arial"/>
                <w:sz w:val="18"/>
              </w:rPr>
              <w:t>Generators, fleet vehicles, emergency backup</w:t>
            </w:r>
          </w:p>
        </w:tc>
      </w:tr>
      <w:tr>
        <w:tc>
          <w:tcPr>
            <w:tcW w:type="dxa" w:w="1806"/>
          </w:tcPr>
          <w:p>
            <w:r>
              <w:rPr>
                <w:rFonts w:ascii="Arial" w:hAnsi="Arial"/>
                <w:sz w:val="18"/>
              </w:rPr>
              <w:t>**Total Scope 1**</w:t>
            </w:r>
          </w:p>
        </w:tc>
        <w:tc>
          <w:tcPr>
            <w:tcW w:type="dxa" w:w="1806"/>
          </w:tcPr>
          <w:p>
            <w:r>
              <w:rPr>
                <w:rFonts w:ascii="Arial" w:hAnsi="Arial"/>
                <w:sz w:val="18"/>
              </w:rPr>
              <w:t>**All Sources**</w:t>
            </w:r>
          </w:p>
        </w:tc>
        <w:tc>
          <w:tcPr>
            <w:tcW w:type="dxa" w:w="1806"/>
          </w:tcPr>
          <w:p>
            <w:r>
              <w:rPr>
                <w:rFonts w:ascii="Arial" w:hAnsi="Arial"/>
                <w:sz w:val="18"/>
              </w:rPr>
              <w:t>**3402.997**</w:t>
            </w:r>
          </w:p>
        </w:tc>
        <w:tc>
          <w:tcPr>
            <w:tcW w:type="dxa" w:w="1806"/>
          </w:tcPr>
          <w:p>
            <w:r>
              <w:rPr>
                <w:rFonts w:ascii="Arial" w:hAnsi="Arial"/>
                <w:sz w:val="18"/>
              </w:rPr>
              <w:t>**100.0%**</w:t>
            </w:r>
          </w:p>
        </w:tc>
        <w:tc>
          <w:tcPr>
            <w:tcW w:type="dxa" w:w="1806"/>
          </w:tcPr>
          <w:p>
            <w:r>
              <w:rPr>
                <w:rFonts w:ascii="Arial" w:hAnsi="Arial"/>
                <w:sz w:val="18"/>
              </w:rPr>
              <w:t>—</w:t>
            </w:r>
          </w:p>
        </w:tc>
      </w:tr>
    </w:tbl>
    <w:p>
      <w:r>
        <w:rPr>
          <w:rFonts w:ascii="Arial" w:hAnsi="Arial"/>
          <w:i/>
          <w:sz w:val="16"/>
        </w:rPr>
        <w:t>Source: Source: Internal energy consumption records, metered data. Emission factors: ESDM 2023 National Database, IPCC 2006 Guidelines Vol. 2. GWP values: IPCC AR6 (2021).</w:t>
      </w:r>
    </w:p>
    <w:p/>
    <w:p>
      <w:r>
        <w:rPr>
          <w:rFonts w:ascii="Arial" w:hAnsi="Arial"/>
          <w:b/>
          <w:sz w:val="20"/>
        </w:rPr>
        <w:t>Table 14: Table 1.1.2: Year-over-Year Scope 1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 (tCO₂e)</w:t>
            </w:r>
          </w:p>
        </w:tc>
        <w:tc>
          <w:tcPr>
            <w:tcW w:type="dxa" w:w="1806"/>
            <w:shd w:fill="1B3A6B" w:val="clear"/>
          </w:tcPr>
          <w:p>
            <w:r>
              <w:rPr>
                <w:rFonts w:ascii="Arial" w:hAnsi="Arial"/>
                <w:b/>
                <w:color w:val="FFFFFF"/>
                <w:sz w:val="18"/>
              </w:rPr>
              <w:t>2024 (tCO₂e)</w:t>
            </w:r>
          </w:p>
        </w:tc>
        <w:tc>
          <w:tcPr>
            <w:tcW w:type="dxa" w:w="1806"/>
            <w:shd w:fill="1B3A6B" w:val="clear"/>
          </w:tcPr>
          <w:p>
            <w:r>
              <w:rPr>
                <w:rFonts w:ascii="Arial" w:hAnsi="Arial"/>
                <w:b/>
                <w:color w:val="FFFFFF"/>
                <w:sz w:val="18"/>
              </w:rPr>
              <w:t>Absolute Change (tCO₂e)</w:t>
            </w:r>
          </w:p>
        </w:tc>
        <w:tc>
          <w:tcPr>
            <w:tcW w:type="dxa" w:w="1806"/>
            <w:shd w:fill="1B3A6B" w:val="clear"/>
          </w:tcPr>
          <w:p>
            <w:r>
              <w:rPr>
                <w:rFonts w:ascii="Arial" w:hAnsi="Arial"/>
                <w:b/>
                <w:color w:val="FFFFFF"/>
                <w:sz w:val="18"/>
              </w:rPr>
              <w:t>Percentage Change</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1199.0321</w:t>
            </w:r>
          </w:p>
        </w:tc>
        <w:tc>
          <w:tcPr>
            <w:tcW w:type="dxa" w:w="1806"/>
          </w:tcPr>
          <w:p>
            <w:pPr>
              <w:jc w:val="right"/>
            </w:pPr>
            <w:r>
              <w:rPr>
                <w:rFonts w:ascii="Arial" w:hAnsi="Arial"/>
                <w:sz w:val="18"/>
              </w:rPr>
              <w:t>1199.7924</w:t>
            </w:r>
          </w:p>
        </w:tc>
        <w:tc>
          <w:tcPr>
            <w:tcW w:type="dxa" w:w="1806"/>
          </w:tcPr>
          <w:p>
            <w:pPr>
              <w:jc w:val="right"/>
            </w:pPr>
            <w:r>
              <w:rPr>
                <w:rFonts w:ascii="Arial" w:hAnsi="Arial"/>
                <w:sz w:val="18"/>
              </w:rPr>
              <w:t>+0.7603</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Combustion</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+77.7156</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w:t>
            </w:r>
          </w:p>
        </w:tc>
        <w:tc>
          <w:tcPr>
            <w:tcW w:type="dxa" w:w="1806"/>
          </w:tcPr>
          <w:p>
            <w:r>
              <w:rPr>
                <w:rFonts w:ascii="Arial" w:hAnsi="Arial"/>
                <w:sz w:val="18"/>
              </w:rPr>
              <w:t>**3324.521**</w:t>
            </w:r>
          </w:p>
        </w:tc>
        <w:tc>
          <w:tcPr>
            <w:tcW w:type="dxa" w:w="1806"/>
          </w:tcPr>
          <w:p>
            <w:r>
              <w:rPr>
                <w:rFonts w:ascii="Arial" w:hAnsi="Arial"/>
                <w:sz w:val="18"/>
              </w:rPr>
              <w:t>**3402.997**</w:t>
            </w:r>
          </w:p>
        </w:tc>
        <w:tc>
          <w:tcPr>
            <w:tcW w:type="dxa" w:w="1806"/>
          </w:tcPr>
          <w:p>
            <w:r>
              <w:rPr>
                <w:rFonts w:ascii="Arial" w:hAnsi="Arial"/>
                <w:sz w:val="18"/>
              </w:rPr>
              <w:t>**+78.476**</w:t>
            </w:r>
          </w:p>
        </w:tc>
        <w:tc>
          <w:tcPr>
            <w:tcW w:type="dxa" w:w="1806"/>
          </w:tcPr>
          <w:p>
            <w:r>
              <w:rPr>
                <w:rFonts w:ascii="Arial" w:hAnsi="Arial"/>
                <w:sz w:val="18"/>
              </w:rPr>
              <w:t>**+2.36%**</w:t>
            </w:r>
          </w:p>
        </w:tc>
      </w:tr>
    </w:tbl>
    <w:p>
      <w:r>
        <w:rPr>
          <w:rFonts w:ascii="Arial" w:hAnsi="Arial"/>
          <w:i/>
          <w:sz w:val="16"/>
        </w:rPr>
        <w:t>Source: Source: Annual GHG inventory calculations. Methodology consistent across reporting periods.</w:t>
      </w:r>
    </w:p>
    <w:p/>
    <w:p>
      <w:r>
        <w:rPr>
          <w:rFonts w:ascii="Arial" w:hAnsi="Arial"/>
          <w:b/>
          <w:sz w:val="20"/>
        </w:rPr>
        <w:t>Table 16: Table 1.1.3: Top 10 Scope 1 Emitting Facilities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Facility ID</w:t>
            </w:r>
          </w:p>
        </w:tc>
        <w:tc>
          <w:tcPr>
            <w:tcW w:type="dxa" w:w="1505"/>
            <w:shd w:fill="1B3A6B" w:val="clear"/>
          </w:tcPr>
          <w:p>
            <w:r>
              <w:rPr>
                <w:rFonts w:ascii="Arial" w:hAnsi="Arial"/>
                <w:b/>
                <w:color w:val="FFFFFF"/>
                <w:sz w:val="18"/>
              </w:rPr>
              <w:t>Location</w:t>
            </w:r>
          </w:p>
        </w:tc>
        <w:tc>
          <w:tcPr>
            <w:tcW w:type="dxa" w:w="1505"/>
            <w:shd w:fill="1B3A6B" w:val="clear"/>
          </w:tcPr>
          <w:p>
            <w:r>
              <w:rPr>
                <w:rFonts w:ascii="Arial" w:hAnsi="Arial"/>
                <w:b/>
                <w:color w:val="FFFFFF"/>
                <w:sz w:val="18"/>
              </w:rPr>
              <w:t>Total Scope 1 (tCO₂e)</w:t>
            </w:r>
          </w:p>
        </w:tc>
        <w:tc>
          <w:tcPr>
            <w:tcW w:type="dxa" w:w="1505"/>
            <w:shd w:fill="1B3A6B" w:val="clear"/>
          </w:tcPr>
          <w:p>
            <w:r>
              <w:rPr>
                <w:rFonts w:ascii="Arial" w:hAnsi="Arial"/>
                <w:b/>
                <w:color w:val="FFFFFF"/>
                <w:sz w:val="18"/>
              </w:rPr>
              <w:t>Natural Gas (tCO₂e)</w:t>
            </w:r>
          </w:p>
        </w:tc>
        <w:tc>
          <w:tcPr>
            <w:tcW w:type="dxa" w:w="1505"/>
            <w:shd w:fill="1B3A6B" w:val="clear"/>
          </w:tcPr>
          <w:p>
            <w:r>
              <w:rPr>
                <w:rFonts w:ascii="Arial" w:hAnsi="Arial"/>
                <w:b/>
                <w:color w:val="FFFFFF"/>
                <w:sz w:val="18"/>
              </w:rPr>
              <w:t>Diesel (tCO₂e)</w:t>
            </w:r>
          </w:p>
        </w:tc>
        <w:tc>
          <w:tcPr>
            <w:tcW w:type="dxa" w:w="1505"/>
            <w:shd w:fill="1B3A6B" w:val="clear"/>
          </w:tcPr>
          <w:p>
            <w:r>
              <w:rPr>
                <w:rFonts w:ascii="Arial" w:hAnsi="Arial"/>
                <w:b/>
                <w:color w:val="FFFFFF"/>
                <w:sz w:val="18"/>
              </w:rPr>
              <w:t>Data Quality Score</w:t>
            </w:r>
          </w:p>
        </w:tc>
      </w:tr>
      <w:tr>
        <w:tc>
          <w:tcPr>
            <w:tcW w:type="dxa" w:w="1505"/>
          </w:tcPr>
          <w:p>
            <w:r>
              <w:rPr>
                <w:rFonts w:ascii="Arial" w:hAnsi="Arial"/>
                <w:sz w:val="18"/>
              </w:rPr>
              <w:t>FAC-0197</w:t>
            </w:r>
          </w:p>
        </w:tc>
        <w:tc>
          <w:tcPr>
            <w:tcW w:type="dxa" w:w="1505"/>
          </w:tcPr>
          <w:p>
            <w:r>
              <w:rPr>
                <w:rFonts w:ascii="Arial" w:hAnsi="Arial"/>
                <w:sz w:val="18"/>
              </w:rPr>
              <w:t>Jakarta HQ</w:t>
            </w:r>
          </w:p>
        </w:tc>
        <w:tc>
          <w:tcPr>
            <w:tcW w:type="dxa" w:w="1505"/>
          </w:tcPr>
          <w:p>
            <w:pPr>
              <w:jc w:val="right"/>
            </w:pPr>
            <w:r>
              <w:rPr>
                <w:rFonts w:ascii="Arial" w:hAnsi="Arial"/>
                <w:sz w:val="18"/>
              </w:rPr>
              <w:t>147.7152</w:t>
            </w:r>
          </w:p>
        </w:tc>
        <w:tc>
          <w:tcPr>
            <w:tcW w:type="dxa" w:w="1505"/>
          </w:tcPr>
          <w:p>
            <w:pPr>
              <w:jc w:val="right"/>
            </w:pPr>
            <w:r>
              <w:rPr>
                <w:rFonts w:ascii="Arial" w:hAnsi="Arial"/>
                <w:sz w:val="18"/>
              </w:rPr>
              <w:t>65.1748</w:t>
            </w:r>
          </w:p>
        </w:tc>
        <w:tc>
          <w:tcPr>
            <w:tcW w:type="dxa" w:w="1505"/>
          </w:tcPr>
          <w:p>
            <w:pPr>
              <w:jc w:val="right"/>
            </w:pPr>
            <w:r>
              <w:rPr>
                <w:rFonts w:ascii="Arial" w:hAnsi="Arial"/>
                <w:sz w:val="18"/>
              </w:rPr>
              <w:t>82.5404</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FAC-0198</w:t>
            </w:r>
          </w:p>
        </w:tc>
        <w:tc>
          <w:tcPr>
            <w:tcW w:type="dxa" w:w="1505"/>
            <w:shd w:fill="F2F6FC" w:val="clear"/>
          </w:tcPr>
          <w:p>
            <w:r>
              <w:rPr>
                <w:rFonts w:ascii="Arial" w:hAnsi="Arial"/>
                <w:sz w:val="18"/>
              </w:rPr>
              <w:t>Surabaya Regional</w:t>
            </w:r>
          </w:p>
        </w:tc>
        <w:tc>
          <w:tcPr>
            <w:tcW w:type="dxa" w:w="1505"/>
            <w:shd w:fill="F2F6FC" w:val="clear"/>
          </w:tcPr>
          <w:p>
            <w:pPr>
              <w:jc w:val="right"/>
            </w:pPr>
            <w:r>
              <w:rPr>
                <w:rFonts w:ascii="Arial" w:hAnsi="Arial"/>
                <w:sz w:val="18"/>
              </w:rPr>
              <w:t>137.8381</w:t>
            </w:r>
          </w:p>
        </w:tc>
        <w:tc>
          <w:tcPr>
            <w:tcW w:type="dxa" w:w="1505"/>
            <w:shd w:fill="F2F6FC" w:val="clear"/>
          </w:tcPr>
          <w:p>
            <w:pPr>
              <w:jc w:val="right"/>
            </w:pPr>
            <w:r>
              <w:rPr>
                <w:rFonts w:ascii="Arial" w:hAnsi="Arial"/>
                <w:sz w:val="18"/>
              </w:rPr>
              <w:t>54.4460</w:t>
            </w:r>
          </w:p>
        </w:tc>
        <w:tc>
          <w:tcPr>
            <w:tcW w:type="dxa" w:w="1505"/>
            <w:shd w:fill="F2F6FC" w:val="clear"/>
          </w:tcPr>
          <w:p>
            <w:pPr>
              <w:jc w:val="right"/>
            </w:pPr>
            <w:r>
              <w:rPr>
                <w:rFonts w:ascii="Arial" w:hAnsi="Arial"/>
                <w:sz w:val="18"/>
              </w:rPr>
              <w:t>83.3921</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FAC-0200</w:t>
            </w:r>
          </w:p>
        </w:tc>
        <w:tc>
          <w:tcPr>
            <w:tcW w:type="dxa" w:w="1505"/>
          </w:tcPr>
          <w:p>
            <w:r>
              <w:rPr>
                <w:rFonts w:ascii="Arial" w:hAnsi="Arial"/>
                <w:sz w:val="18"/>
              </w:rPr>
              <w:t>Bandung Processing</w:t>
            </w:r>
          </w:p>
        </w:tc>
        <w:tc>
          <w:tcPr>
            <w:tcW w:type="dxa" w:w="1505"/>
          </w:tcPr>
          <w:p>
            <w:pPr>
              <w:jc w:val="right"/>
            </w:pPr>
            <w:r>
              <w:rPr>
                <w:rFonts w:ascii="Arial" w:hAnsi="Arial"/>
                <w:sz w:val="18"/>
              </w:rPr>
              <w:t>131.4422</w:t>
            </w:r>
          </w:p>
        </w:tc>
        <w:tc>
          <w:tcPr>
            <w:tcW w:type="dxa" w:w="1505"/>
          </w:tcPr>
          <w:p>
            <w:pPr>
              <w:jc w:val="right"/>
            </w:pPr>
            <w:r>
              <w:rPr>
                <w:rFonts w:ascii="Arial" w:hAnsi="Arial"/>
                <w:sz w:val="18"/>
              </w:rPr>
              <w:t>57.0202</w:t>
            </w:r>
          </w:p>
        </w:tc>
        <w:tc>
          <w:tcPr>
            <w:tcW w:type="dxa" w:w="1505"/>
          </w:tcPr>
          <w:p>
            <w:pPr>
              <w:jc w:val="right"/>
            </w:pPr>
            <w:r>
              <w:rPr>
                <w:rFonts w:ascii="Arial" w:hAnsi="Arial"/>
                <w:sz w:val="18"/>
              </w:rPr>
              <w:t>74.4220</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FAC-0196</w:t>
            </w:r>
          </w:p>
        </w:tc>
        <w:tc>
          <w:tcPr>
            <w:tcW w:type="dxa" w:w="1505"/>
            <w:shd w:fill="F2F6FC" w:val="clear"/>
          </w:tcPr>
          <w:p>
            <w:r>
              <w:rPr>
                <w:rFonts w:ascii="Arial" w:hAnsi="Arial"/>
                <w:sz w:val="18"/>
              </w:rPr>
              <w:t>Medan Branch Cluster</w:t>
            </w:r>
          </w:p>
        </w:tc>
        <w:tc>
          <w:tcPr>
            <w:tcW w:type="dxa" w:w="1505"/>
            <w:shd w:fill="F2F6FC" w:val="clear"/>
          </w:tcPr>
          <w:p>
            <w:pPr>
              <w:jc w:val="right"/>
            </w:pPr>
            <w:r>
              <w:rPr>
                <w:rFonts w:ascii="Arial" w:hAnsi="Arial"/>
                <w:sz w:val="18"/>
              </w:rPr>
              <w:t>124.4219</w:t>
            </w:r>
          </w:p>
        </w:tc>
        <w:tc>
          <w:tcPr>
            <w:tcW w:type="dxa" w:w="1505"/>
            <w:shd w:fill="F2F6FC" w:val="clear"/>
          </w:tcPr>
          <w:p>
            <w:pPr>
              <w:jc w:val="right"/>
            </w:pPr>
            <w:r>
              <w:rPr>
                <w:rFonts w:ascii="Arial" w:hAnsi="Arial"/>
                <w:sz w:val="18"/>
              </w:rPr>
              <w:t>51.7527</w:t>
            </w:r>
          </w:p>
        </w:tc>
        <w:tc>
          <w:tcPr>
            <w:tcW w:type="dxa" w:w="1505"/>
            <w:shd w:fill="F2F6FC" w:val="clear"/>
          </w:tcPr>
          <w:p>
            <w:pPr>
              <w:jc w:val="right"/>
            </w:pPr>
            <w:r>
              <w:rPr>
                <w:rFonts w:ascii="Arial" w:hAnsi="Arial"/>
                <w:sz w:val="18"/>
              </w:rPr>
              <w:t>72.6692</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FAC-0199</w:t>
            </w:r>
          </w:p>
        </w:tc>
        <w:tc>
          <w:tcPr>
            <w:tcW w:type="dxa" w:w="1505"/>
          </w:tcPr>
          <w:p>
            <w:r>
              <w:rPr>
                <w:rFonts w:ascii="Arial" w:hAnsi="Arial"/>
                <w:sz w:val="18"/>
              </w:rPr>
              <w:t>Semarang Operations</w:t>
            </w:r>
          </w:p>
        </w:tc>
        <w:tc>
          <w:tcPr>
            <w:tcW w:type="dxa" w:w="1505"/>
          </w:tcPr>
          <w:p>
            <w:pPr>
              <w:jc w:val="right"/>
            </w:pPr>
            <w:r>
              <w:rPr>
                <w:rFonts w:ascii="Arial" w:hAnsi="Arial"/>
                <w:sz w:val="18"/>
              </w:rPr>
              <w:t>109.4122</w:t>
            </w:r>
          </w:p>
        </w:tc>
        <w:tc>
          <w:tcPr>
            <w:tcW w:type="dxa" w:w="1505"/>
          </w:tcPr>
          <w:p>
            <w:pPr>
              <w:jc w:val="right"/>
            </w:pPr>
            <w:r>
              <w:rPr>
                <w:rFonts w:ascii="Arial" w:hAnsi="Arial"/>
                <w:sz w:val="18"/>
              </w:rPr>
              <w:t>52.0150</w:t>
            </w:r>
          </w:p>
        </w:tc>
        <w:tc>
          <w:tcPr>
            <w:tcW w:type="dxa" w:w="1505"/>
          </w:tcPr>
          <w:p>
            <w:pPr>
              <w:jc w:val="right"/>
            </w:pPr>
            <w:r>
              <w:rPr>
                <w:rFonts w:ascii="Arial" w:hAnsi="Arial"/>
                <w:sz w:val="18"/>
              </w:rPr>
              <w:t>57.3972</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FAC-0193</w:t>
            </w:r>
          </w:p>
        </w:tc>
        <w:tc>
          <w:tcPr>
            <w:tcW w:type="dxa" w:w="1505"/>
            <w:shd w:fill="F2F6FC" w:val="clear"/>
          </w:tcPr>
          <w:p>
            <w:r>
              <w:rPr>
                <w:rFonts w:ascii="Arial" w:hAnsi="Arial"/>
                <w:sz w:val="18"/>
              </w:rPr>
              <w:t>Makassar Branch</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0.0000</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FAC-0215</w:t>
            </w:r>
          </w:p>
        </w:tc>
        <w:tc>
          <w:tcPr>
            <w:tcW w:type="dxa" w:w="1505"/>
          </w:tcPr>
          <w:p>
            <w:r>
              <w:rPr>
                <w:rFonts w:ascii="Arial" w:hAnsi="Arial"/>
                <w:sz w:val="18"/>
              </w:rPr>
              <w:t>Denpasar Office</w:t>
            </w:r>
          </w:p>
        </w:tc>
        <w:tc>
          <w:tcPr>
            <w:tcW w:type="dxa" w:w="1505"/>
          </w:tcPr>
          <w:p>
            <w:pPr>
              <w:jc w:val="right"/>
            </w:pPr>
            <w:r>
              <w:rPr>
                <w:rFonts w:ascii="Arial" w:hAnsi="Arial"/>
                <w:sz w:val="18"/>
              </w:rPr>
              <w:t>70.6057</w:t>
            </w:r>
          </w:p>
        </w:tc>
        <w:tc>
          <w:tcPr>
            <w:tcW w:type="dxa" w:w="1505"/>
          </w:tcPr>
          <w:p>
            <w:pPr>
              <w:jc w:val="right"/>
            </w:pPr>
            <w:r>
              <w:rPr>
                <w:rFonts w:ascii="Arial" w:hAnsi="Arial"/>
                <w:sz w:val="18"/>
              </w:rPr>
              <w:t>23.5860</w:t>
            </w:r>
          </w:p>
        </w:tc>
        <w:tc>
          <w:tcPr>
            <w:tcW w:type="dxa" w:w="1505"/>
          </w:tcPr>
          <w:p>
            <w:pPr>
              <w:jc w:val="right"/>
            </w:pPr>
            <w:r>
              <w:rPr>
                <w:rFonts w:ascii="Arial" w:hAnsi="Arial"/>
                <w:sz w:val="18"/>
              </w:rPr>
              <w:t>47.0197</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FAC-0191</w:t>
            </w:r>
          </w:p>
        </w:tc>
        <w:tc>
          <w:tcPr>
            <w:tcW w:type="dxa" w:w="1505"/>
            <w:shd w:fill="F2F6FC" w:val="clear"/>
          </w:tcPr>
          <w:p>
            <w:r>
              <w:rPr>
                <w:rFonts w:ascii="Arial" w:hAnsi="Arial"/>
                <w:sz w:val="18"/>
              </w:rPr>
              <w:t>Palembang Branch</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0.0000</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FAC-0181</w:t>
            </w:r>
          </w:p>
        </w:tc>
        <w:tc>
          <w:tcPr>
            <w:tcW w:type="dxa" w:w="1505"/>
          </w:tcPr>
          <w:p>
            <w:r>
              <w:rPr>
                <w:rFonts w:ascii="Arial" w:hAnsi="Arial"/>
                <w:sz w:val="18"/>
              </w:rPr>
              <w:t>Balikpapan Branch</w:t>
            </w:r>
          </w:p>
        </w:tc>
        <w:tc>
          <w:tcPr>
            <w:tcW w:type="dxa" w:w="1505"/>
          </w:tcPr>
          <w:p>
            <w:pPr>
              <w:jc w:val="right"/>
            </w:pPr>
            <w:r>
              <w:rPr>
                <w:rFonts w:ascii="Arial" w:hAnsi="Arial"/>
                <w:sz w:val="18"/>
              </w:rPr>
              <w:t>63.7580</w:t>
            </w:r>
          </w:p>
        </w:tc>
        <w:tc>
          <w:tcPr>
            <w:tcW w:type="dxa" w:w="1505"/>
          </w:tcPr>
          <w:p>
            <w:pPr>
              <w:jc w:val="right"/>
            </w:pPr>
            <w:r>
              <w:rPr>
                <w:rFonts w:ascii="Arial" w:hAnsi="Arial"/>
                <w:sz w:val="18"/>
              </w:rPr>
              <w:t>0.0000</w:t>
            </w:r>
          </w:p>
        </w:tc>
        <w:tc>
          <w:tcPr>
            <w:tcW w:type="dxa" w:w="1505"/>
          </w:tcPr>
          <w:p>
            <w:pPr>
              <w:jc w:val="right"/>
            </w:pPr>
            <w:r>
              <w:rPr>
                <w:rFonts w:ascii="Arial" w:hAnsi="Arial"/>
                <w:sz w:val="18"/>
              </w:rPr>
              <w:t>63.7580</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FAC-0208</w:t>
            </w:r>
          </w:p>
        </w:tc>
        <w:tc>
          <w:tcPr>
            <w:tcW w:type="dxa" w:w="1505"/>
            <w:shd w:fill="F2F6FC" w:val="clear"/>
          </w:tcPr>
          <w:p>
            <w:r>
              <w:rPr>
                <w:rFonts w:ascii="Arial" w:hAnsi="Arial"/>
                <w:sz w:val="18"/>
              </w:rPr>
              <w:t>Yogyakarta Office</w:t>
            </w:r>
          </w:p>
        </w:tc>
        <w:tc>
          <w:tcPr>
            <w:tcW w:type="dxa" w:w="1505"/>
            <w:shd w:fill="F2F6FC" w:val="clear"/>
          </w:tcPr>
          <w:p>
            <w:pPr>
              <w:jc w:val="right"/>
            </w:pPr>
            <w:r>
              <w:rPr>
                <w:rFonts w:ascii="Arial" w:hAnsi="Arial"/>
                <w:sz w:val="18"/>
              </w:rPr>
              <w:t>63.5152</w:t>
            </w:r>
          </w:p>
        </w:tc>
        <w:tc>
          <w:tcPr>
            <w:tcW w:type="dxa" w:w="1505"/>
            <w:shd w:fill="F2F6FC" w:val="clear"/>
          </w:tcPr>
          <w:p>
            <w:pPr>
              <w:jc w:val="right"/>
            </w:pPr>
            <w:r>
              <w:rPr>
                <w:rFonts w:ascii="Arial" w:hAnsi="Arial"/>
                <w:sz w:val="18"/>
              </w:rPr>
              <w:t>23.7606</w:t>
            </w:r>
          </w:p>
        </w:tc>
        <w:tc>
          <w:tcPr>
            <w:tcW w:type="dxa" w:w="1505"/>
            <w:shd w:fill="F2F6FC" w:val="clear"/>
          </w:tcPr>
          <w:p>
            <w:pPr>
              <w:jc w:val="right"/>
            </w:pPr>
            <w:r>
              <w:rPr>
                <w:rFonts w:ascii="Arial" w:hAnsi="Arial"/>
                <w:sz w:val="18"/>
              </w:rPr>
              <w:t>39.7546</w:t>
            </w:r>
          </w:p>
        </w:tc>
        <w:tc>
          <w:tcPr>
            <w:tcW w:type="dxa" w:w="1505"/>
            <w:shd w:fill="F2F6FC" w:val="clear"/>
          </w:tcPr>
          <w:p>
            <w:pPr>
              <w:jc w:val="right"/>
            </w:pPr>
            <w:r>
              <w:rPr>
                <w:rFonts w:ascii="Arial" w:hAnsi="Arial"/>
                <w:sz w:val="18"/>
              </w:rPr>
              <w:t>1</w:t>
            </w:r>
          </w:p>
        </w:tc>
      </w:tr>
    </w:tbl>
    <w:p>
      <w:r>
        <w:rPr>
          <w:rFonts w:ascii="Arial" w:hAnsi="Arial"/>
          <w:i/>
          <w:sz w:val="16"/>
        </w:rPr>
        <w:t>Source: Source: Facility-level energy monitoring systems. Data Quality Score 1 = primary metered data, no estimation. Facilities ranked by total Scope 1 emissions.</w:t>
      </w:r>
    </w:p>
    <w:p/>
    <w:p>
      <w:r>
        <w:rPr>
          <w:rFonts w:ascii="Arial" w:hAnsi="Arial"/>
          <w:b/>
          <w:sz w:val="20"/>
        </w:rPr>
        <w:t>Table 18: Table 1.1.4: Framework Cross-Reference — Scope 1 Disclosure Compliance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Compliance Status</w:t>
            </w:r>
          </w:p>
        </w:tc>
      </w:tr>
      <w:tr>
        <w:tc>
          <w:tcPr>
            <w:tcW w:type="dxa" w:w="2257"/>
          </w:tcPr>
          <w:p>
            <w:r>
              <w:rPr>
                <w:rFonts w:ascii="Arial" w:hAnsi="Arial"/>
                <w:sz w:val="18"/>
              </w:rPr>
              <w:t>GRI 305-1</w:t>
            </w:r>
          </w:p>
        </w:tc>
        <w:tc>
          <w:tcPr>
            <w:tcW w:type="dxa" w:w="2257"/>
          </w:tcPr>
          <w:p>
            <w:r>
              <w:rPr>
                <w:rFonts w:ascii="Arial" w:hAnsi="Arial"/>
                <w:sz w:val="18"/>
              </w:rPr>
              <w:t>305-1a</w:t>
            </w:r>
          </w:p>
        </w:tc>
        <w:tc>
          <w:tcPr>
            <w:tcW w:type="dxa" w:w="2257"/>
          </w:tcPr>
          <w:p>
            <w:r>
              <w:rPr>
                <w:rFonts w:ascii="Arial" w:hAnsi="Arial"/>
                <w:sz w:val="18"/>
              </w:rPr>
              <w:t>Gross direct (Scope 1)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305-1b</w:t>
            </w:r>
          </w:p>
        </w:tc>
        <w:tc>
          <w:tcPr>
            <w:tcW w:type="dxa" w:w="2257"/>
            <w:shd w:fill="F2F6FC" w:val="clear"/>
          </w:tcPr>
          <w:p>
            <w:r>
              <w:rPr>
                <w:rFonts w:ascii="Arial" w:hAnsi="Arial"/>
                <w:sz w:val="18"/>
              </w:rPr>
              <w:t>Gases included in the calculation (CO₂, CH₄, N₂O, HFCs, PFCs, SF₆, NF₃, or all)</w:t>
            </w:r>
          </w:p>
        </w:tc>
        <w:tc>
          <w:tcPr>
            <w:tcW w:type="dxa" w:w="2257"/>
            <w:shd w:fill="F2F6FC" w:val="clear"/>
          </w:tcPr>
          <w:p>
            <w:r>
              <w:rPr>
                <w:rFonts w:ascii="Arial" w:hAnsi="Arial"/>
                <w:sz w:val="18"/>
              </w:rPr>
              <w:t>✅ Disclosed</w:t>
            </w:r>
          </w:p>
        </w:tc>
      </w:tr>
      <w:tr>
        <w:tc>
          <w:tcPr>
            <w:tcW w:type="dxa" w:w="2257"/>
          </w:tcPr>
          <w:p>
            <w:r>
              <w:rPr>
                <w:rFonts w:ascii="Arial" w:hAnsi="Arial"/>
                <w:sz w:val="18"/>
              </w:rPr>
              <w:t>GRI 305-1</w:t>
            </w:r>
          </w:p>
        </w:tc>
        <w:tc>
          <w:tcPr>
            <w:tcW w:type="dxa" w:w="2257"/>
          </w:tcPr>
          <w:p>
            <w:r>
              <w:rPr>
                <w:rFonts w:ascii="Arial" w:hAnsi="Arial"/>
                <w:sz w:val="18"/>
              </w:rPr>
              <w:t>305-1c</w:t>
            </w:r>
          </w:p>
        </w:tc>
        <w:tc>
          <w:tcPr>
            <w:tcW w:type="dxa" w:w="2257"/>
          </w:tcPr>
          <w:p>
            <w:r>
              <w:rPr>
                <w:rFonts w:ascii="Arial" w:hAnsi="Arial"/>
                <w:sz w:val="18"/>
              </w:rPr>
              <w:t>Biogenic CO₂ emissions in metric tons of CO₂ equivalent</w:t>
            </w:r>
          </w:p>
        </w:tc>
        <w:tc>
          <w:tcPr>
            <w:tcW w:type="dxa" w:w="2257"/>
          </w:tcPr>
          <w:p>
            <w:r>
              <w:rPr>
                <w:rFonts w:ascii="Arial" w:hAnsi="Arial"/>
                <w:sz w:val="18"/>
              </w:rPr>
              <w:t>⚠️ Not applicable (no biofuel combustion)</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305-1d</w:t>
            </w:r>
          </w:p>
        </w:tc>
        <w:tc>
          <w:tcPr>
            <w:tcW w:type="dxa" w:w="2257"/>
            <w:shd w:fill="F2F6FC" w:val="clear"/>
          </w:tcPr>
          <w:p>
            <w:r>
              <w:rPr>
                <w:rFonts w:ascii="Arial" w:hAnsi="Arial"/>
                <w:sz w:val="18"/>
              </w:rPr>
              <w:t>Base year for calculation, rationale, emissions in base year, context for significant changes</w:t>
            </w:r>
          </w:p>
        </w:tc>
        <w:tc>
          <w:tcPr>
            <w:tcW w:type="dxa" w:w="2257"/>
            <w:shd w:fill="F2F6FC" w:val="clear"/>
          </w:tcPr>
          <w:p>
            <w:r>
              <w:rPr>
                <w:rFonts w:ascii="Arial" w:hAnsi="Arial"/>
                <w:sz w:val="18"/>
              </w:rPr>
              <w:t>⚠️ Partial (base year 2023 disclosed; multi-year baseline under development)</w:t>
            </w:r>
          </w:p>
        </w:tc>
      </w:tr>
      <w:tr>
        <w:tc>
          <w:tcPr>
            <w:tcW w:type="dxa" w:w="2257"/>
          </w:tcPr>
          <w:p>
            <w:r>
              <w:rPr>
                <w:rFonts w:ascii="Arial" w:hAnsi="Arial"/>
                <w:sz w:val="18"/>
              </w:rPr>
              <w:t>GRI 305-1</w:t>
            </w:r>
          </w:p>
        </w:tc>
        <w:tc>
          <w:tcPr>
            <w:tcW w:type="dxa" w:w="2257"/>
          </w:tcPr>
          <w:p>
            <w:r>
              <w:rPr>
                <w:rFonts w:ascii="Arial" w:hAnsi="Arial"/>
                <w:sz w:val="18"/>
              </w:rPr>
              <w:t>305-1e</w:t>
            </w:r>
          </w:p>
        </w:tc>
        <w:tc>
          <w:tcPr>
            <w:tcW w:type="dxa" w:w="2257"/>
          </w:tcPr>
          <w:p>
            <w:r>
              <w:rPr>
                <w:rFonts w:ascii="Arial" w:hAnsi="Arial"/>
                <w:sz w:val="18"/>
              </w:rPr>
              <w:t>Source of emission factors and global warming potential (GWP) rates used</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305-1f</w:t>
            </w:r>
          </w:p>
        </w:tc>
        <w:tc>
          <w:tcPr>
            <w:tcW w:type="dxa" w:w="2257"/>
            <w:shd w:fill="F2F6FC" w:val="clear"/>
          </w:tcPr>
          <w:p>
            <w:r>
              <w:rPr>
                <w:rFonts w:ascii="Arial" w:hAnsi="Arial"/>
                <w:sz w:val="18"/>
              </w:rPr>
              <w:t>Consolidation approach for emissions (equity share, financial control, operational control)</w:t>
            </w:r>
          </w:p>
        </w:tc>
        <w:tc>
          <w:tcPr>
            <w:tcW w:type="dxa" w:w="2257"/>
            <w:shd w:fill="F2F6FC" w:val="clear"/>
          </w:tcPr>
          <w:p>
            <w:r>
              <w:rPr>
                <w:rFonts w:ascii="Arial" w:hAnsi="Arial"/>
                <w:sz w:val="18"/>
              </w:rPr>
              <w:t>✅ Disclosed</w:t>
            </w:r>
          </w:p>
        </w:tc>
      </w:tr>
      <w:tr>
        <w:tc>
          <w:tcPr>
            <w:tcW w:type="dxa" w:w="2257"/>
          </w:tcPr>
          <w:p>
            <w:r>
              <w:rPr>
                <w:rFonts w:ascii="Arial" w:hAnsi="Arial"/>
                <w:sz w:val="18"/>
              </w:rPr>
              <w:t>GRI 305-1</w:t>
            </w:r>
          </w:p>
        </w:tc>
        <w:tc>
          <w:tcPr>
            <w:tcW w:type="dxa" w:w="2257"/>
          </w:tcPr>
          <w:p>
            <w:r>
              <w:rPr>
                <w:rFonts w:ascii="Arial" w:hAnsi="Arial"/>
                <w:sz w:val="18"/>
              </w:rPr>
              <w:t>305-1g</w:t>
            </w:r>
          </w:p>
        </w:tc>
        <w:tc>
          <w:tcPr>
            <w:tcW w:type="dxa" w:w="2257"/>
          </w:tcPr>
          <w:p>
            <w:r>
              <w:rPr>
                <w:rFonts w:ascii="Arial" w:hAnsi="Arial"/>
                <w:sz w:val="18"/>
              </w:rPr>
              <w:t>Standards, methodologies, assumptions, and/or calculation tools used</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29(a)(i)</w:t>
            </w:r>
          </w:p>
        </w:tc>
        <w:tc>
          <w:tcPr>
            <w:tcW w:type="dxa" w:w="2257"/>
            <w:shd w:fill="F2F6FC" w:val="clear"/>
          </w:tcPr>
          <w:p>
            <w:r>
              <w:rPr>
                <w:rFonts w:ascii="Arial" w:hAnsi="Arial"/>
                <w:sz w:val="18"/>
              </w:rPr>
              <w:t>Absolute gross greenhouse gas emissions (Scope 1) in metric tons of CO₂ equivalent</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29(b)</w:t>
            </w:r>
          </w:p>
        </w:tc>
        <w:tc>
          <w:tcPr>
            <w:tcW w:type="dxa" w:w="2257"/>
          </w:tcPr>
          <w:p>
            <w:r>
              <w:rPr>
                <w:rFonts w:ascii="Arial" w:hAnsi="Arial"/>
                <w:sz w:val="18"/>
              </w:rPr>
              <w:t>Amount of change in emissions and percentage of change (trend over time)</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29(c)</w:t>
            </w:r>
          </w:p>
        </w:tc>
        <w:tc>
          <w:tcPr>
            <w:tcW w:type="dxa" w:w="2257"/>
            <w:shd w:fill="F2F6FC" w:val="clear"/>
          </w:tcPr>
          <w:p>
            <w:r>
              <w:rPr>
                <w:rFonts w:ascii="Arial" w:hAnsi="Arial"/>
                <w:sz w:val="18"/>
              </w:rPr>
              <w:t>Measurement approach, inputs, and assumptions used</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DR E1-6.44</w:t>
            </w:r>
          </w:p>
        </w:tc>
        <w:tc>
          <w:tcPr>
            <w:tcW w:type="dxa" w:w="2257"/>
          </w:tcPr>
          <w:p>
            <w:r>
              <w:rPr>
                <w:rFonts w:ascii="Arial" w:hAnsi="Arial"/>
                <w:sz w:val="18"/>
              </w:rPr>
              <w:t>Gross Scope 1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AR 39(a)</w:t>
            </w:r>
          </w:p>
        </w:tc>
        <w:tc>
          <w:tcPr>
            <w:tcW w:type="dxa" w:w="2257"/>
            <w:shd w:fill="F2F6FC" w:val="clear"/>
          </w:tcPr>
          <w:p>
            <w:r>
              <w:rPr>
                <w:rFonts w:ascii="Arial" w:hAnsi="Arial"/>
                <w:sz w:val="18"/>
              </w:rPr>
              <w:t>Application of GHG Protocol Corporate Standard principles and requirements</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AR 39(b)</w:t>
            </w:r>
          </w:p>
        </w:tc>
        <w:tc>
          <w:tcPr>
            <w:tcW w:type="dxa" w:w="2257"/>
          </w:tcPr>
          <w:p>
            <w:r>
              <w:rPr>
                <w:rFonts w:ascii="Arial" w:hAnsi="Arial"/>
                <w:sz w:val="18"/>
              </w:rPr>
              <w:t>Disclosure of methodologies, assumptions, and emission factors with rationale</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AR 39(c)</w:t>
            </w:r>
          </w:p>
        </w:tc>
        <w:tc>
          <w:tcPr>
            <w:tcW w:type="dxa" w:w="2257"/>
            <w:shd w:fill="F2F6FC" w:val="clear"/>
          </w:tcPr>
          <w:p>
            <w:r>
              <w:rPr>
                <w:rFonts w:ascii="Arial" w:hAnsi="Arial"/>
                <w:sz w:val="18"/>
              </w:rPr>
              <w:t>Inclusion of CO₂, CH₄, N₂O, HFCs, PFCs, SF₆, NF₃</w:t>
            </w:r>
          </w:p>
        </w:tc>
        <w:tc>
          <w:tcPr>
            <w:tcW w:type="dxa" w:w="2257"/>
            <w:shd w:fill="F2F6FC" w:val="clear"/>
          </w:tcPr>
          <w:p>
            <w:r>
              <w:rPr>
                <w:rFonts w:ascii="Arial" w:hAnsi="Arial"/>
                <w:sz w:val="18"/>
              </w:rPr>
              <w:t>✅ Disclosed (CO₂, CH₄, N₂O applicable)</w:t>
            </w:r>
          </w:p>
        </w:tc>
      </w:tr>
      <w:tr>
        <w:tc>
          <w:tcPr>
            <w:tcW w:type="dxa" w:w="2257"/>
          </w:tcPr>
          <w:p>
            <w:r>
              <w:rPr>
                <w:rFonts w:ascii="Arial" w:hAnsi="Arial"/>
                <w:sz w:val="18"/>
              </w:rPr>
              <w:t>ESRS E1</w:t>
            </w:r>
          </w:p>
        </w:tc>
        <w:tc>
          <w:tcPr>
            <w:tcW w:type="dxa" w:w="2257"/>
          </w:tcPr>
          <w:p>
            <w:r>
              <w:rPr>
                <w:rFonts w:ascii="Arial" w:hAnsi="Arial"/>
                <w:sz w:val="18"/>
              </w:rPr>
              <w:t>AR 39(d)</w:t>
            </w:r>
          </w:p>
        </w:tc>
        <w:tc>
          <w:tcPr>
            <w:tcW w:type="dxa" w:w="2257"/>
          </w:tcPr>
          <w:p>
            <w:r>
              <w:rPr>
                <w:rFonts w:ascii="Arial" w:hAnsi="Arial"/>
                <w:sz w:val="18"/>
              </w:rPr>
              <w:t>Use of most recent IPCC GWP values (100-year time horizon)</w:t>
            </w:r>
          </w:p>
        </w:tc>
        <w:tc>
          <w:tcPr>
            <w:tcW w:type="dxa" w:w="2257"/>
          </w:tcPr>
          <w:p>
            <w:r>
              <w:rPr>
                <w:rFonts w:ascii="Arial" w:hAnsi="Arial"/>
                <w:sz w:val="18"/>
              </w:rPr>
              <w:t>✅ Disclosed</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GRK Langsung</w:t>
            </w:r>
          </w:p>
        </w:tc>
        <w:tc>
          <w:tcPr>
            <w:tcW w:type="dxa" w:w="2257"/>
            <w:shd w:fill="F2F6FC" w:val="clear"/>
          </w:tcPr>
          <w:p>
            <w:r>
              <w:rPr>
                <w:rFonts w:ascii="Arial" w:hAnsi="Arial"/>
                <w:sz w:val="18"/>
              </w:rPr>
              <w:t>Emisi Gas Rumah Kaca Lingkup 1 (tCO₂e)</w:t>
            </w:r>
          </w:p>
        </w:tc>
        <w:tc>
          <w:tcPr>
            <w:tcW w:type="dxa" w:w="2257"/>
            <w:shd w:fill="F2F6FC" w:val="clear"/>
          </w:tcPr>
          <w:p>
            <w:r>
              <w:rPr>
                <w:rFonts w:ascii="Arial" w:hAnsi="Arial"/>
                <w:sz w:val="18"/>
              </w:rPr>
              <w:t>✅ Disclosed</w:t>
            </w:r>
          </w:p>
        </w:tc>
      </w:tr>
    </w:tbl>
    <w:p>
      <w:r>
        <w:rPr>
          <w:rFonts w:ascii="Arial" w:hAnsi="Arial"/>
          <w:i/>
          <w:sz w:val="16"/>
        </w:rPr>
        <w:t>Source: Compliance assessment based on disclosure requirements effective for 2024 reporting period. ✅ = Fully disclosed; ⚠️ = Partial or not applicable.</w:t>
      </w:r>
    </w:p>
    <w:p/>
    <w:p/>
    <w:p>
      <w:r>
        <w:drawing>
          <wp:inline xmlns:a="http://schemas.openxmlformats.org/drawingml/2006/main" xmlns:pic="http://schemas.openxmlformats.org/drawingml/2006/picture">
            <wp:extent cx="5029200" cy="352223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522234"/>
                    </a:xfrm>
                    <a:prstGeom prst="rect"/>
                  </pic:spPr>
                </pic:pic>
              </a:graphicData>
            </a:graphic>
          </wp:inline>
        </w:drawing>
      </w:r>
    </w:p>
    <w:p>
      <w:pPr>
        <w:jc w:val="center"/>
      </w:pPr>
      <w:r>
        <w:rPr>
          <w:i/>
          <w:color w:val="666666"/>
          <w:sz w:val="18"/>
        </w:rPr>
        <w:t>Figure 4: Scope 1 Emissions by Combustion Source (2024)</w:t>
      </w:r>
    </w:p>
    <w:p>
      <w:pPr>
        <w:jc w:val="center"/>
      </w:pPr>
      <w:r>
        <w:rPr>
          <w:i/>
          <w:color w:val="757575"/>
          <w:sz w:val="18"/>
        </w:rPr>
        <w:t>Diesel mendominasi 64.7% emisi Scope 1 — primary lever untuk reduksi melalui solar+battery deployment dan fleet electrification</w:t>
      </w:r>
    </w:p>
    <w:p/>
    <w:p>
      <w:r>
        <w:drawing>
          <wp:inline xmlns:a="http://schemas.openxmlformats.org/drawingml/2006/main" xmlns:pic="http://schemas.openxmlformats.org/drawingml/2006/picture">
            <wp:extent cx="5029200" cy="333205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332057"/>
                    </a:xfrm>
                    <a:prstGeom prst="rect"/>
                  </pic:spPr>
                </pic:pic>
              </a:graphicData>
            </a:graphic>
          </wp:inline>
        </w:drawing>
      </w:r>
    </w:p>
    <w:p>
      <w:pPr>
        <w:jc w:val="center"/>
      </w:pPr>
      <w:r>
        <w:rPr>
          <w:i/>
          <w:color w:val="666666"/>
          <w:sz w:val="18"/>
        </w:rPr>
        <w:t>Figure 5: Scope 1 Emissions: Year-over-Year Comparison</w:t>
      </w:r>
    </w:p>
    <w:p>
      <w:pPr>
        <w:jc w:val="center"/>
      </w:pPr>
      <w:r>
        <w:rPr>
          <w:i/>
          <w:color w:val="757575"/>
          <w:sz w:val="18"/>
        </w:rPr>
        <w:t>Diesel emissions naik 3.66% YoY, driving overall Scope 1 increase — kontras dengan peer reductions (DBS -12%, BRI -7.1% intensity, Mandiri -5.1%)</w:t>
      </w:r>
    </w:p>
    <w:p/>
    <w:p>
      <w:r>
        <w:drawing>
          <wp:inline xmlns:a="http://schemas.openxmlformats.org/drawingml/2006/main" xmlns:pic="http://schemas.openxmlformats.org/drawingml/2006/picture">
            <wp:extent cx="5029200" cy="332457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324578"/>
                    </a:xfrm>
                    <a:prstGeom prst="rect"/>
                  </pic:spPr>
                </pic:pic>
              </a:graphicData>
            </a:graphic>
          </wp:inline>
        </w:drawing>
      </w:r>
    </w:p>
    <w:p>
      <w:pPr>
        <w:jc w:val="center"/>
      </w:pPr>
      <w:r>
        <w:rPr>
          <w:i/>
          <w:color w:val="666666"/>
          <w:sz w:val="18"/>
        </w:rPr>
        <w:t>Figure 6: Top 5 Scope 1 Emitting Facilities (2024)</w:t>
      </w:r>
    </w:p>
    <w:p>
      <w:pPr>
        <w:jc w:val="center"/>
      </w:pPr>
      <w:r>
        <w:rPr>
          <w:i/>
          <w:color w:val="757575"/>
          <w:sz w:val="18"/>
        </w:rPr>
        <w:t>Top 5 facilities contribute 20.9% of total Scope 1 — concentrated intervention opportunity for solar+battery deployment</w:t>
      </w:r>
    </w:p>
    <w:p/>
    <w:p>
      <w:r>
        <w:drawing>
          <wp:inline xmlns:a="http://schemas.openxmlformats.org/drawingml/2006/main" xmlns:pic="http://schemas.openxmlformats.org/drawingml/2006/picture">
            <wp:extent cx="5029200" cy="333205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332057"/>
                    </a:xfrm>
                    <a:prstGeom prst="rect"/>
                  </pic:spPr>
                </pic:pic>
              </a:graphicData>
            </a:graphic>
          </wp:inline>
        </w:drawing>
      </w:r>
    </w:p>
    <w:p>
      <w:pPr>
        <w:jc w:val="center"/>
      </w:pPr>
      <w:r>
        <w:rPr>
          <w:i/>
          <w:color w:val="666666"/>
          <w:sz w:val="18"/>
        </w:rPr>
        <w:t>Figure 7: Scope 1+2 Emission Trend: Institution vs Peers</w:t>
      </w:r>
    </w:p>
    <w:p>
      <w:pPr>
        <w:jc w:val="center"/>
      </w:pPr>
      <w:r>
        <w:rPr>
          <w:i/>
          <w:color w:val="757575"/>
          <w:sz w:val="18"/>
        </w:rPr>
        <w:t>Institution's +2.36% Scope 1 increase contrasts sharply with peer reductions — structural gap requiring strategic intervention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Peningkatan emisi Scope 1 sebesar 2.36% didorong sepenuhnya oleh konsumsi diesel (+77.7 tCO₂e, +3.66%), sementara emisi gas alam stabil (+0.06%). Analisis facility-level menunjukkan 64.7% emisi Scope 1 berasal dari diesel, dengan konsentrasi di 5 fasilitas teratas (20.9% total Scope 1). Tiga fasilitas (FAC-0193, FAC-0191, FAC-0181) bergantung 100% pada diesel tanpa infrastruktur gas alam, mengindikasikan gap infrastruktur energi bersih. Tren ini berlawanan dengan trajectory peers: DBS (-12% Scope 1+2), BRI (-7.1% intensitas energi), Mandiri (-5.1% Scope 1+2). Root cause adalah kombinasi ekspansi operasional (cabang baru di kota sekunder), grid instability events (Q2-Q3 2024 Jakarta maintenance), dan belum adanya roadmap elektrifikasi armada atau renewable energy deployment.</w:t>
            </w:r>
          </w:p>
          <w:p>
            <w:r>
              <w:rPr>
                <w:b/>
                <w:sz w:val="20"/>
              </w:rPr>
              <w:t>Root Causes:</w:t>
            </w:r>
          </w:p>
          <w:p>
            <w:r>
              <w:rPr>
                <w:sz w:val="18"/>
              </w:rPr>
              <w:t>• Ekspansi operasional: Pembukaan cabang baru di kota sekunder (2024) meningkatkan kebutuhan generator backup dan armada kendaraan, tanpa disertai investasi infrastruktur energi bersih</w:t>
            </w:r>
          </w:p>
          <w:p>
            <w:r>
              <w:rPr>
                <w:sz w:val="18"/>
              </w:rPr>
              <w:t>• Grid instability: Pemeliharaan grid Jakarta Q2-Q3 2024 meningkatkan runtime generator diesel di FAC-0197 (HQ) dan fasilitas metropolitan lainnya</w:t>
            </w:r>
          </w:p>
          <w:p>
            <w:r>
              <w:rPr>
                <w:sz w:val="18"/>
              </w:rPr>
              <w:t>• Ketiadaan renewable energy: Tidak ada deployment solar PV atau battery storage di 10 fasilitas top emitter, meskipun semua memiliki Data Quality Score 1 (metered data) yang memungkinkan ROI analysis akurat</w:t>
            </w:r>
          </w:p>
          <w:p>
            <w:r>
              <w:rPr>
                <w:sz w:val="18"/>
              </w:rPr>
              <w:t>• Fleet composition: Armada kendaraan 100% konvensional (diesel/bensin) tanpa roadmap elektrifikasi, berbeda dengan BRI (118 EV cars + 150 bikes) atau DBS (charging station network)</w:t>
            </w:r>
          </w:p>
          <w:p>
            <w:r>
              <w:rPr>
                <w:b/>
                <w:sz w:val="20"/>
              </w:rPr>
              <w:t>Risk Implications:</w:t>
            </w:r>
          </w:p>
          <w:p>
            <w:r>
              <w:rPr>
                <w:sz w:val="18"/>
              </w:rPr>
              <w:t>• Regulatory risk: OJK POJK 51/2017 dan SEOJK 16/2021 mewajibkan pelaporan keberlanjutan dengan ekspektasi penurunan emisi. Tren kenaikan dapat memicu enhanced supervision atau reputational penalty dalam OJK sustainability assessment.</w:t>
            </w:r>
          </w:p>
          <w:p>
            <w:r>
              <w:rPr>
                <w:sz w:val="18"/>
              </w:rPr>
              <w:t>• CSRD compliance gap: Untuk entitas dengan parent company EU, CSRD (effective 2025-2028) mensyaratkan science-based targets dan reasonable assurance. Ketiadaan SBTi commitment dan upward emission trend menciptakan compliance risk material.</w:t>
            </w:r>
          </w:p>
          <w:p>
            <w:r>
              <w:rPr>
                <w:sz w:val="18"/>
              </w:rPr>
              <w:t>• Investor pressure: ESG-focused investors (PRI signatories, climate funds) increasingly screen out FIs without credible decarbonization pathways. Gap vs peers (DBS MSCI AA, BRI SBTi committed) dapat membatasi akses ke green financing dan impact investment capital.</w:t>
            </w:r>
          </w:p>
          <w:p>
            <w:r>
              <w:rPr>
                <w:sz w:val="18"/>
              </w:rPr>
              <w:t>• Stranded asset risk: Continued diesel dependency mengekspos institusi pada carbon pricing mechanisms (jika Indonesia implement carbon tax per UU HPP 2021) dan premature asset retirement jika regulasi mempercepat phase-out fossil fuel backup systems.</w:t>
            </w:r>
          </w:p>
        </w:tc>
      </w:tr>
    </w:tbl>
    <w:p/>
    <w:p/>
    <w:p>
      <w:r>
        <w:rPr>
          <w:b/>
          <w:color w:val="2E7D32"/>
          <w:sz w:val="24"/>
        </w:rPr>
        <w:t>⚡ Priority Actions</w:t>
      </w:r>
    </w:p>
    <w:p>
      <w:r>
        <w:rPr>
          <w:b/>
          <w:sz w:val="22"/>
        </w:rPr>
        <w:t>🔴 1. Deploy solar PV (300-400 kWp) + battery storage (500-700 kWh) at FAC-0197 (Jakarta HQ) sebagai pilot project, targeting 70% reduction in diesel generator runtime</w:t>
      </w:r>
      <w:r>
        <w:rPr>
          <w:sz w:val="22"/>
        </w:rPr>
        <w:t xml:space="preserve"> (Q3 2025)</w:t>
      </w:r>
    </w:p>
    <w:p>
      <w:pPr>
        <w:spacing w:after="160" w:line="276" w:lineRule="auto"/>
      </w:pPr>
      <w:r>
        <w:t xml:space="preserve">    → Expected: 100-120 tCO₂e annual reduction at FAC-0197; replicable model for FAC-0198, FAC-0200, FAC-0196, FAC-0199 (combined potential 450-550 tCO₂e)</w:t>
      </w:r>
    </w:p>
    <w:p>
      <w:pPr>
        <w:spacing w:after="160" w:line="276" w:lineRule="auto"/>
      </w:pPr>
      <w:r>
        <w:rPr>
          <w:rFonts w:ascii="Arial" w:hAnsi="Arial"/>
          <w:i/>
          <w:color w:val="646464"/>
          <w:sz w:val="18"/>
        </w:rPr>
        <w:t xml:space="preserve">    → Ref: BRI Green Network — solar panel deployment across branch network achieved 19.49% electricity savings at BRILiaN Tower (GBCI Gold certified)</w:t>
      </w:r>
    </w:p>
    <w:p>
      <w:r>
        <w:rPr>
          <w:b/>
          <w:sz w:val="22"/>
        </w:rPr>
        <w:t>🔴 2. Submit SBTi commitment letter dan develop science-based targets (SBT) untuk Scope 1, 2, 3 aligned dengan 1.5°C pathway, dengan interim target 2030: -42% Scope 1+2 (absolute) vs 2024 baseline</w:t>
      </w:r>
      <w:r>
        <w:rPr>
          <w:sz w:val="22"/>
        </w:rPr>
        <w:t xml:space="preserve"> (Q2 2025)</w:t>
      </w:r>
    </w:p>
    <w:p>
      <w:pPr>
        <w:spacing w:after="160" w:line="276" w:lineRule="auto"/>
      </w:pPr>
      <w:r>
        <w:t xml:space="preserve">    → Expected: Establishes credible decarbonization pathway, enhances ESG ratings (target: MSCI A by 2026), meets CSRD requirements, attracts green capital</w:t>
      </w:r>
    </w:p>
    <w:p>
      <w:pPr>
        <w:spacing w:after="160" w:line="276" w:lineRule="auto"/>
      </w:pPr>
      <w:r>
        <w:rPr>
          <w:rFonts w:ascii="Arial" w:hAnsi="Arial"/>
          <w:i/>
          <w:color w:val="646464"/>
          <w:sz w:val="18"/>
        </w:rPr>
        <w:t xml:space="preserve">    → Ref: BRI — first Indonesian FI with SBTi commitment, portfolio temp target 1.75°C by 2040 (from 3.14°C). DBS — SBTi committed, net-zero 2050, MSCI AA, CDP A-</w:t>
      </w:r>
    </w:p>
    <w:p>
      <w:r>
        <w:rPr>
          <w:b/>
          <w:sz w:val="22"/>
        </w:rPr>
        <w:t>🔴 3. Develop 3-year fleet electrification roadmap targeting 30% EV conversion by 2027, prioritizing urban branch networks (Jakarta, Surabaya, Bandung) where charging infrastructure is viable</w:t>
      </w:r>
      <w:r>
        <w:rPr>
          <w:sz w:val="22"/>
        </w:rPr>
        <w:t xml:space="preserve"> (Q1 2026)</w:t>
      </w:r>
    </w:p>
    <w:p>
      <w:pPr>
        <w:spacing w:after="160" w:line="276" w:lineRule="auto"/>
      </w:pPr>
      <w:r>
        <w:t xml:space="preserve">    → Expected: 180-220 tCO₂e annual reduction by 2027 (assuming 30% fleet conversion); additional co-benefits: lower fuel costs (electricity vs diesel), reduced air pollution in urban areas</w:t>
      </w:r>
    </w:p>
    <w:p>
      <w:pPr>
        <w:spacing w:after="160" w:line="276" w:lineRule="auto"/>
      </w:pPr>
      <w:r>
        <w:rPr>
          <w:rFonts w:ascii="Arial" w:hAnsi="Arial"/>
          <w:i/>
          <w:color w:val="646464"/>
          <w:sz w:val="18"/>
        </w:rPr>
        <w:t xml:space="preserve">    → Ref: BRI — 118 EV cars + 150 EV motorcycles deployed as part of Green Network initiative, contributing to 7.1% energy intensity reduction YoY</w:t>
      </w:r>
    </w:p>
    <w:p>
      <w:r>
        <w:rPr>
          <w:b/>
          <w:sz w:val="22"/>
        </w:rPr>
        <w:t>🟡 4. Conduct feasibility study untuk natural gas grid connection atau solar+battery deployment at 3 diesel-only facilities (FAC-0193 Makassar, FAC-0191 Palembang, FAC-0181 Balikpapan) — combined 203.5 tCO₂e</w:t>
      </w:r>
      <w:r>
        <w:rPr>
          <w:sz w:val="22"/>
        </w:rPr>
        <w:t xml:space="preserve"> (Q4 2025)</w:t>
      </w:r>
    </w:p>
    <w:p>
      <w:pPr>
        <w:spacing w:after="160" w:line="276" w:lineRule="auto"/>
      </w:pPr>
      <w:r>
        <w:t xml:space="preserve">    → Expected: 203.5 tCO₂e annual reduction if all three facilities transition; eliminates diesel dependency for backup power</w:t>
      </w:r>
    </w:p>
    <w:p>
      <w:pPr>
        <w:spacing w:after="160" w:line="276" w:lineRule="auto"/>
      </w:pPr>
      <w:r>
        <w:rPr>
          <w:rFonts w:ascii="Arial" w:hAnsi="Arial"/>
          <w:i/>
          <w:color w:val="646464"/>
          <w:sz w:val="18"/>
        </w:rPr>
        <w:t xml:space="preserve">    → Ref: Bank Mandiri — solar panel pilot at branch network; DBS — green data center standards with renewable backup power eliminating diesel generators</w:t>
      </w:r>
    </w:p>
    <w:p/>
    <w:p>
      <w:r>
        <w:rPr>
          <w:i/>
          <w:color w:val="3D6094"/>
          <w:sz w:val="18"/>
        </w:rPr>
        <w:t>Framework references: GRI 305-1a; GRI 305-1b; GRI 305-1e; GRI 305-1f; GRI 305-1g; IFRS S2 Para 29(a)(i); IFRS S2 Para 29(b); IFRS S2 Para 29(c); ESRS E1 DR E1-6.44; ESRS E1 AR 39(a); ESRS E1 AR 39(b); ESRS E1 AR 39(c); ESRS E1 AR 39(d); OJK PSPK Emisi GRK Langsung</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Data Quality Score 1 indicates primary metered data with no estimation or proxy application, providing high confidence for emissions quantification and reduction planning.</w:t>
      </w:r>
    </w:p>
    <w:p>
      <w:pPr>
        <w:spacing w:after="160" w:line="276" w:lineRule="auto"/>
      </w:pPr>
      <w:r>
        <w:rPr>
          <w:rFonts w:ascii="Arial" w:hAnsi="Arial"/>
          <w:i/>
          <w:color w:val="646464"/>
          <w:sz w:val="18"/>
        </w:rPr>
        <w:t>Fluorinated gases (HFCs, PFCs, SF₆, NF₃) are excluded from Scope 1 calculations as the institution does not operate refrigeration systems, fire suppression equipment, or electrical switchgear under operational control that would generate material emissions from these sources.</w:t>
      </w:r>
    </w:p>
    <w:p>
      <w:pPr>
        <w:spacing w:after="160" w:line="276" w:lineRule="auto"/>
      </w:pPr>
      <w:r>
        <w:rPr>
          <w:rFonts w:ascii="Arial" w:hAnsi="Arial"/>
          <w:i/>
          <w:color w:val="646464"/>
          <w:sz w:val="18"/>
        </w:rPr>
        <w:t>Biogenic CO₂ emissions are not applicable as the institution does not combust biomass, biofuels, or other biogenic materials in its operations.</w:t>
      </w:r>
    </w:p>
    <w:p>
      <w:pPr>
        <w:pStyle w:val="Heading2"/>
        <w:keepNext/>
        <w:spacing w:before="360" w:after="160"/>
      </w:pPr>
      <w:r>
        <w:rPr>
          <w:rFonts w:ascii="Arial" w:hAnsi="Arial"/>
          <w:b/>
          <w:color w:val="3D6094"/>
          <w:sz w:val="28"/>
        </w:rPr>
        <w:t>1.2 Energy Indirect GHG Emissions — Scope 2</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44,614</w:t>
            </w:r>
            <w:r>
              <w:rPr>
                <w:color w:val="757575"/>
                <w:sz w:val="18"/>
              </w:rPr>
              <w:t xml:space="preserve"> tCO₂e</w:t>
            </w:r>
            <w:r>
              <w:rPr>
                <w:b/>
                <w:color w:val="C62828"/>
                <w:sz w:val="20"/>
              </w:rPr>
              <w:br/>
              <w:t>+0.03%</w:t>
            </w:r>
          </w:p>
        </w:tc>
        <w:tc>
          <w:tcPr>
            <w:tcW w:type="dxa" w:w="2257"/>
            <w:shd w:fill="F2F6FA" w:val="clear"/>
          </w:tcPr>
          <w:p>
            <w:pPr>
              <w:jc w:val="center"/>
            </w:pPr>
            <w:r>
              <w:rPr>
                <w:b/>
                <w:color w:val="1B3A6B"/>
                <w:sz w:val="36"/>
              </w:rPr>
              <w:t>44,613</w:t>
            </w:r>
            <w:r>
              <w:rPr>
                <w:color w:val="757575"/>
                <w:sz w:val="18"/>
              </w:rPr>
              <w:t xml:space="preserve"> tCO₂e</w:t>
            </w:r>
            <w:r>
              <w:rPr>
                <w:b/>
                <w:color w:val="C62828"/>
                <w:sz w:val="20"/>
              </w:rPr>
              <w:br/>
              <w:t>+0.03%</w:t>
            </w:r>
          </w:p>
        </w:tc>
        <w:tc>
          <w:tcPr>
            <w:tcW w:type="dxa" w:w="2257"/>
            <w:shd w:fill="F2F6FA" w:val="clear"/>
          </w:tcPr>
          <w:p>
            <w:pPr>
              <w:jc w:val="center"/>
            </w:pPr>
            <w:r>
              <w:rPr>
                <w:b/>
                <w:color w:val="1B3A6B"/>
                <w:sz w:val="36"/>
              </w:rPr>
              <w:t>0</w:t>
            </w:r>
            <w:r>
              <w:rPr>
                <w:color w:val="757575"/>
                <w:sz w:val="18"/>
              </w:rPr>
              <w:t xml:space="preserve"> %</w:t>
            </w:r>
            <w:r>
              <w:rPr>
                <w:b/>
                <w:color w:val="C62828"/>
                <w:sz w:val="20"/>
              </w:rPr>
              <w:br/>
              <w:t>vs 62% peer benchmark (DBS)</w:t>
            </w:r>
          </w:p>
        </w:tc>
        <w:tc>
          <w:tcPr>
            <w:tcW w:type="dxa" w:w="2257"/>
            <w:shd w:fill="F2F6FA" w:val="clear"/>
          </w:tcPr>
          <w:p>
            <w:pPr>
              <w:jc w:val="center"/>
            </w:pPr>
            <w:r>
              <w:rPr>
                <w:b/>
                <w:color w:val="1B3A6B"/>
                <w:sz w:val="36"/>
              </w:rPr>
              <w:t>1.79</w:t>
            </w:r>
            <w:r>
              <w:rPr>
                <w:color w:val="757575"/>
                <w:sz w:val="18"/>
              </w:rPr>
              <w:t xml:space="preserve"> tCO₂e/FTE</w:t>
            </w:r>
            <w:r>
              <w:rPr>
                <w:b/>
                <w:color w:val="2E7D32"/>
                <w:sz w:val="20"/>
              </w:rPr>
              <w:br/>
              <w:t>-1.8% YoY</w:t>
            </w:r>
          </w:p>
        </w:tc>
      </w:tr>
      <w:tr>
        <w:tc>
          <w:tcPr>
            <w:tcW w:type="dxa" w:w="2257"/>
            <w:shd w:fill="F2F6FA" w:val="clear"/>
          </w:tcPr>
          <w:p>
            <w:pPr>
              <w:jc w:val="center"/>
            </w:pPr>
            <w:r>
              <w:rPr>
                <w:color w:val="757575"/>
                <w:sz w:val="16"/>
              </w:rPr>
              <w:t>Scope 2 Location-Based</w:t>
            </w:r>
          </w:p>
        </w:tc>
        <w:tc>
          <w:tcPr>
            <w:tcW w:type="dxa" w:w="2257"/>
            <w:shd w:fill="F2F6FA" w:val="clear"/>
          </w:tcPr>
          <w:p>
            <w:pPr>
              <w:jc w:val="center"/>
            </w:pPr>
            <w:r>
              <w:rPr>
                <w:color w:val="757575"/>
                <w:sz w:val="16"/>
              </w:rPr>
              <w:t>Scope 2 Market-Based</w:t>
            </w:r>
          </w:p>
        </w:tc>
        <w:tc>
          <w:tcPr>
            <w:tcW w:type="dxa" w:w="2257"/>
            <w:shd w:fill="F2F6FA" w:val="clear"/>
          </w:tcPr>
          <w:p>
            <w:pPr>
              <w:jc w:val="center"/>
            </w:pPr>
            <w:r>
              <w:rPr>
                <w:color w:val="757575"/>
                <w:sz w:val="16"/>
              </w:rPr>
              <w:t>Renewable Energy Coverage</w:t>
            </w:r>
          </w:p>
        </w:tc>
        <w:tc>
          <w:tcPr>
            <w:tcW w:type="dxa" w:w="2257"/>
            <w:shd w:fill="F2F6FA" w:val="clear"/>
          </w:tcPr>
          <w:p>
            <w:pPr>
              <w:jc w:val="center"/>
            </w:pPr>
            <w:r>
              <w:rPr>
                <w:color w:val="757575"/>
                <w:sz w:val="16"/>
              </w:rPr>
              <w:t>Scope 2 Intensity per FTE</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2 stable at 44,614 tCO₂e but zero renewable procurement — peers at 20-62% renewable coverage</w:t>
            </w:r>
          </w:p>
          <w:p>
            <w:r>
              <w:rPr>
                <w:sz w:val="20"/>
              </w:rPr>
              <w:t>The institution's Scope 2 emissions remained flat year-over-year (+0.03%), but the absence of renewable energy procurement creates a strategic gap relative to regional banking peers. DBS Bank achieved 62% renewable coverage and 12% emissions reduction, while BRI's Green Network program delivered 19.49% electricity savings. Without contractual renewable instruments, the institution's market-based and location-based figures are identical, missing opportunities for decarbonization and cost savings.</w:t>
            </w:r>
          </w:p>
        </w:tc>
      </w:tr>
    </w:tbl>
    <w:p/>
    <w:p>
      <w:pPr>
        <w:spacing w:after="160" w:line="276" w:lineRule="auto"/>
      </w:pPr>
      <w:r>
        <w:rPr>
          <w:rFonts w:ascii="Arial" w:hAnsi="Arial"/>
          <w:sz w:val="22"/>
        </w:rPr>
        <w:t>The institution's Scope 2 energy indirect greenhouse gas emissions for the reporting period ending December 31, 2024, totaled 44,613.876 tCO₂e on a location-based accounting method and 44,612.518 tCO₂e on a market-based accounting method. This dual reporting approach aligns with the GHG Protocol Scope 2 Guidance (2015), which mandates that organizations disclose both location-based figures—reflecting the average emissions intensity of the electricity grid—and market-based figures—reflecting emissions from contractual instruments such as renewable energy certificates or power purchase agreements. The minimal difference of 1.358 tCO₂e between the two methods indicates that the institution has not procured significant volumes of contractual renewable energy instruments during the reporting period.</w:t>
      </w:r>
    </w:p>
    <w:p>
      <w:pPr>
        <w:spacing w:after="160" w:line="276" w:lineRule="auto"/>
      </w:pPr>
      <w:r>
        <w:rPr>
          <w:rFonts w:ascii="Arial" w:hAnsi="Arial"/>
          <w:sz w:val="22"/>
        </w:rPr>
        <w:t>Scope 2 emissions are calculated by multiplying total purchased electricity consumption (measured in megawatt-hours) by the grid emission factor for the Indonesian electricity system. The location-based method applies the PLN 2023 grid emission factor of 0.7886 kgCO₂/kWh, which represents the average carbon intensity of electricity supplied by Perusahaan Listrik Negara (PLN), Indonesia's state electricity company. This factor is derived from PLN's generation mix, which includes coal-fired power plants (approximately 60% of total generation), natural gas facilities, hydroelectric dams, and emerging renewable sources. The market-based method applies the same grid factor in the absence of contractual instruments with specific emission attributes. Under the GHG Protocol Scope 2 Guidance, organizations that do not purchase renewable energy certificates, guarantees of origin, or enter into power purchase agreements with renewable generators must use the residual mix factor for market-based reporting. In jurisdictions where a residual mix is unavailable—as is the case for Indonesia—the location-based factor serves as the default for market-based calculations.</w:t>
      </w:r>
    </w:p>
    <w:p>
      <w:pPr>
        <w:spacing w:after="160" w:line="276" w:lineRule="auto"/>
      </w:pPr>
      <w:r>
        <w:rPr>
          <w:rFonts w:ascii="Arial" w:hAnsi="Arial"/>
          <w:sz w:val="22"/>
        </w:rPr>
        <w:t>The institution has not applied renewable energy certificates or entered into power purchase agreements with renewable energy generators during the 2024 reporting period. Consequently, the market-based Scope 2 figure of 44,612.518 tCO₂e reflects the same grid emission intensity as the location-based figure, with the minor difference attributable to rounding precision in the calculation methodology. The absence of contractual renewable energy procurement represents a strategic gap relative to regional banking peers. DBS Bank, for example, achieved 62% renewable electricity coverage in 2023 through a combination of on-site solar installations and renewable energy certificates, resulting in a market-based Scope 2 figure significantly lower than its location-based equivalent. Similarly, Bank Rakyat Indonesia has committed to expanding its Green Network program, which includes solar panel installations at branch locations and corporate offices, targeting a 19.49% reduction in electricity consumption intensity.</w:t>
      </w:r>
    </w:p>
    <w:p>
      <w:pPr>
        <w:spacing w:after="160" w:line="276" w:lineRule="auto"/>
      </w:pPr>
      <w:r>
        <w:rPr>
          <w:rFonts w:ascii="Arial" w:hAnsi="Arial"/>
          <w:sz w:val="22"/>
        </w:rPr>
        <w:t>Year-over-year analysis reveals that location-based Scope 2 emissions increased by 0.03% from 44,599.440 tCO₂e in 2023 to 44,613.876 tCO₂e in 2024, while market-based emissions increased by 0.03% from 44,598.118 tCO₂e to 44,612.518 tCO₂e. This marginal increase of 14.436 tCO₂e in absolute terms reflects stable electricity consumption patterns across the institution's operational footprint, with minor fluctuations attributable to the opening of new branch locations and the expansion of data center capacity to support digital banking services. The stability of the grid emission factor between reporting periods—PLN's 2023 factor remained at 0.7886 kgCO₂/kWh—means that emissions growth is driven primarily by consumption volume rather than grid decarbonization trends. This contrasts with banking peers in markets where grid emission factors are declining due to renewable energy integration. For context, DBS Bank reported a 12% year-over-year reduction in Scope 2 emissions despite business growth, achieved through a combination of energy efficiency measures and renewable energy procurement.</w:t>
      </w:r>
    </w:p>
    <w:p>
      <w:pPr>
        <w:spacing w:after="160" w:line="276" w:lineRule="auto"/>
      </w:pPr>
      <w:r>
        <w:rPr>
          <w:rFonts w:ascii="Arial" w:hAnsi="Arial"/>
          <w:sz w:val="22"/>
        </w:rPr>
        <w:t>The institution's Scope 2 emissions intensity per full-time equivalent employee can be calculated as 1.785 tCO₂e per FTE (44,613.876 tCO₂e ÷ 24,997 FTE), representing the carbon footprint of electricity consumption normalized by workforce size. This metric provides a basis for peer comparison and target-setting, though direct benchmarking requires adjustment for factors such as branch network density, data center intensity, and climate zone. The institution's operational footprint spans multiple Indonesian provinces with varying electricity grid characteristics, though the national grid factor is applied uniformly in the absence of subnational emission factor data. Future reporting cycles may incorporate location-specific emission factors as Indonesia's electricity market evolves toward regional grid management and increased renewable energy penetration.</w:t>
      </w:r>
    </w:p>
    <w:p>
      <w:pPr>
        <w:spacing w:after="160" w:line="276" w:lineRule="auto"/>
      </w:pPr>
      <w:r>
        <w:rPr>
          <w:rFonts w:ascii="Arial" w:hAnsi="Arial"/>
          <w:sz w:val="22"/>
        </w:rPr>
        <w:t>The following table presents the dual reporting of Scope 2 emissions as required by the GHG Protocol Scope 2 Guidance, GRI 305-2, IFRS S2 Paragraph 29(a)(ii), and ESRS E1-6 DR E1-6.46. Both location-based and market-based figures are disclosed to provide transparency on the institution's electricity-related emissions and its procurement of contractual renewable energy instruments.</w:t>
      </w:r>
    </w:p>
    <w:p>
      <w:r>
        <w:rPr>
          <w:rFonts w:ascii="Arial" w:hAnsi="Arial"/>
          <w:b/>
          <w:sz w:val="20"/>
        </w:rPr>
        <w:t>Table 20: Table 1.2.1: Scope 2 Energy Indirect GHG Emissions — Dual Reporting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Accounting Method</w:t>
            </w:r>
          </w:p>
        </w:tc>
        <w:tc>
          <w:tcPr>
            <w:tcW w:type="dxa" w:w="1806"/>
            <w:shd w:fill="1B3A6B" w:val="clear"/>
          </w:tcPr>
          <w:p>
            <w:r>
              <w:rPr>
                <w:rFonts w:ascii="Arial" w:hAnsi="Arial"/>
                <w:b/>
                <w:color w:val="FFFFFF"/>
                <w:sz w:val="18"/>
              </w:rPr>
              <w:t>2024 Scope 2 (tCO₂e)</w:t>
            </w:r>
          </w:p>
        </w:tc>
        <w:tc>
          <w:tcPr>
            <w:tcW w:type="dxa" w:w="1806"/>
            <w:shd w:fill="1B3A6B" w:val="clear"/>
          </w:tcPr>
          <w:p>
            <w:r>
              <w:rPr>
                <w:rFonts w:ascii="Arial" w:hAnsi="Arial"/>
                <w:b/>
                <w:color w:val="FFFFFF"/>
                <w:sz w:val="18"/>
              </w:rPr>
              <w:t>2023 Scope 2 (tCO₂e)</w:t>
            </w:r>
          </w:p>
        </w:tc>
        <w:tc>
          <w:tcPr>
            <w:tcW w:type="dxa" w:w="1806"/>
            <w:shd w:fill="1B3A6B" w:val="clear"/>
          </w:tcPr>
          <w:p>
            <w:r>
              <w:rPr>
                <w:rFonts w:ascii="Arial" w:hAnsi="Arial"/>
                <w:b/>
                <w:color w:val="FFFFFF"/>
                <w:sz w:val="18"/>
              </w:rPr>
              <w:t>Absolute Change (tCO₂e)</w:t>
            </w:r>
          </w:p>
        </w:tc>
        <w:tc>
          <w:tcPr>
            <w:tcW w:type="dxa" w:w="1806"/>
            <w:shd w:fill="1B3A6B" w:val="clear"/>
          </w:tcPr>
          <w:p>
            <w:r>
              <w:rPr>
                <w:rFonts w:ascii="Arial" w:hAnsi="Arial"/>
                <w:b/>
                <w:color w:val="FFFFFF"/>
                <w:sz w:val="18"/>
              </w:rPr>
              <w:t>Percentage Change (%)</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+14.436</w:t>
            </w:r>
          </w:p>
        </w:tc>
        <w:tc>
          <w:tcPr>
            <w:tcW w:type="dxa" w:w="1806"/>
          </w:tcPr>
          <w:p>
            <w:pPr>
              <w:jc w:val="right"/>
            </w:pPr>
            <w:r>
              <w:rPr>
                <w:rFonts w:ascii="Arial" w:hAnsi="Arial"/>
                <w:sz w:val="18"/>
              </w:rPr>
              <w:t>+0.03%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+14.400</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Difference (Location - Market)</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+0.036</w:t>
            </w:r>
          </w:p>
        </w:tc>
        <w:tc>
          <w:tcPr>
            <w:tcW w:type="dxa" w:w="1806"/>
          </w:tcPr>
          <w:p>
            <w:r>
              <w:rPr>
                <w:rFonts w:ascii="Arial" w:hAnsi="Arial"/>
                <w:sz w:val="18"/>
              </w:rPr>
              <w:t>—</w:t>
            </w:r>
          </w:p>
        </w:tc>
      </w:tr>
    </w:tbl>
    <w:p>
      <w:r>
        <w:rPr>
          <w:rFonts w:ascii="Arial" w:hAnsi="Arial"/>
          <w:i/>
          <w:sz w:val="16"/>
        </w:rPr>
        <w:t>Source: Source: Institution's GHG inventory system. Emission factor: PLN 2023 grid factor (0.7886 kgCO₂/kWh). Figures reported to three decimal places per GHG Protocol requirements.</w:t>
      </w:r>
    </w:p>
    <w:p/>
    <w:p>
      <w:r>
        <w:rPr>
          <w:rFonts w:ascii="Arial" w:hAnsi="Arial"/>
          <w:b/>
          <w:sz w:val="20"/>
        </w:rPr>
        <w:t>Table 22: Table 1.2.2: Framework Cross-Reference — Scope 2 Disclosure Compliance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Compliance Status</w:t>
            </w:r>
          </w:p>
        </w:tc>
      </w:tr>
      <w:tr>
        <w:tc>
          <w:tcPr>
            <w:tcW w:type="dxa" w:w="2257"/>
          </w:tcPr>
          <w:p>
            <w:r>
              <w:rPr>
                <w:rFonts w:ascii="Arial" w:hAnsi="Arial"/>
                <w:sz w:val="18"/>
              </w:rPr>
              <w:t>GRI 305-2</w:t>
            </w:r>
          </w:p>
        </w:tc>
        <w:tc>
          <w:tcPr>
            <w:tcW w:type="dxa" w:w="2257"/>
          </w:tcPr>
          <w:p>
            <w:r>
              <w:rPr>
                <w:rFonts w:ascii="Arial" w:hAnsi="Arial"/>
                <w:sz w:val="18"/>
              </w:rPr>
              <w:t>305-2a</w:t>
            </w:r>
          </w:p>
        </w:tc>
        <w:tc>
          <w:tcPr>
            <w:tcW w:type="dxa" w:w="2257"/>
          </w:tcPr>
          <w:p>
            <w:r>
              <w:rPr>
                <w:rFonts w:ascii="Arial" w:hAnsi="Arial"/>
                <w:sz w:val="18"/>
              </w:rPr>
              <w:t>Gross location-based Scope 2 GHG emissions in metric tons of CO₂ equivalent</w:t>
            </w:r>
          </w:p>
        </w:tc>
        <w:tc>
          <w:tcPr>
            <w:tcW w:type="dxa" w:w="2257"/>
          </w:tcPr>
          <w:p>
            <w:r>
              <w:rPr>
                <w:rFonts w:ascii="Arial" w:hAnsi="Arial"/>
                <w:sz w:val="18"/>
              </w:rPr>
              <w:t>✅ Disclosed: 44,613.876 tCO₂e</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305-2b</w:t>
            </w:r>
          </w:p>
        </w:tc>
        <w:tc>
          <w:tcPr>
            <w:tcW w:type="dxa" w:w="2257"/>
            <w:shd w:fill="F2F6FC" w:val="clear"/>
          </w:tcPr>
          <w:p>
            <w:r>
              <w:rPr>
                <w:rFonts w:ascii="Arial" w:hAnsi="Arial"/>
                <w:sz w:val="18"/>
              </w:rPr>
              <w:t>Gross market-based Scope 2 GHG emissions in metric tons of CO₂ equivalent</w:t>
            </w:r>
          </w:p>
        </w:tc>
        <w:tc>
          <w:tcPr>
            <w:tcW w:type="dxa" w:w="2257"/>
            <w:shd w:fill="F2F6FC" w:val="clear"/>
          </w:tcPr>
          <w:p>
            <w:r>
              <w:rPr>
                <w:rFonts w:ascii="Arial" w:hAnsi="Arial"/>
                <w:sz w:val="18"/>
              </w:rPr>
              <w:t>✅ Disclosed: 44,612.518 tCO₂e</w:t>
            </w:r>
          </w:p>
        </w:tc>
      </w:tr>
      <w:tr>
        <w:tc>
          <w:tcPr>
            <w:tcW w:type="dxa" w:w="2257"/>
          </w:tcPr>
          <w:p>
            <w:r>
              <w:rPr>
                <w:rFonts w:ascii="Arial" w:hAnsi="Arial"/>
                <w:sz w:val="18"/>
              </w:rPr>
              <w:t>GRI 305-2</w:t>
            </w:r>
          </w:p>
        </w:tc>
        <w:tc>
          <w:tcPr>
            <w:tcW w:type="dxa" w:w="2257"/>
          </w:tcPr>
          <w:p>
            <w:r>
              <w:rPr>
                <w:rFonts w:ascii="Arial" w:hAnsi="Arial"/>
                <w:sz w:val="18"/>
              </w:rPr>
              <w:t>305-2c</w:t>
            </w:r>
          </w:p>
        </w:tc>
        <w:tc>
          <w:tcPr>
            <w:tcW w:type="dxa" w:w="2257"/>
          </w:tcPr>
          <w:p>
            <w:r>
              <w:rPr>
                <w:rFonts w:ascii="Arial" w:hAnsi="Arial"/>
                <w:sz w:val="18"/>
              </w:rPr>
              <w:t>Gases included in the calculation (CO₂, CH₄, N₂O, HFCs, PFCs, SF₆, NF₃)</w:t>
            </w:r>
          </w:p>
        </w:tc>
        <w:tc>
          <w:tcPr>
            <w:tcW w:type="dxa" w:w="2257"/>
          </w:tcPr>
          <w:p>
            <w:r>
              <w:rPr>
                <w:rFonts w:ascii="Arial" w:hAnsi="Arial"/>
                <w:sz w:val="18"/>
              </w:rPr>
              <w:t>✅ Disclosed: CO₂ only (electricity generation)</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305-2d</w:t>
            </w:r>
          </w:p>
        </w:tc>
        <w:tc>
          <w:tcPr>
            <w:tcW w:type="dxa" w:w="2257"/>
            <w:shd w:fill="F2F6FC" w:val="clear"/>
          </w:tcPr>
          <w:p>
            <w:r>
              <w:rPr>
                <w:rFonts w:ascii="Arial" w:hAnsi="Arial"/>
                <w:sz w:val="18"/>
              </w:rPr>
              <w:t>Base year for the calculation, rationale for selecting it</w:t>
            </w:r>
          </w:p>
        </w:tc>
        <w:tc>
          <w:tcPr>
            <w:tcW w:type="dxa" w:w="2257"/>
            <w:shd w:fill="F2F6FC" w:val="clear"/>
          </w:tcPr>
          <w:p>
            <w:r>
              <w:rPr>
                <w:rFonts w:ascii="Arial" w:hAnsi="Arial"/>
                <w:sz w:val="18"/>
              </w:rPr>
              <w:t>⚠️ Base year not yet established for Scope 2</w:t>
            </w:r>
          </w:p>
        </w:tc>
      </w:tr>
      <w:tr>
        <w:tc>
          <w:tcPr>
            <w:tcW w:type="dxa" w:w="2257"/>
          </w:tcPr>
          <w:p>
            <w:r>
              <w:rPr>
                <w:rFonts w:ascii="Arial" w:hAnsi="Arial"/>
                <w:sz w:val="18"/>
              </w:rPr>
              <w:t>GRI 305-2</w:t>
            </w:r>
          </w:p>
        </w:tc>
        <w:tc>
          <w:tcPr>
            <w:tcW w:type="dxa" w:w="2257"/>
          </w:tcPr>
          <w:p>
            <w:r>
              <w:rPr>
                <w:rFonts w:ascii="Arial" w:hAnsi="Arial"/>
                <w:sz w:val="18"/>
              </w:rPr>
              <w:t>305-2e</w:t>
            </w:r>
          </w:p>
        </w:tc>
        <w:tc>
          <w:tcPr>
            <w:tcW w:type="dxa" w:w="2257"/>
          </w:tcPr>
          <w:p>
            <w:r>
              <w:rPr>
                <w:rFonts w:ascii="Arial" w:hAnsi="Arial"/>
                <w:sz w:val="18"/>
              </w:rPr>
              <w:t>Source of emission factors and global warming potential rates used</w:t>
            </w:r>
          </w:p>
        </w:tc>
        <w:tc>
          <w:tcPr>
            <w:tcW w:type="dxa" w:w="2257"/>
          </w:tcPr>
          <w:p>
            <w:r>
              <w:rPr>
                <w:rFonts w:ascii="Arial" w:hAnsi="Arial"/>
                <w:sz w:val="18"/>
              </w:rPr>
              <w:t>✅ Disclosed: PLN 2023 (0.7886 kgCO₂/kWh), IPCC AR5</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305-2f</w:t>
            </w:r>
          </w:p>
        </w:tc>
        <w:tc>
          <w:tcPr>
            <w:tcW w:type="dxa" w:w="2257"/>
            <w:shd w:fill="F2F6FC" w:val="clear"/>
          </w:tcPr>
          <w:p>
            <w:r>
              <w:rPr>
                <w:rFonts w:ascii="Arial" w:hAnsi="Arial"/>
                <w:sz w:val="18"/>
              </w:rPr>
              <w:t>Consolidation approach for emissions (equity share, financial control, operational control)</w:t>
            </w:r>
          </w:p>
        </w:tc>
        <w:tc>
          <w:tcPr>
            <w:tcW w:type="dxa" w:w="2257"/>
            <w:shd w:fill="F2F6FC" w:val="clear"/>
          </w:tcPr>
          <w:p>
            <w:r>
              <w:rPr>
                <w:rFonts w:ascii="Arial" w:hAnsi="Arial"/>
                <w:sz w:val="18"/>
              </w:rPr>
              <w:t>✅ Disclosed: Operational control</w:t>
            </w:r>
          </w:p>
        </w:tc>
      </w:tr>
      <w:tr>
        <w:tc>
          <w:tcPr>
            <w:tcW w:type="dxa" w:w="2257"/>
          </w:tcPr>
          <w:p>
            <w:r>
              <w:rPr>
                <w:rFonts w:ascii="Arial" w:hAnsi="Arial"/>
                <w:sz w:val="18"/>
              </w:rPr>
              <w:t>GRI 305-2</w:t>
            </w:r>
          </w:p>
        </w:tc>
        <w:tc>
          <w:tcPr>
            <w:tcW w:type="dxa" w:w="2257"/>
          </w:tcPr>
          <w:p>
            <w:r>
              <w:rPr>
                <w:rFonts w:ascii="Arial" w:hAnsi="Arial"/>
                <w:sz w:val="18"/>
              </w:rPr>
              <w:t>305-2g</w:t>
            </w:r>
          </w:p>
        </w:tc>
        <w:tc>
          <w:tcPr>
            <w:tcW w:type="dxa" w:w="2257"/>
          </w:tcPr>
          <w:p>
            <w:r>
              <w:rPr>
                <w:rFonts w:ascii="Arial" w:hAnsi="Arial"/>
                <w:sz w:val="18"/>
              </w:rPr>
              <w:t>Standards, methodologies, assumptions, and/or calculation tools used</w:t>
            </w:r>
          </w:p>
        </w:tc>
        <w:tc>
          <w:tcPr>
            <w:tcW w:type="dxa" w:w="2257"/>
          </w:tcPr>
          <w:p>
            <w:r>
              <w:rPr>
                <w:rFonts w:ascii="Arial" w:hAnsi="Arial"/>
                <w:sz w:val="18"/>
              </w:rPr>
              <w:t>✅ Disclosed: GHG Protocol Scope 2 Guidance (2015)</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Paragraph 29(a)(ii)</w:t>
            </w:r>
          </w:p>
        </w:tc>
        <w:tc>
          <w:tcPr>
            <w:tcW w:type="dxa" w:w="2257"/>
            <w:shd w:fill="F2F6FC" w:val="clear"/>
          </w:tcPr>
          <w:p>
            <w:r>
              <w:rPr>
                <w:rFonts w:ascii="Arial" w:hAnsi="Arial"/>
                <w:sz w:val="18"/>
              </w:rPr>
              <w:t>Absolute gross Scope 2 GHG emissions</w:t>
            </w:r>
          </w:p>
        </w:tc>
        <w:tc>
          <w:tcPr>
            <w:tcW w:type="dxa" w:w="2257"/>
            <w:shd w:fill="F2F6FC" w:val="clear"/>
          </w:tcPr>
          <w:p>
            <w:r>
              <w:rPr>
                <w:rFonts w:ascii="Arial" w:hAnsi="Arial"/>
                <w:sz w:val="18"/>
              </w:rPr>
              <w:t>✅ Disclosed: Both location and market-based</w:t>
            </w:r>
          </w:p>
        </w:tc>
      </w:tr>
      <w:tr>
        <w:tc>
          <w:tcPr>
            <w:tcW w:type="dxa" w:w="2257"/>
          </w:tcPr>
          <w:p>
            <w:r>
              <w:rPr>
                <w:rFonts w:ascii="Arial" w:hAnsi="Arial"/>
                <w:sz w:val="18"/>
              </w:rPr>
              <w:t>ESRS E1-6</w:t>
            </w:r>
          </w:p>
        </w:tc>
        <w:tc>
          <w:tcPr>
            <w:tcW w:type="dxa" w:w="2257"/>
          </w:tcPr>
          <w:p>
            <w:r>
              <w:rPr>
                <w:rFonts w:ascii="Arial" w:hAnsi="Arial"/>
                <w:sz w:val="18"/>
              </w:rPr>
              <w:t>DR E1-6.46</w:t>
            </w:r>
          </w:p>
        </w:tc>
        <w:tc>
          <w:tcPr>
            <w:tcW w:type="dxa" w:w="2257"/>
          </w:tcPr>
          <w:p>
            <w:r>
              <w:rPr>
                <w:rFonts w:ascii="Arial" w:hAnsi="Arial"/>
                <w:sz w:val="18"/>
              </w:rPr>
              <w:t>Gross Scope 2 GHG emissions (location-based and market-based)</w:t>
            </w:r>
          </w:p>
        </w:tc>
        <w:tc>
          <w:tcPr>
            <w:tcW w:type="dxa" w:w="2257"/>
          </w:tcPr>
          <w:p>
            <w:r>
              <w:rPr>
                <w:rFonts w:ascii="Arial" w:hAnsi="Arial"/>
                <w:sz w:val="18"/>
              </w:rPr>
              <w:t>✅ Disclosed: Dual reporting provided</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Lingkup 2</w:t>
            </w:r>
          </w:p>
        </w:tc>
        <w:tc>
          <w:tcPr>
            <w:tcW w:type="dxa" w:w="2257"/>
            <w:shd w:fill="F2F6FC" w:val="clear"/>
          </w:tcPr>
          <w:p>
            <w:r>
              <w:rPr>
                <w:rFonts w:ascii="Arial" w:hAnsi="Arial"/>
                <w:sz w:val="18"/>
              </w:rPr>
              <w:t>Emisi GRK tidak langsung dari konsumsi energi yang dibeli</w:t>
            </w:r>
          </w:p>
        </w:tc>
        <w:tc>
          <w:tcPr>
            <w:tcW w:type="dxa" w:w="2257"/>
            <w:shd w:fill="F2F6FC" w:val="clear"/>
          </w:tcPr>
          <w:p>
            <w:r>
              <w:rPr>
                <w:rFonts w:ascii="Arial" w:hAnsi="Arial"/>
                <w:sz w:val="18"/>
              </w:rPr>
              <w:t>✅ Disclosed: 44,613.876 tCO₂e (location-based)</w:t>
            </w:r>
          </w:p>
        </w:tc>
      </w:tr>
    </w:tbl>
    <w:p>
      <w:r>
        <w:rPr>
          <w:rFonts w:ascii="Arial" w:hAnsi="Arial"/>
          <w:i/>
          <w:sz w:val="16"/>
        </w:rPr>
        <w:t>Source: Framework compliance assessment as of reporting period end December 31, 2024. ✅ = Fully compliant; ⚠️ = Partial compliance or data gap identified.</w:t>
      </w:r>
    </w:p>
    <w:p/>
    <w:p/>
    <w:p>
      <w:r>
        <w:drawing>
          <wp:inline xmlns:a="http://schemas.openxmlformats.org/drawingml/2006/main" xmlns:pic="http://schemas.openxmlformats.org/drawingml/2006/picture">
            <wp:extent cx="5029200" cy="3233841"/>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233841"/>
                    </a:xfrm>
                    <a:prstGeom prst="rect"/>
                  </pic:spPr>
                </pic:pic>
              </a:graphicData>
            </a:graphic>
          </wp:inline>
        </w:drawing>
      </w:r>
    </w:p>
    <w:p>
      <w:pPr>
        <w:jc w:val="center"/>
      </w:pPr>
      <w:r>
        <w:rPr>
          <w:i/>
          <w:color w:val="666666"/>
          <w:sz w:val="18"/>
        </w:rPr>
        <w:t>Figure 8: Scope 2 Emissions: Location-Based vs Market-Based (2023-2024)</w:t>
      </w:r>
    </w:p>
    <w:p>
      <w:pPr>
        <w:jc w:val="center"/>
      </w:pPr>
      <w:r>
        <w:rPr>
          <w:i/>
          <w:color w:val="757575"/>
          <w:sz w:val="18"/>
        </w:rPr>
        <w:t>Identical location and market-based figures signal zero renewable procurement — peers show 10-40% gap via RECs/PPAs</w:t>
      </w:r>
    </w:p>
    <w:p/>
    <w:p>
      <w:r>
        <w:drawing>
          <wp:inline xmlns:a="http://schemas.openxmlformats.org/drawingml/2006/main" xmlns:pic="http://schemas.openxmlformats.org/drawingml/2006/picture">
            <wp:extent cx="5029200" cy="2818457"/>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2818457"/>
                    </a:xfrm>
                    <a:prstGeom prst="rect"/>
                  </pic:spPr>
                </pic:pic>
              </a:graphicData>
            </a:graphic>
          </wp:inline>
        </w:drawing>
      </w:r>
    </w:p>
    <w:p>
      <w:pPr>
        <w:jc w:val="center"/>
      </w:pPr>
      <w:r>
        <w:rPr>
          <w:i/>
          <w:color w:val="666666"/>
          <w:sz w:val="18"/>
        </w:rPr>
        <w:t>Figure 9: Renewable Electricity Coverage: Institution vs Regional Banking Peers</w:t>
      </w:r>
    </w:p>
    <w:p>
      <w:pPr>
        <w:jc w:val="center"/>
      </w:pPr>
      <w:r>
        <w:rPr>
          <w:i/>
          <w:color w:val="757575"/>
          <w:sz w:val="18"/>
        </w:rPr>
        <w:t>Institution at 0% renewable coverage vs DBS 62% and BRI expanding — immediate procurement gap</w:t>
      </w:r>
    </w:p>
    <w:p/>
    <w:p>
      <w:r>
        <w:drawing>
          <wp:inline xmlns:a="http://schemas.openxmlformats.org/drawingml/2006/main" xmlns:pic="http://schemas.openxmlformats.org/drawingml/2006/picture">
            <wp:extent cx="5029200" cy="3332057"/>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332057"/>
                    </a:xfrm>
                    <a:prstGeom prst="rect"/>
                  </pic:spPr>
                </pic:pic>
              </a:graphicData>
            </a:graphic>
          </wp:inline>
        </w:drawing>
      </w:r>
    </w:p>
    <w:p>
      <w:pPr>
        <w:jc w:val="center"/>
      </w:pPr>
      <w:r>
        <w:rPr>
          <w:i/>
          <w:color w:val="666666"/>
          <w:sz w:val="18"/>
        </w:rPr>
        <w:t>Figure 10: Scope 2 Emissions Intensity per FTE (2023-2024)</w:t>
      </w:r>
    </w:p>
    <w:p>
      <w:pPr>
        <w:jc w:val="center"/>
      </w:pPr>
      <w:r>
        <w:rPr>
          <w:i/>
          <w:color w:val="757575"/>
          <w:sz w:val="18"/>
        </w:rPr>
        <w:t>Intensity stable at 1.78-1.96 tCO₂e/FTE — efficiency gains needed to offset headcount growth</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Scope 2 emissions profile reveals two structural challenges: (1) complete reliance on Indonesia's coal-intensive electricity grid (60% coal generation) without contractual renewable energy procurement, and (2) absence of systematic energy efficiency programs despite a branch network and data center footprint comparable to peers who have achieved 15-20% consumption reductions. The 0.03% year-over-year increase reflects stable operations, but the lack of decarbonization trajectory positions the institution unfavorably against emerging regulatory requirements (OJK POJK 51 mandates climate risk management) and investor expectations (MSCI ESG ratings penalize high-carbon operational footprints). The minimal 1.358 tCO₂e difference between location-based and market-based figures indicates zero renewable energy procurement, contrasting sharply with DBS (62% renewable) and BRI (expanding solar installations).</w:t>
            </w:r>
          </w:p>
          <w:p>
            <w:r>
              <w:rPr>
                <w:b/>
                <w:sz w:val="20"/>
              </w:rPr>
              <w:t>Root Causes:</w:t>
            </w:r>
          </w:p>
          <w:p>
            <w:r>
              <w:rPr>
                <w:sz w:val="18"/>
              </w:rPr>
              <w:t>• No renewable energy procurement strategy: The institution has not entered into power purchase agreements, purchased renewable energy certificates, or installed on-site solar generation, resulting in 100% reliance on grid electricity with a carbon intensity of 0.7886 kgCO₂/kWh.</w:t>
            </w:r>
          </w:p>
          <w:p>
            <w:r>
              <w:rPr>
                <w:sz w:val="18"/>
              </w:rPr>
              <w:t>• Absence of systematic energy efficiency program: Unlike BRI's Green Network (19.49% savings) or DBS's building management systems, the institution lacks enterprise-wide energy audits, LED retrofits, HVAC optimization, or auto-shutdown protocols.</w:t>
            </w:r>
          </w:p>
          <w:p>
            <w:r>
              <w:rPr>
                <w:sz w:val="18"/>
              </w:rPr>
              <w:t>• No Scope 2 base year or reduction target: The institution has not established a base year for Scope 2 emissions (GRI 305-2d gap), preventing science-based target-setting and progress tracking against 1.5°C pathways.</w:t>
            </w:r>
          </w:p>
          <w:p>
            <w:r>
              <w:rPr>
                <w:sz w:val="18"/>
              </w:rPr>
              <w:t>• Grid emission factor stagnation: PLN's 2023 grid factor remained at 0.7886 kgCO₂/kWh with no year-over-year improvement, meaning emissions reductions must come from consumption reduction or renewable procurement rather than grid decarbonization.</w:t>
            </w:r>
          </w:p>
          <w:p>
            <w:r>
              <w:rPr>
                <w:b/>
                <w:sz w:val="20"/>
              </w:rPr>
              <w:t>Risk Implications:</w:t>
            </w:r>
          </w:p>
          <w:p>
            <w:r>
              <w:rPr>
                <w:sz w:val="18"/>
              </w:rPr>
              <w:t>• Regulatory compliance risk: OJK POJK 51/2017 and SEOJK 16/2021 require financial institutions to manage climate-related risks. The absence of Scope 2 reduction targets and renewable energy strategy may trigger regulatory scrutiny in future supervisory reviews.</w:t>
            </w:r>
          </w:p>
          <w:p>
            <w:r>
              <w:rPr>
                <w:sz w:val="18"/>
              </w:rPr>
              <w:t>• ESG rating downgrade risk: MSCI and Sustainalytics penalize financial institutions with high operational carbon intensity and no renewable energy procurement. Peers with renewable coverage (DBS, BRI) achieve higher ESG ratings, affecting institutional investor allocation decisions.</w:t>
            </w:r>
          </w:p>
          <w:p>
            <w:r>
              <w:rPr>
                <w:sz w:val="18"/>
              </w:rPr>
              <w:t>• Stranded asset risk: Indonesia's electricity grid is expected to increase renewable penetration from 12% (2023) to 23% (2030) per PLN's RUPTL plan. Early adoption of renewable PPAs locks in favorable pricing before grid parity shifts; delayed action may result in higher procurement costs.</w:t>
            </w:r>
          </w:p>
          <w:p>
            <w:r>
              <w:rPr>
                <w:sz w:val="18"/>
              </w:rPr>
              <w:t>• Reputational risk: The institution's sustainability report discloses identical location-based and market-based Scope 2 figures, signaling to stakeholders that renewable energy is not a strategic priority. This contrasts with peer commitments (BRI SBTi, DBS RE100 pathway) and may affect corporate client relationships where supply chain decarbonization is required.</w:t>
            </w:r>
          </w:p>
        </w:tc>
      </w:tr>
    </w:tbl>
    <w:p/>
    <w:p/>
    <w:p>
      <w:r>
        <w:rPr>
          <w:b/>
          <w:color w:val="2E7D32"/>
          <w:sz w:val="24"/>
        </w:rPr>
        <w:t>⚡ Priority Actions</w:t>
      </w:r>
    </w:p>
    <w:p>
      <w:r>
        <w:rPr>
          <w:b/>
          <w:sz w:val="22"/>
        </w:rPr>
        <w:t>🔴 1. Launch renewable energy procurement pilot: Install solar photovoltaic systems with battery storage at top 5 electricity-consuming branch locations (Jakarta, Surabaya, Bandung, Medan, Makassar). Target 500 kWp total capacity to offset 15% of branch network consumption. Negotiate corporate power purchase agreement with Indonesian renewable energy developer for 10 MW virtual PPA covering data center load.</w:t>
      </w:r>
      <w:r>
        <w:rPr>
          <w:sz w:val="22"/>
        </w:rPr>
        <w:t xml:space="preserve"> (Q3 2025)</w:t>
      </w:r>
    </w:p>
    <w:p>
      <w:pPr>
        <w:spacing w:after="160" w:line="276" w:lineRule="auto"/>
      </w:pPr>
      <w:r>
        <w:t xml:space="preserve">    → Expected: 3,200 tCO₂e reduction in market-based Scope 2 (7.2% of total Scope 2)</w:t>
      </w:r>
    </w:p>
    <w:p>
      <w:pPr>
        <w:spacing w:after="160" w:line="276" w:lineRule="auto"/>
      </w:pPr>
      <w:r>
        <w:rPr>
          <w:rFonts w:ascii="Arial" w:hAnsi="Arial"/>
          <w:i/>
          <w:color w:val="646464"/>
          <w:sz w:val="18"/>
        </w:rPr>
        <w:t xml:space="preserve">    → Ref: DBS Bank — 62% renewable electricity via solar installations and corporate PPAs, 12% YoY Scope 2 reduction</w:t>
      </w:r>
    </w:p>
    <w:p>
      <w:r>
        <w:rPr>
          <w:b/>
          <w:sz w:val="22"/>
        </w:rPr>
        <w:t>🔴 2. Deploy enterprise energy efficiency program: Conduct energy audits at top 50 facilities (branches, data centers, corporate offices). Implement LED retrofits (100% coverage), HVAC optimization (setpoint scheduling, variable frequency drives), auto-shutdown systems for non-critical equipment (modeled on BRI Kaseya program), and elevator scheduling during off-peak hours. Pursue GBCI Green Building certification for new branch constructions.</w:t>
      </w:r>
      <w:r>
        <w:rPr>
          <w:sz w:val="22"/>
        </w:rPr>
        <w:t xml:space="preserve"> (Q2 2025)</w:t>
      </w:r>
    </w:p>
    <w:p>
      <w:pPr>
        <w:spacing w:after="160" w:line="276" w:lineRule="auto"/>
      </w:pPr>
      <w:r>
        <w:t xml:space="preserve">    → Expected: 6,700 tCO₂e reduction through 15% consumption decrease (aligned with BRI 19.49% benchmark)</w:t>
      </w:r>
    </w:p>
    <w:p>
      <w:pPr>
        <w:spacing w:after="160" w:line="276" w:lineRule="auto"/>
      </w:pPr>
      <w:r>
        <w:rPr>
          <w:rFonts w:ascii="Arial" w:hAnsi="Arial"/>
          <w:i/>
          <w:color w:val="646464"/>
          <w:sz w:val="18"/>
        </w:rPr>
        <w:t xml:space="preserve">    → Ref: Bank Rakyat Indonesia — 19.49% electricity savings via Green Network program, GBCI Gold certification for headquarters</w:t>
      </w:r>
    </w:p>
    <w:p>
      <w:r>
        <w:rPr>
          <w:b/>
          <w:sz w:val="22"/>
        </w:rPr>
        <w:t>🟡 3. Establish Scope 2 base year (2024) and submit Science Based Targets initiative Letter of Commitment. Set absolute Scope 2 reduction target of 25% by 2030 (location-based method) aligned with 1.5°C pathway. Integrate Scope 2 reduction KPIs into executive remuneration framework (20% weight for Chief Operating Officer and Chief Sustainability Officer).</w:t>
      </w:r>
      <w:r>
        <w:rPr>
          <w:sz w:val="22"/>
        </w:rPr>
        <w:t xml:space="preserve"> (Q4 2024)</w:t>
      </w:r>
    </w:p>
    <w:p>
      <w:pPr>
        <w:spacing w:after="160" w:line="276" w:lineRule="auto"/>
      </w:pPr>
      <w:r>
        <w:t xml:space="preserve">    → Expected: Governance framework for long-term decarbonization; no immediate emissions impact but enables tracking and accountability</w:t>
      </w:r>
    </w:p>
    <w:p>
      <w:pPr>
        <w:spacing w:after="160" w:line="276" w:lineRule="auto"/>
      </w:pPr>
      <w:r>
        <w:rPr>
          <w:rFonts w:ascii="Arial" w:hAnsi="Arial"/>
          <w:i/>
          <w:color w:val="646464"/>
          <w:sz w:val="18"/>
        </w:rPr>
        <w:t xml:space="preserve">    → Ref: Bank Rakyat Indonesia — SBTi committed (first Indonesian FI), portfolio temperature target 1.75°C by 2040</w:t>
      </w:r>
    </w:p>
    <w:p>
      <w:r>
        <w:rPr>
          <w:b/>
          <w:sz w:val="22"/>
        </w:rPr>
        <w:t>🟡 4. Procure International Renewable Energy Certificates (I-RECs) for residual electricity consumption not covered by on-site solar or corporate PPAs. Target 5% renewable coverage in 2025 (2,230 MWh) as interim measure while long-term PPA negotiations proceed. Prioritize I-RECs from Indonesian wind or hydro projects to support domestic renewable energy market development.</w:t>
      </w:r>
      <w:r>
        <w:rPr>
          <w:sz w:val="22"/>
        </w:rPr>
        <w:t xml:space="preserve"> (Q1 2025)</w:t>
      </w:r>
    </w:p>
    <w:p>
      <w:pPr>
        <w:spacing w:after="160" w:line="276" w:lineRule="auto"/>
      </w:pPr>
      <w:r>
        <w:t xml:space="preserve">    → Expected: 2,230 tCO₂e reduction in market-based Scope 2 (5% of total Scope 2)</w:t>
      </w:r>
    </w:p>
    <w:p>
      <w:pPr>
        <w:spacing w:after="160" w:line="276" w:lineRule="auto"/>
      </w:pPr>
      <w:r>
        <w:rPr>
          <w:rFonts w:ascii="Arial" w:hAnsi="Arial"/>
          <w:i/>
          <w:color w:val="646464"/>
          <w:sz w:val="18"/>
        </w:rPr>
        <w:t xml:space="preserve">    → Ref: General Best Practice (RE100) — I-RECs as transitional instrument while developing long-term renewable procurement strategy</w:t>
      </w:r>
    </w:p>
    <w:p/>
    <w:p>
      <w:r>
        <w:rPr>
          <w:i/>
          <w:color w:val="3D6094"/>
          <w:sz w:val="18"/>
        </w:rPr>
        <w:t>Framework references: GRI 305-2a: Gross location-based Scope 2 GHG emissions; GRI 305-2b: Gross market-based Scope 2 GHG emissions; GRI 305-2e: Source of emission factors and global warming potential rates; IFRS S2 Paragraph 29(a)(ii): Absolute gross Scope 2 GHG emissions; ESRS E1-6 DR E1-6.46: Gross Scope 2 GHG emissions (location-based and market-based); OJK PSPK: Emisi GRK Tidak Langsung dari Energi (Lingkup 2); GHG Protocol Scope 2 Guidance (2015): Dual reporting methodology</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The minimal difference between location-based and market-based Scope 2 emissions (1.358 tCO₂e) reflects the absence of contractual renewable energy instruments during the reporting period. In the absence of renewable energy certificates or power purchase agreements, the market-based method defaults to the grid emission factor per GHG Protocol Scope 2 Guidance.</w:t>
      </w:r>
    </w:p>
    <w:p>
      <w:pPr>
        <w:spacing w:after="160" w:line="276" w:lineRule="auto"/>
      </w:pPr>
      <w:r>
        <w:rPr>
          <w:rFonts w:ascii="Arial" w:hAnsi="Arial"/>
          <w:i/>
          <w:color w:val="646464"/>
          <w:sz w:val="18"/>
        </w:rPr>
        <w:t>Scope 2 emissions are calculated using the PLN 2023 grid emission factor of 0.7886 kgCO₂/kWh, which represents the average carbon intensity of Indonesia's electricity grid. This factor is applied uniformly across all operational locations in the absence of subnational grid emission factor data.</w:t>
      </w:r>
    </w:p>
    <w:p>
      <w:pPr>
        <w:spacing w:after="160" w:line="276" w:lineRule="auto"/>
      </w:pPr>
      <w:r>
        <w:rPr>
          <w:rFonts w:ascii="Arial" w:hAnsi="Arial"/>
          <w:i/>
          <w:color w:val="646464"/>
          <w:sz w:val="18"/>
        </w:rPr>
        <w:t>The institution's operational footprint includes branch offices, corporate headquarters, data centers, and automated teller machine (ATM) networks. Electricity consumption data is aggregated from utility billing records and building management systems.</w:t>
      </w:r>
    </w:p>
    <w:p>
      <w:pPr>
        <w:pStyle w:val="Heading2"/>
        <w:keepNext/>
        <w:spacing w:before="360" w:after="160"/>
      </w:pPr>
      <w:r>
        <w:rPr>
          <w:rFonts w:ascii="Arial" w:hAnsi="Arial"/>
          <w:b/>
          <w:color w:val="3D6094"/>
          <w:sz w:val="28"/>
        </w:rPr>
        <w:t>1.3 Financed Emissions — Scope 3 Category 15</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21.98</w:t>
            </w:r>
            <w:r>
              <w:rPr>
                <w:color w:val="757575"/>
                <w:sz w:val="18"/>
              </w:rPr>
              <w:t xml:space="preserve"> million tCO₂e</w:t>
            </w:r>
            <w:r>
              <w:rPr>
                <w:b/>
                <w:color w:val="2E7D32"/>
                <w:sz w:val="20"/>
              </w:rPr>
              <w:br/>
              <w:t>baseline year</w:t>
            </w:r>
          </w:p>
        </w:tc>
        <w:tc>
          <w:tcPr>
            <w:tcW w:type="dxa" w:w="2257"/>
            <w:shd w:fill="F2F6FA" w:val="clear"/>
          </w:tcPr>
          <w:p>
            <w:pPr>
              <w:jc w:val="center"/>
            </w:pPr>
            <w:r>
              <w:rPr>
                <w:b/>
                <w:color w:val="1B3A6B"/>
                <w:sz w:val="36"/>
              </w:rPr>
              <w:t>15.28</w:t>
            </w:r>
            <w:r>
              <w:rPr>
                <w:color w:val="757575"/>
                <w:sz w:val="18"/>
              </w:rPr>
              <w:t xml:space="preserve"> million tCO₂e</w:t>
            </w:r>
            <w:r>
              <w:rPr>
                <w:b/>
                <w:color w:val="C62828"/>
                <w:sz w:val="20"/>
              </w:rPr>
              <w:br/>
              <w:t>30.5% uncertainty gap</w:t>
            </w:r>
          </w:p>
        </w:tc>
        <w:tc>
          <w:tcPr>
            <w:tcW w:type="dxa" w:w="2257"/>
            <w:shd w:fill="F2F6FA" w:val="clear"/>
          </w:tcPr>
          <w:p>
            <w:pPr>
              <w:jc w:val="center"/>
            </w:pPr>
            <w:r>
              <w:rPr>
                <w:b/>
                <w:color w:val="1B3A6B"/>
                <w:sz w:val="36"/>
              </w:rPr>
              <w:t>3.36</w:t>
            </w:r>
            <w:r>
              <w:rPr>
                <w:color w:val="757575"/>
                <w:sz w:val="18"/>
              </w:rPr>
              <w:t xml:space="preserve"> score (1-5)</w:t>
            </w:r>
            <w:r>
              <w:rPr>
                <w:b/>
                <w:color w:val="C62828"/>
                <w:sz w:val="20"/>
              </w:rPr>
              <w:br/>
              <w:t>vs. peer avg 2.8-3.1</w:t>
            </w:r>
          </w:p>
        </w:tc>
        <w:tc>
          <w:tcPr>
            <w:tcW w:type="dxa" w:w="2257"/>
            <w:shd w:fill="F2F6FA" w:val="clear"/>
          </w:tcPr>
          <w:p>
            <w:pPr>
              <w:jc w:val="center"/>
            </w:pPr>
            <w:r>
              <w:rPr>
                <w:b/>
                <w:color w:val="1B3A6B"/>
                <w:sz w:val="36"/>
              </w:rPr>
              <w:t>85.93</w:t>
            </w:r>
            <w:r>
              <w:rPr>
                <w:color w:val="757575"/>
                <w:sz w:val="18"/>
              </w:rPr>
              <w:t xml:space="preserve"> % of emissions</w:t>
            </w:r>
            <w:r>
              <w:rPr>
                <w:b/>
                <w:color w:val="C62828"/>
                <w:sz w:val="20"/>
              </w:rPr>
              <w:br/>
              <w:t>from 20.7% of portfolio</w:t>
            </w:r>
          </w:p>
        </w:tc>
      </w:tr>
      <w:tr>
        <w:tc>
          <w:tcPr>
            <w:tcW w:type="dxa" w:w="2257"/>
            <w:shd w:fill="F2F6FA" w:val="clear"/>
          </w:tcPr>
          <w:p>
            <w:pPr>
              <w:jc w:val="center"/>
            </w:pPr>
            <w:r>
              <w:rPr>
                <w:color w:val="757575"/>
                <w:sz w:val="16"/>
              </w:rPr>
              <w:t>Gross Financed Emissions</w:t>
            </w:r>
          </w:p>
        </w:tc>
        <w:tc>
          <w:tcPr>
            <w:tcW w:type="dxa" w:w="2257"/>
            <w:shd w:fill="F2F6FA" w:val="clear"/>
          </w:tcPr>
          <w:p>
            <w:pPr>
              <w:jc w:val="center"/>
            </w:pPr>
            <w:r>
              <w:rPr>
                <w:color w:val="757575"/>
                <w:sz w:val="16"/>
              </w:rPr>
              <w:t>Confidence-Weighted Emissions</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Top 3 Sector Concentration</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Financed emissions 30.5% uncertain due to data quality gaps — peers achieving Score 2.5-3.0 through borrower engagement</w:t>
            </w:r>
          </w:p>
          <w:p>
            <w:r>
              <w:rPr>
                <w:sz w:val="20"/>
              </w:rPr>
              <w:t>The 6.7 million tCO₂e gap between gross and weighted emissions reflects estimation uncertainty from limited borrower-reported data. BRI and BCA have reduced this gap to 15-20% by mandating emissions disclosure in loan covenants for large borrowers. Three sectors (Oil &amp; Gas, Cement, Steel) drive 86% of emissions from only 21% of portfolio exposure, presenting concentrated transition risk.</w:t>
            </w:r>
          </w:p>
        </w:tc>
      </w:tr>
    </w:tbl>
    <w:p/>
    <w:p>
      <w:pPr>
        <w:spacing w:after="160" w:line="276" w:lineRule="auto"/>
      </w:pPr>
      <w:r>
        <w:rPr>
          <w:rFonts w:ascii="Arial" w:hAnsi="Arial"/>
          <w:sz w:val="22"/>
        </w:rPr>
        <w:t>The institution's financed emissions for the 2024 reporting period totaled 21,976,797.3 tCO₂e on a gross basis and 15,280,174.14 tCO₂e on a confidence-weighted basis. These figures represent the greenhouse gas emissions attributable to the institution's lending and investment portfolio, calculated in accordance with the Partnership for Carbon Accounting Financials (PCAF) Global GHG Accounting and Reporting Standard Part A (2022). The distinction between gross and weighted emissions reflects the application of data quality confidence factors, where weighted emissions account for the uncertainty inherent in estimation methodologies across different data quality tiers.</w:t>
      </w:r>
    </w:p>
    <w:p>
      <w:pPr>
        <w:spacing w:after="160" w:line="276" w:lineRule="auto"/>
      </w:pPr>
      <w:r>
        <w:rPr>
          <w:rFonts w:ascii="Arial" w:hAnsi="Arial"/>
          <w:sz w:val="22"/>
        </w:rPr>
        <w:t>Financed emissions are calculated using the attribution factor methodology prescribed by PCAF. The attribution factor represents the ratio of the institution's outstanding amount to the borrower's total enterprise value (equity plus debt). For each financed entity, the institution's share of emissions is determined by multiplying the borrower's total annual emissions by this attribution factor. The formula is expressed as: Financed Emissions = Outstanding Amount ÷ (Total Equity + Total Debt) × Borrower's Total Emissions. This methodology ensures proportional allocation of emissions responsibility across all creditors and equity holders of the financed entity.</w:t>
      </w:r>
    </w:p>
    <w:p>
      <w:pPr>
        <w:spacing w:after="160" w:line="276" w:lineRule="auto"/>
      </w:pPr>
      <w:r>
        <w:rPr>
          <w:rFonts w:ascii="Arial" w:hAnsi="Arial"/>
          <w:sz w:val="22"/>
        </w:rPr>
        <w:t>The institution's financed emissions calculation covers corporate loans and project finance across ten economic sectors, representing 100% of the institution's commercial lending portfolio by outstanding value. The portfolio totaled IDR 1,541.18 trillion in outstanding loans across 1,955 borrowers. Scope 3 emissions of borrowers and investees are included for sectors where PCAF requires such reporting, specifically the energy (oil and gas) and mining sectors, in accordance with the PCAF phase-in schedule aligned with EU TEG requirements. For these sectors, borrower scope 3 emissions constitute a material component of the total financed emissions footprint.</w:t>
      </w:r>
    </w:p>
    <w:p>
      <w:pPr>
        <w:spacing w:after="160" w:line="276" w:lineRule="auto"/>
      </w:pPr>
      <w:r>
        <w:rPr>
          <w:rFonts w:ascii="Arial" w:hAnsi="Arial"/>
          <w:sz w:val="22"/>
        </w:rPr>
        <w:t>The confidence-weighted emissions figure of 15,280,174.14 tCO₂e is 30.5% lower than the gross emissions figure of 21,976,797.3 tCO₂e. This differential arises from the application of PCAF data quality scores, which range from 1 (highest quality, based on verified reported emissions) to 5 (lowest quality, based on economic activity estimates). Each data quality tier is assigned a confidence factor that discounts the gross emissions to reflect estimation uncertainty. The portfolio-weighted average PCAF data quality score of 3.36 indicates that the majority of financed emissions are calculated using physical activity-based methodologies (Score 2-3) rather than reported emissions data (Score 1-2). The weighted figure provides a more conservative estimate that accounts for the inherent uncertainty in emissions calculations where primary borrower data is unavailable.</w:t>
      </w:r>
    </w:p>
    <w:p>
      <w:pPr>
        <w:spacing w:after="160" w:line="276" w:lineRule="auto"/>
      </w:pPr>
      <w:r>
        <w:rPr>
          <w:rFonts w:ascii="Arial" w:hAnsi="Arial"/>
          <w:sz w:val="22"/>
        </w:rPr>
        <w:t>Three sectors—Energy (Oil &amp; Gas), Manufacturing (Cement), and Manufacturing (Steel)—account for 85.93% of total financed emissions while representing only 20.70% of the portfolio by outstanding value. The Energy (Oil &amp; Gas) sector alone contributes 43.56% of financed emissions (6,753,948.71 tCO₂e weighted) from 6.66% of portfolio exposure (IDR 102.67 trillion). This concentration reflects the carbon-intensive nature of fossil fuel extraction and refining activities. Conversely, the Financial Services sector represents 13.41% of portfolio exposure but contributes only 0.34% of financed emissions, demonstrating the wide variance in emission intensity across economic activities. This sectoral concentration presents both transition risk exposure and opportunities for targeted decarbonization engagement with high-impact borrowers.</w:t>
      </w:r>
    </w:p>
    <w:p>
      <w:pPr>
        <w:spacing w:after="160" w:line="276" w:lineRule="auto"/>
      </w:pPr>
      <w:r>
        <w:rPr>
          <w:rFonts w:ascii="Arial" w:hAnsi="Arial"/>
          <w:sz w:val="22"/>
        </w:rPr>
        <w:t>The portfolio-weighted average PCAF data quality score of 3.36 indicates moderate data quality, with the majority of emissions calculated using physical activity-based methodologies rather than borrower-reported emissions data. Across the ten sectors disclosed, individual sector data quality scores range from 3.21 (Retail Trade) to 3.42 (Financial Services). No sectors achieved Score 1 or Score 2 data quality, which would require verified or unverified reported emissions from borrowers. The institution has not yet established systematic processes for collecting primary emissions data from borrowers, resulting in reliance on estimation methodologies using production data, revenue proxies, and sector-specific emission factors. Improving data quality to Score 2 or better would require implementing borrower emissions disclosure requirements in loan covenants and developing capacity-building programs to support borrower GHG accounting capabilities.</w:t>
      </w:r>
    </w:p>
    <w:p>
      <w:pPr>
        <w:spacing w:after="160" w:line="276" w:lineRule="auto"/>
      </w:pPr>
      <w:r>
        <w:rPr>
          <w:rFonts w:ascii="Arial" w:hAnsi="Arial"/>
          <w:sz w:val="22"/>
        </w:rPr>
        <w:t>Year-over-year comparison of financed emissions is not presented for the 2024 reporting period, as this represents the institution's first comprehensive PCAF-aligned financed emissions disclosure. Prior year data was calculated using a different methodology that did not conform to PCAF standards, rendering direct comparison inappropriate. The institution has restated 2023 financed emissions using the current PCAF methodology to establish a baseline for future year-over-year tracking. Beginning with the 2025 reporting period, the institution will disclose annual changes in financed emissions on both an absolute and intensity basis (tCO₂e per IDR billion outstanding).</w:t>
      </w:r>
    </w:p>
    <w:p>
      <w:pPr>
        <w:spacing w:after="160" w:line="276" w:lineRule="auto"/>
      </w:pPr>
      <w:r>
        <w:rPr>
          <w:rFonts w:ascii="Arial" w:hAnsi="Arial"/>
          <w:sz w:val="22"/>
        </w:rPr>
        <w:t>These figures have not been subject to external assurance for the current reporting period. The institution plans to engage a third-party assurance provider for limited assurance on financed emissions data beginning with the 2025 reporting period, with progression to reasonable assurance targeted for 2027.</w:t>
      </w:r>
    </w:p>
    <w:p>
      <w:r>
        <w:rPr>
          <w:rFonts w:ascii="Arial" w:hAnsi="Arial"/>
          <w:b/>
          <w:sz w:val="20"/>
        </w:rPr>
        <w:t>Table 24: Table 1.3.1: Financed Emissions by Economic Sector (2024)</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Sector</w:t>
            </w:r>
          </w:p>
        </w:tc>
        <w:tc>
          <w:tcPr>
            <w:tcW w:type="dxa" w:w="1290"/>
            <w:shd w:fill="1B3A6B" w:val="clear"/>
          </w:tcPr>
          <w:p>
            <w:r>
              <w:rPr>
                <w:rFonts w:ascii="Arial" w:hAnsi="Arial"/>
                <w:b/>
                <w:color w:val="FFFFFF"/>
                <w:sz w:val="18"/>
              </w:rPr>
              <w:t>Outstanding (IDR Trillion)</w:t>
            </w:r>
          </w:p>
        </w:tc>
        <w:tc>
          <w:tcPr>
            <w:tcW w:type="dxa" w:w="1290"/>
            <w:shd w:fill="1B3A6B" w:val="clear"/>
          </w:tcPr>
          <w:p>
            <w:r>
              <w:rPr>
                <w:rFonts w:ascii="Arial" w:hAnsi="Arial"/>
                <w:b/>
                <w:color w:val="FFFFFF"/>
                <w:sz w:val="18"/>
              </w:rPr>
              <w:t>Gross Emissions (tCO₂e)</w:t>
            </w:r>
          </w:p>
        </w:tc>
        <w:tc>
          <w:tcPr>
            <w:tcW w:type="dxa" w:w="1290"/>
            <w:shd w:fill="1B3A6B" w:val="clear"/>
          </w:tcPr>
          <w:p>
            <w:r>
              <w:rPr>
                <w:rFonts w:ascii="Arial" w:hAnsi="Arial"/>
                <w:b/>
                <w:color w:val="FFFFFF"/>
                <w:sz w:val="18"/>
              </w:rPr>
              <w:t>Weighted Emissions (tCO₂e)</w:t>
            </w:r>
          </w:p>
        </w:tc>
        <w:tc>
          <w:tcPr>
            <w:tcW w:type="dxa" w:w="1290"/>
            <w:shd w:fill="1B3A6B" w:val="clear"/>
          </w:tcPr>
          <w:p>
            <w:r>
              <w:rPr>
                <w:rFonts w:ascii="Arial" w:hAnsi="Arial"/>
                <w:b/>
                <w:color w:val="FFFFFF"/>
                <w:sz w:val="18"/>
              </w:rPr>
              <w:t>Portfolio %</w:t>
            </w:r>
          </w:p>
        </w:tc>
        <w:tc>
          <w:tcPr>
            <w:tcW w:type="dxa" w:w="1290"/>
            <w:shd w:fill="1B3A6B" w:val="clear"/>
          </w:tcPr>
          <w:p>
            <w:r>
              <w:rPr>
                <w:rFonts w:ascii="Arial" w:hAnsi="Arial"/>
                <w:b/>
                <w:color w:val="FFFFFF"/>
                <w:sz w:val="18"/>
              </w:rPr>
              <w:t>Emissions %</w:t>
            </w:r>
          </w:p>
        </w:tc>
        <w:tc>
          <w:tcPr>
            <w:tcW w:type="dxa" w:w="1290"/>
            <w:shd w:fill="1B3A6B" w:val="clear"/>
          </w:tcPr>
          <w:p>
            <w:r>
              <w:rPr>
                <w:rFonts w:ascii="Arial" w:hAnsi="Arial"/>
                <w:b/>
                <w:color w:val="FFFFFF"/>
                <w:sz w:val="18"/>
              </w:rPr>
              <w:t>PCAF Score</w:t>
            </w:r>
          </w:p>
        </w:tc>
      </w:tr>
      <w:tr>
        <w:tc>
          <w:tcPr>
            <w:tcW w:type="dxa" w:w="1290"/>
          </w:tcPr>
          <w:p>
            <w:r>
              <w:rPr>
                <w:rFonts w:ascii="Arial" w:hAnsi="Arial"/>
                <w:sz w:val="18"/>
              </w:rPr>
              <w:t>Energy - Oil &amp; Gas</w:t>
            </w:r>
          </w:p>
        </w:tc>
        <w:tc>
          <w:tcPr>
            <w:tcW w:type="dxa" w:w="1290"/>
          </w:tcPr>
          <w:p>
            <w:pPr>
              <w:jc w:val="right"/>
            </w:pPr>
            <w:r>
              <w:rPr>
                <w:rFonts w:ascii="Arial" w:hAnsi="Arial"/>
                <w:sz w:val="18"/>
              </w:rPr>
              <w:t>102.67</w:t>
            </w:r>
          </w:p>
        </w:tc>
        <w:tc>
          <w:tcPr>
            <w:tcW w:type="dxa" w:w="1290"/>
          </w:tcPr>
          <w:p>
            <w:pPr>
              <w:jc w:val="right"/>
            </w:pPr>
            <w:r>
              <w:rPr>
                <w:rFonts w:ascii="Arial" w:hAnsi="Arial"/>
                <w:sz w:val="18"/>
              </w:rPr>
              <w:t>9,573,144</w:t>
            </w:r>
          </w:p>
        </w:tc>
        <w:tc>
          <w:tcPr>
            <w:tcW w:type="dxa" w:w="1290"/>
          </w:tcPr>
          <w:p>
            <w:pPr>
              <w:jc w:val="right"/>
            </w:pPr>
            <w:r>
              <w:rPr>
                <w:rFonts w:ascii="Arial" w:hAnsi="Arial"/>
                <w:sz w:val="18"/>
              </w:rPr>
              <w:t>6,753,949</w:t>
            </w:r>
          </w:p>
        </w:tc>
        <w:tc>
          <w:tcPr>
            <w:tcW w:type="dxa" w:w="1290"/>
          </w:tcPr>
          <w:p>
            <w:pPr>
              <w:jc w:val="right"/>
            </w:pPr>
            <w:r>
              <w:rPr>
                <w:rFonts w:ascii="Arial" w:hAnsi="Arial"/>
                <w:sz w:val="18"/>
              </w:rPr>
              <w:t>6.66%</w:t>
            </w:r>
          </w:p>
        </w:tc>
        <w:tc>
          <w:tcPr>
            <w:tcW w:type="dxa" w:w="1290"/>
          </w:tcPr>
          <w:p>
            <w:pPr>
              <w:jc w:val="right"/>
            </w:pPr>
            <w:r>
              <w:rPr>
                <w:rFonts w:ascii="Arial" w:hAnsi="Arial"/>
                <w:sz w:val="18"/>
              </w:rPr>
              <w:t>43.56%</w:t>
            </w:r>
          </w:p>
        </w:tc>
        <w:tc>
          <w:tcPr>
            <w:tcW w:type="dxa" w:w="1290"/>
          </w:tcPr>
          <w:p>
            <w:pPr>
              <w:jc w:val="right"/>
            </w:pPr>
            <w:r>
              <w:rPr>
                <w:rFonts w:ascii="Arial" w:hAnsi="Arial"/>
                <w:sz w:val="18"/>
              </w:rPr>
              <w:t>3.32</w:t>
            </w:r>
          </w:p>
        </w:tc>
      </w:tr>
      <w:tr>
        <w:tc>
          <w:tcPr>
            <w:tcW w:type="dxa" w:w="1290"/>
            <w:shd w:fill="F2F6FC" w:val="clear"/>
          </w:tcPr>
          <w:p>
            <w:r>
              <w:rPr>
                <w:rFonts w:ascii="Arial" w:hAnsi="Arial"/>
                <w:sz w:val="18"/>
              </w:rPr>
              <w:t>Manufacturing - Cement</w:t>
            </w:r>
          </w:p>
        </w:tc>
        <w:tc>
          <w:tcPr>
            <w:tcW w:type="dxa" w:w="1290"/>
            <w:shd w:fill="F2F6FC" w:val="clear"/>
          </w:tcPr>
          <w:p>
            <w:pPr>
              <w:jc w:val="right"/>
            </w:pPr>
            <w:r>
              <w:rPr>
                <w:rFonts w:ascii="Arial" w:hAnsi="Arial"/>
                <w:sz w:val="18"/>
              </w:rPr>
              <w:t>107.68</w:t>
            </w:r>
          </w:p>
        </w:tc>
        <w:tc>
          <w:tcPr>
            <w:tcW w:type="dxa" w:w="1290"/>
            <w:shd w:fill="F2F6FC" w:val="clear"/>
          </w:tcPr>
          <w:p>
            <w:pPr>
              <w:jc w:val="right"/>
            </w:pPr>
            <w:r>
              <w:rPr>
                <w:rFonts w:ascii="Arial" w:hAnsi="Arial"/>
                <w:sz w:val="18"/>
              </w:rPr>
              <w:t>5,813,831</w:t>
            </w:r>
          </w:p>
        </w:tc>
        <w:tc>
          <w:tcPr>
            <w:tcW w:type="dxa" w:w="1290"/>
            <w:shd w:fill="F2F6FC" w:val="clear"/>
          </w:tcPr>
          <w:p>
            <w:pPr>
              <w:jc w:val="right"/>
            </w:pPr>
            <w:r>
              <w:rPr>
                <w:rFonts w:ascii="Arial" w:hAnsi="Arial"/>
                <w:sz w:val="18"/>
              </w:rPr>
              <w:t>4,168,058</w:t>
            </w:r>
          </w:p>
        </w:tc>
        <w:tc>
          <w:tcPr>
            <w:tcW w:type="dxa" w:w="1290"/>
            <w:shd w:fill="F2F6FC" w:val="clear"/>
          </w:tcPr>
          <w:p>
            <w:pPr>
              <w:jc w:val="right"/>
            </w:pPr>
            <w:r>
              <w:rPr>
                <w:rFonts w:ascii="Arial" w:hAnsi="Arial"/>
                <w:sz w:val="18"/>
              </w:rPr>
              <w:t>6.99%</w:t>
            </w:r>
          </w:p>
        </w:tc>
        <w:tc>
          <w:tcPr>
            <w:tcW w:type="dxa" w:w="1290"/>
            <w:shd w:fill="F2F6FC" w:val="clear"/>
          </w:tcPr>
          <w:p>
            <w:pPr>
              <w:jc w:val="right"/>
            </w:pPr>
            <w:r>
              <w:rPr>
                <w:rFonts w:ascii="Arial" w:hAnsi="Arial"/>
                <w:sz w:val="18"/>
              </w:rPr>
              <w:t>26.45%</w:t>
            </w:r>
          </w:p>
        </w:tc>
        <w:tc>
          <w:tcPr>
            <w:tcW w:type="dxa" w:w="1290"/>
            <w:shd w:fill="F2F6FC" w:val="clear"/>
          </w:tcPr>
          <w:p>
            <w:pPr>
              <w:jc w:val="right"/>
            </w:pPr>
            <w:r>
              <w:rPr>
                <w:rFonts w:ascii="Arial" w:hAnsi="Arial"/>
                <w:sz w:val="18"/>
              </w:rPr>
              <w:t>3.40</w:t>
            </w:r>
          </w:p>
        </w:tc>
      </w:tr>
      <w:tr>
        <w:tc>
          <w:tcPr>
            <w:tcW w:type="dxa" w:w="1290"/>
          </w:tcPr>
          <w:p>
            <w:r>
              <w:rPr>
                <w:rFonts w:ascii="Arial" w:hAnsi="Arial"/>
                <w:sz w:val="18"/>
              </w:rPr>
              <w:t>Manufacturing - Steel</w:t>
            </w:r>
          </w:p>
        </w:tc>
        <w:tc>
          <w:tcPr>
            <w:tcW w:type="dxa" w:w="1290"/>
          </w:tcPr>
          <w:p>
            <w:pPr>
              <w:jc w:val="right"/>
            </w:pPr>
            <w:r>
              <w:rPr>
                <w:rFonts w:ascii="Arial" w:hAnsi="Arial"/>
                <w:sz w:val="18"/>
              </w:rPr>
              <w:t>108.62</w:t>
            </w:r>
          </w:p>
        </w:tc>
        <w:tc>
          <w:tcPr>
            <w:tcW w:type="dxa" w:w="1290"/>
          </w:tcPr>
          <w:p>
            <w:pPr>
              <w:jc w:val="right"/>
            </w:pPr>
            <w:r>
              <w:rPr>
                <w:rFonts w:ascii="Arial" w:hAnsi="Arial"/>
                <w:sz w:val="18"/>
              </w:rPr>
              <w:t>3,499,463</w:t>
            </w:r>
          </w:p>
        </w:tc>
        <w:tc>
          <w:tcPr>
            <w:tcW w:type="dxa" w:w="1290"/>
          </w:tcPr>
          <w:p>
            <w:pPr>
              <w:jc w:val="right"/>
            </w:pPr>
            <w:r>
              <w:rPr>
                <w:rFonts w:ascii="Arial" w:hAnsi="Arial"/>
                <w:sz w:val="18"/>
              </w:rPr>
              <w:t>2,228,740</w:t>
            </w:r>
          </w:p>
        </w:tc>
        <w:tc>
          <w:tcPr>
            <w:tcW w:type="dxa" w:w="1290"/>
          </w:tcPr>
          <w:p>
            <w:pPr>
              <w:jc w:val="right"/>
            </w:pPr>
            <w:r>
              <w:rPr>
                <w:rFonts w:ascii="Arial" w:hAnsi="Arial"/>
                <w:sz w:val="18"/>
              </w:rPr>
              <w:t>7.05%</w:t>
            </w:r>
          </w:p>
        </w:tc>
        <w:tc>
          <w:tcPr>
            <w:tcW w:type="dxa" w:w="1290"/>
          </w:tcPr>
          <w:p>
            <w:pPr>
              <w:jc w:val="right"/>
            </w:pPr>
            <w:r>
              <w:rPr>
                <w:rFonts w:ascii="Arial" w:hAnsi="Arial"/>
                <w:sz w:val="18"/>
              </w:rPr>
              <w:t>15.92%</w:t>
            </w:r>
          </w:p>
        </w:tc>
        <w:tc>
          <w:tcPr>
            <w:tcW w:type="dxa" w:w="1290"/>
          </w:tcPr>
          <w:p>
            <w:pPr>
              <w:jc w:val="right"/>
            </w:pPr>
            <w:r>
              <w:rPr>
                <w:rFonts w:ascii="Arial" w:hAnsi="Arial"/>
                <w:sz w:val="18"/>
              </w:rPr>
              <w:t>3.35</w:t>
            </w:r>
          </w:p>
        </w:tc>
      </w:tr>
      <w:tr>
        <w:tc>
          <w:tcPr>
            <w:tcW w:type="dxa" w:w="1290"/>
            <w:shd w:fill="F2F6FC" w:val="clear"/>
          </w:tcPr>
          <w:p>
            <w:r>
              <w:rPr>
                <w:rFonts w:ascii="Arial" w:hAnsi="Arial"/>
                <w:sz w:val="18"/>
              </w:rPr>
              <w:t>Transportation - Road</w:t>
            </w:r>
          </w:p>
        </w:tc>
        <w:tc>
          <w:tcPr>
            <w:tcW w:type="dxa" w:w="1290"/>
            <w:shd w:fill="F2F6FC" w:val="clear"/>
          </w:tcPr>
          <w:p>
            <w:pPr>
              <w:jc w:val="right"/>
            </w:pPr>
            <w:r>
              <w:rPr>
                <w:rFonts w:ascii="Arial" w:hAnsi="Arial"/>
                <w:sz w:val="18"/>
              </w:rPr>
              <w:t>155.55</w:t>
            </w:r>
          </w:p>
        </w:tc>
        <w:tc>
          <w:tcPr>
            <w:tcW w:type="dxa" w:w="1290"/>
            <w:shd w:fill="F2F6FC" w:val="clear"/>
          </w:tcPr>
          <w:p>
            <w:pPr>
              <w:jc w:val="right"/>
            </w:pPr>
            <w:r>
              <w:rPr>
                <w:rFonts w:ascii="Arial" w:hAnsi="Arial"/>
                <w:sz w:val="18"/>
              </w:rPr>
              <w:t>1,227,020</w:t>
            </w:r>
          </w:p>
        </w:tc>
        <w:tc>
          <w:tcPr>
            <w:tcW w:type="dxa" w:w="1290"/>
            <w:shd w:fill="F2F6FC" w:val="clear"/>
          </w:tcPr>
          <w:p>
            <w:pPr>
              <w:jc w:val="right"/>
            </w:pPr>
            <w:r>
              <w:rPr>
                <w:rFonts w:ascii="Arial" w:hAnsi="Arial"/>
                <w:sz w:val="18"/>
              </w:rPr>
              <w:t>864,356</w:t>
            </w:r>
          </w:p>
        </w:tc>
        <w:tc>
          <w:tcPr>
            <w:tcW w:type="dxa" w:w="1290"/>
            <w:shd w:fill="F2F6FC" w:val="clear"/>
          </w:tcPr>
          <w:p>
            <w:pPr>
              <w:jc w:val="right"/>
            </w:pPr>
            <w:r>
              <w:rPr>
                <w:rFonts w:ascii="Arial" w:hAnsi="Arial"/>
                <w:sz w:val="18"/>
              </w:rPr>
              <w:t>10.09%</w:t>
            </w:r>
          </w:p>
        </w:tc>
        <w:tc>
          <w:tcPr>
            <w:tcW w:type="dxa" w:w="1290"/>
            <w:shd w:fill="F2F6FC" w:val="clear"/>
          </w:tcPr>
          <w:p>
            <w:pPr>
              <w:jc w:val="right"/>
            </w:pPr>
            <w:r>
              <w:rPr>
                <w:rFonts w:ascii="Arial" w:hAnsi="Arial"/>
                <w:sz w:val="18"/>
              </w:rPr>
              <w:t>5.58%</w:t>
            </w:r>
          </w:p>
        </w:tc>
        <w:tc>
          <w:tcPr>
            <w:tcW w:type="dxa" w:w="1290"/>
            <w:shd w:fill="F2F6FC" w:val="clear"/>
          </w:tcPr>
          <w:p>
            <w:pPr>
              <w:jc w:val="right"/>
            </w:pPr>
            <w:r>
              <w:rPr>
                <w:rFonts w:ascii="Arial" w:hAnsi="Arial"/>
                <w:sz w:val="18"/>
              </w:rPr>
              <w:t>3.36</w:t>
            </w:r>
          </w:p>
        </w:tc>
      </w:tr>
      <w:tr>
        <w:tc>
          <w:tcPr>
            <w:tcW w:type="dxa" w:w="1290"/>
          </w:tcPr>
          <w:p>
            <w:r>
              <w:rPr>
                <w:rFonts w:ascii="Arial" w:hAnsi="Arial"/>
                <w:sz w:val="18"/>
              </w:rPr>
              <w:t>Manufacturing - Food &amp; Beverage</w:t>
            </w:r>
          </w:p>
        </w:tc>
        <w:tc>
          <w:tcPr>
            <w:tcW w:type="dxa" w:w="1290"/>
          </w:tcPr>
          <w:p>
            <w:pPr>
              <w:jc w:val="right"/>
            </w:pPr>
            <w:r>
              <w:rPr>
                <w:rFonts w:ascii="Arial" w:hAnsi="Arial"/>
                <w:sz w:val="18"/>
              </w:rPr>
              <w:t>169.14</w:t>
            </w:r>
          </w:p>
        </w:tc>
        <w:tc>
          <w:tcPr>
            <w:tcW w:type="dxa" w:w="1290"/>
          </w:tcPr>
          <w:p>
            <w:pPr>
              <w:jc w:val="right"/>
            </w:pPr>
            <w:r>
              <w:rPr>
                <w:rFonts w:ascii="Arial" w:hAnsi="Arial"/>
                <w:sz w:val="18"/>
              </w:rPr>
              <w:t>936,111</w:t>
            </w:r>
          </w:p>
        </w:tc>
        <w:tc>
          <w:tcPr>
            <w:tcW w:type="dxa" w:w="1290"/>
          </w:tcPr>
          <w:p>
            <w:pPr>
              <w:jc w:val="right"/>
            </w:pPr>
            <w:r>
              <w:rPr>
                <w:rFonts w:ascii="Arial" w:hAnsi="Arial"/>
                <w:sz w:val="18"/>
              </w:rPr>
              <w:t>653,414</w:t>
            </w:r>
          </w:p>
        </w:tc>
        <w:tc>
          <w:tcPr>
            <w:tcW w:type="dxa" w:w="1290"/>
          </w:tcPr>
          <w:p>
            <w:pPr>
              <w:jc w:val="right"/>
            </w:pPr>
            <w:r>
              <w:rPr>
                <w:rFonts w:ascii="Arial" w:hAnsi="Arial"/>
                <w:sz w:val="18"/>
              </w:rPr>
              <w:t>10.97%</w:t>
            </w:r>
          </w:p>
        </w:tc>
        <w:tc>
          <w:tcPr>
            <w:tcW w:type="dxa" w:w="1290"/>
          </w:tcPr>
          <w:p>
            <w:pPr>
              <w:jc w:val="right"/>
            </w:pPr>
            <w:r>
              <w:rPr>
                <w:rFonts w:ascii="Arial" w:hAnsi="Arial"/>
                <w:sz w:val="18"/>
              </w:rPr>
              <w:t>4.26%</w:t>
            </w:r>
          </w:p>
        </w:tc>
        <w:tc>
          <w:tcPr>
            <w:tcW w:type="dxa" w:w="1290"/>
          </w:tcPr>
          <w:p>
            <w:pPr>
              <w:jc w:val="right"/>
            </w:pPr>
            <w:r>
              <w:rPr>
                <w:rFonts w:ascii="Arial" w:hAnsi="Arial"/>
                <w:sz w:val="18"/>
              </w:rPr>
              <w:t>3.35</w:t>
            </w:r>
          </w:p>
        </w:tc>
      </w:tr>
      <w:tr>
        <w:tc>
          <w:tcPr>
            <w:tcW w:type="dxa" w:w="1290"/>
            <w:shd w:fill="F2F6FC" w:val="clear"/>
          </w:tcPr>
          <w:p>
            <w:r>
              <w:rPr>
                <w:rFonts w:ascii="Arial" w:hAnsi="Arial"/>
                <w:sz w:val="18"/>
              </w:rPr>
              <w:t>Agriculture</w:t>
            </w:r>
          </w:p>
        </w:tc>
        <w:tc>
          <w:tcPr>
            <w:tcW w:type="dxa" w:w="1290"/>
            <w:shd w:fill="F2F6FC" w:val="clear"/>
          </w:tcPr>
          <w:p>
            <w:pPr>
              <w:jc w:val="right"/>
            </w:pPr>
            <w:r>
              <w:rPr>
                <w:rFonts w:ascii="Arial" w:hAnsi="Arial"/>
                <w:sz w:val="18"/>
              </w:rPr>
              <w:t>118.90</w:t>
            </w:r>
          </w:p>
        </w:tc>
        <w:tc>
          <w:tcPr>
            <w:tcW w:type="dxa" w:w="1290"/>
            <w:shd w:fill="F2F6FC" w:val="clear"/>
          </w:tcPr>
          <w:p>
            <w:pPr>
              <w:jc w:val="right"/>
            </w:pPr>
            <w:r>
              <w:rPr>
                <w:rFonts w:ascii="Arial" w:hAnsi="Arial"/>
                <w:sz w:val="18"/>
              </w:rPr>
              <w:t>288,493</w:t>
            </w:r>
          </w:p>
        </w:tc>
        <w:tc>
          <w:tcPr>
            <w:tcW w:type="dxa" w:w="1290"/>
            <w:shd w:fill="F2F6FC" w:val="clear"/>
          </w:tcPr>
          <w:p>
            <w:pPr>
              <w:jc w:val="right"/>
            </w:pPr>
            <w:r>
              <w:rPr>
                <w:rFonts w:ascii="Arial" w:hAnsi="Arial"/>
                <w:sz w:val="18"/>
              </w:rPr>
              <w:t>183,548</w:t>
            </w:r>
          </w:p>
        </w:tc>
        <w:tc>
          <w:tcPr>
            <w:tcW w:type="dxa" w:w="1290"/>
            <w:shd w:fill="F2F6FC" w:val="clear"/>
          </w:tcPr>
          <w:p>
            <w:pPr>
              <w:jc w:val="right"/>
            </w:pPr>
            <w:r>
              <w:rPr>
                <w:rFonts w:ascii="Arial" w:hAnsi="Arial"/>
                <w:sz w:val="18"/>
              </w:rPr>
              <w:t>7.71%</w:t>
            </w:r>
          </w:p>
        </w:tc>
        <w:tc>
          <w:tcPr>
            <w:tcW w:type="dxa" w:w="1290"/>
            <w:shd w:fill="F2F6FC" w:val="clear"/>
          </w:tcPr>
          <w:p>
            <w:pPr>
              <w:jc w:val="right"/>
            </w:pPr>
            <w:r>
              <w:rPr>
                <w:rFonts w:ascii="Arial" w:hAnsi="Arial"/>
                <w:sz w:val="18"/>
              </w:rPr>
              <w:t>1.31%</w:t>
            </w:r>
          </w:p>
        </w:tc>
        <w:tc>
          <w:tcPr>
            <w:tcW w:type="dxa" w:w="1290"/>
            <w:shd w:fill="F2F6FC" w:val="clear"/>
          </w:tcPr>
          <w:p>
            <w:pPr>
              <w:jc w:val="right"/>
            </w:pPr>
            <w:r>
              <w:rPr>
                <w:rFonts w:ascii="Arial" w:hAnsi="Arial"/>
                <w:sz w:val="18"/>
              </w:rPr>
              <w:t>3.41</w:t>
            </w:r>
          </w:p>
        </w:tc>
      </w:tr>
      <w:tr>
        <w:tc>
          <w:tcPr>
            <w:tcW w:type="dxa" w:w="1290"/>
          </w:tcPr>
          <w:p>
            <w:r>
              <w:rPr>
                <w:rFonts w:ascii="Arial" w:hAnsi="Arial"/>
                <w:sz w:val="18"/>
              </w:rPr>
              <w:t>Real Estate - Commercial</w:t>
            </w:r>
          </w:p>
        </w:tc>
        <w:tc>
          <w:tcPr>
            <w:tcW w:type="dxa" w:w="1290"/>
          </w:tcPr>
          <w:p>
            <w:pPr>
              <w:jc w:val="right"/>
            </w:pPr>
            <w:r>
              <w:rPr>
                <w:rFonts w:ascii="Arial" w:hAnsi="Arial"/>
                <w:sz w:val="18"/>
              </w:rPr>
              <w:t>250.74</w:t>
            </w:r>
          </w:p>
        </w:tc>
        <w:tc>
          <w:tcPr>
            <w:tcW w:type="dxa" w:w="1290"/>
          </w:tcPr>
          <w:p>
            <w:pPr>
              <w:jc w:val="right"/>
            </w:pPr>
            <w:r>
              <w:rPr>
                <w:rFonts w:ascii="Arial" w:hAnsi="Arial"/>
                <w:sz w:val="18"/>
              </w:rPr>
              <w:t>231,235</w:t>
            </w:r>
          </w:p>
        </w:tc>
        <w:tc>
          <w:tcPr>
            <w:tcW w:type="dxa" w:w="1290"/>
          </w:tcPr>
          <w:p>
            <w:pPr>
              <w:jc w:val="right"/>
            </w:pPr>
            <w:r>
              <w:rPr>
                <w:rFonts w:ascii="Arial" w:hAnsi="Arial"/>
                <w:sz w:val="18"/>
              </w:rPr>
              <w:t>158,419</w:t>
            </w:r>
          </w:p>
        </w:tc>
        <w:tc>
          <w:tcPr>
            <w:tcW w:type="dxa" w:w="1290"/>
          </w:tcPr>
          <w:p>
            <w:pPr>
              <w:jc w:val="right"/>
            </w:pPr>
            <w:r>
              <w:rPr>
                <w:rFonts w:ascii="Arial" w:hAnsi="Arial"/>
                <w:sz w:val="18"/>
              </w:rPr>
              <w:t>16.27%</w:t>
            </w:r>
          </w:p>
        </w:tc>
        <w:tc>
          <w:tcPr>
            <w:tcW w:type="dxa" w:w="1290"/>
          </w:tcPr>
          <w:p>
            <w:pPr>
              <w:jc w:val="right"/>
            </w:pPr>
            <w:r>
              <w:rPr>
                <w:rFonts w:ascii="Arial" w:hAnsi="Arial"/>
                <w:sz w:val="18"/>
              </w:rPr>
              <w:t>1.05%</w:t>
            </w:r>
          </w:p>
        </w:tc>
        <w:tc>
          <w:tcPr>
            <w:tcW w:type="dxa" w:w="1290"/>
          </w:tcPr>
          <w:p>
            <w:pPr>
              <w:jc w:val="right"/>
            </w:pPr>
            <w:r>
              <w:rPr>
                <w:rFonts w:ascii="Arial" w:hAnsi="Arial"/>
                <w:sz w:val="18"/>
              </w:rPr>
              <w:t>3.27</w:t>
            </w:r>
          </w:p>
        </w:tc>
      </w:tr>
      <w:tr>
        <w:tc>
          <w:tcPr>
            <w:tcW w:type="dxa" w:w="1290"/>
            <w:shd w:fill="F2F6FC" w:val="clear"/>
          </w:tcPr>
          <w:p>
            <w:r>
              <w:rPr>
                <w:rFonts w:ascii="Arial" w:hAnsi="Arial"/>
                <w:sz w:val="18"/>
              </w:rPr>
              <w:t>Retail Trade</w:t>
            </w:r>
          </w:p>
        </w:tc>
        <w:tc>
          <w:tcPr>
            <w:tcW w:type="dxa" w:w="1290"/>
            <w:shd w:fill="F2F6FC" w:val="clear"/>
          </w:tcPr>
          <w:p>
            <w:pPr>
              <w:jc w:val="right"/>
            </w:pPr>
            <w:r>
              <w:rPr>
                <w:rFonts w:ascii="Arial" w:hAnsi="Arial"/>
                <w:sz w:val="18"/>
              </w:rPr>
              <w:t>152.84</w:t>
            </w:r>
          </w:p>
        </w:tc>
        <w:tc>
          <w:tcPr>
            <w:tcW w:type="dxa" w:w="1290"/>
            <w:shd w:fill="F2F6FC" w:val="clear"/>
          </w:tcPr>
          <w:p>
            <w:pPr>
              <w:jc w:val="right"/>
            </w:pPr>
            <w:r>
              <w:rPr>
                <w:rFonts w:ascii="Arial" w:hAnsi="Arial"/>
                <w:sz w:val="18"/>
              </w:rPr>
              <w:t>226,341</w:t>
            </w:r>
          </w:p>
        </w:tc>
        <w:tc>
          <w:tcPr>
            <w:tcW w:type="dxa" w:w="1290"/>
            <w:shd w:fill="F2F6FC" w:val="clear"/>
          </w:tcPr>
          <w:p>
            <w:pPr>
              <w:jc w:val="right"/>
            </w:pPr>
            <w:r>
              <w:rPr>
                <w:rFonts w:ascii="Arial" w:hAnsi="Arial"/>
                <w:sz w:val="18"/>
              </w:rPr>
              <w:t>140,813</w:t>
            </w:r>
          </w:p>
        </w:tc>
        <w:tc>
          <w:tcPr>
            <w:tcW w:type="dxa" w:w="1290"/>
            <w:shd w:fill="F2F6FC" w:val="clear"/>
          </w:tcPr>
          <w:p>
            <w:pPr>
              <w:jc w:val="right"/>
            </w:pPr>
            <w:r>
              <w:rPr>
                <w:rFonts w:ascii="Arial" w:hAnsi="Arial"/>
                <w:sz w:val="18"/>
              </w:rPr>
              <w:t>9.92%</w:t>
            </w:r>
          </w:p>
        </w:tc>
        <w:tc>
          <w:tcPr>
            <w:tcW w:type="dxa" w:w="1290"/>
            <w:shd w:fill="F2F6FC" w:val="clear"/>
          </w:tcPr>
          <w:p>
            <w:pPr>
              <w:jc w:val="right"/>
            </w:pPr>
            <w:r>
              <w:rPr>
                <w:rFonts w:ascii="Arial" w:hAnsi="Arial"/>
                <w:sz w:val="18"/>
              </w:rPr>
              <w:t>1.03%</w:t>
            </w:r>
          </w:p>
        </w:tc>
        <w:tc>
          <w:tcPr>
            <w:tcW w:type="dxa" w:w="1290"/>
            <w:shd w:fill="F2F6FC" w:val="clear"/>
          </w:tcPr>
          <w:p>
            <w:pPr>
              <w:jc w:val="right"/>
            </w:pPr>
            <w:r>
              <w:rPr>
                <w:rFonts w:ascii="Arial" w:hAnsi="Arial"/>
                <w:sz w:val="18"/>
              </w:rPr>
              <w:t>3.21</w:t>
            </w:r>
          </w:p>
        </w:tc>
      </w:tr>
      <w:tr>
        <w:tc>
          <w:tcPr>
            <w:tcW w:type="dxa" w:w="1290"/>
          </w:tcPr>
          <w:p>
            <w:r>
              <w:rPr>
                <w:rFonts w:ascii="Arial" w:hAnsi="Arial"/>
                <w:sz w:val="18"/>
              </w:rPr>
              <w:t>Real Estate - Residential</w:t>
            </w:r>
          </w:p>
        </w:tc>
        <w:tc>
          <w:tcPr>
            <w:tcW w:type="dxa" w:w="1290"/>
          </w:tcPr>
          <w:p>
            <w:pPr>
              <w:jc w:val="right"/>
            </w:pPr>
            <w:r>
              <w:rPr>
                <w:rFonts w:ascii="Arial" w:hAnsi="Arial"/>
                <w:sz w:val="18"/>
              </w:rPr>
              <w:t>168.42</w:t>
            </w:r>
          </w:p>
        </w:tc>
        <w:tc>
          <w:tcPr>
            <w:tcW w:type="dxa" w:w="1290"/>
          </w:tcPr>
          <w:p>
            <w:pPr>
              <w:jc w:val="right"/>
            </w:pPr>
            <w:r>
              <w:rPr>
                <w:rFonts w:ascii="Arial" w:hAnsi="Arial"/>
                <w:sz w:val="18"/>
              </w:rPr>
              <w:t>107,465</w:t>
            </w:r>
          </w:p>
        </w:tc>
        <w:tc>
          <w:tcPr>
            <w:tcW w:type="dxa" w:w="1290"/>
          </w:tcPr>
          <w:p>
            <w:pPr>
              <w:jc w:val="right"/>
            </w:pPr>
            <w:r>
              <w:rPr>
                <w:rFonts w:ascii="Arial" w:hAnsi="Arial"/>
                <w:sz w:val="18"/>
              </w:rPr>
              <w:t>79,159</w:t>
            </w:r>
          </w:p>
        </w:tc>
        <w:tc>
          <w:tcPr>
            <w:tcW w:type="dxa" w:w="1290"/>
          </w:tcPr>
          <w:p>
            <w:pPr>
              <w:jc w:val="right"/>
            </w:pPr>
            <w:r>
              <w:rPr>
                <w:rFonts w:ascii="Arial" w:hAnsi="Arial"/>
                <w:sz w:val="18"/>
              </w:rPr>
              <w:t>10.93%</w:t>
            </w:r>
          </w:p>
        </w:tc>
        <w:tc>
          <w:tcPr>
            <w:tcW w:type="dxa" w:w="1290"/>
          </w:tcPr>
          <w:p>
            <w:pPr>
              <w:jc w:val="right"/>
            </w:pPr>
            <w:r>
              <w:rPr>
                <w:rFonts w:ascii="Arial" w:hAnsi="Arial"/>
                <w:sz w:val="18"/>
              </w:rPr>
              <w:t>0.49%</w:t>
            </w:r>
          </w:p>
        </w:tc>
        <w:tc>
          <w:tcPr>
            <w:tcW w:type="dxa" w:w="1290"/>
          </w:tcPr>
          <w:p>
            <w:pPr>
              <w:jc w:val="right"/>
            </w:pPr>
            <w:r>
              <w:rPr>
                <w:rFonts w:ascii="Arial" w:hAnsi="Arial"/>
                <w:sz w:val="18"/>
              </w:rPr>
              <w:t>3.32</w:t>
            </w:r>
          </w:p>
        </w:tc>
      </w:tr>
      <w:tr>
        <w:tc>
          <w:tcPr>
            <w:tcW w:type="dxa" w:w="1290"/>
            <w:shd w:fill="F2F6FC" w:val="clear"/>
          </w:tcPr>
          <w:p>
            <w:r>
              <w:rPr>
                <w:rFonts w:ascii="Arial" w:hAnsi="Arial"/>
                <w:sz w:val="18"/>
              </w:rPr>
              <w:t>Financial Services</w:t>
            </w:r>
          </w:p>
        </w:tc>
        <w:tc>
          <w:tcPr>
            <w:tcW w:type="dxa" w:w="1290"/>
            <w:shd w:fill="F2F6FC" w:val="clear"/>
          </w:tcPr>
          <w:p>
            <w:pPr>
              <w:jc w:val="right"/>
            </w:pPr>
            <w:r>
              <w:rPr>
                <w:rFonts w:ascii="Arial" w:hAnsi="Arial"/>
                <w:sz w:val="18"/>
              </w:rPr>
              <w:t>206.62</w:t>
            </w:r>
          </w:p>
        </w:tc>
        <w:tc>
          <w:tcPr>
            <w:tcW w:type="dxa" w:w="1290"/>
            <w:shd w:fill="F2F6FC" w:val="clear"/>
          </w:tcPr>
          <w:p>
            <w:pPr>
              <w:jc w:val="right"/>
            </w:pPr>
            <w:r>
              <w:rPr>
                <w:rFonts w:ascii="Arial" w:hAnsi="Arial"/>
                <w:sz w:val="18"/>
              </w:rPr>
              <w:t>73,694</w:t>
            </w:r>
          </w:p>
        </w:tc>
        <w:tc>
          <w:tcPr>
            <w:tcW w:type="dxa" w:w="1290"/>
            <w:shd w:fill="F2F6FC" w:val="clear"/>
          </w:tcPr>
          <w:p>
            <w:pPr>
              <w:jc w:val="right"/>
            </w:pPr>
            <w:r>
              <w:rPr>
                <w:rFonts w:ascii="Arial" w:hAnsi="Arial"/>
                <w:sz w:val="18"/>
              </w:rPr>
              <w:t>49,718</w:t>
            </w:r>
          </w:p>
        </w:tc>
        <w:tc>
          <w:tcPr>
            <w:tcW w:type="dxa" w:w="1290"/>
            <w:shd w:fill="F2F6FC" w:val="clear"/>
          </w:tcPr>
          <w:p>
            <w:pPr>
              <w:jc w:val="right"/>
            </w:pPr>
            <w:r>
              <w:rPr>
                <w:rFonts w:ascii="Arial" w:hAnsi="Arial"/>
                <w:sz w:val="18"/>
              </w:rPr>
              <w:t>13.41%</w:t>
            </w:r>
          </w:p>
        </w:tc>
        <w:tc>
          <w:tcPr>
            <w:tcW w:type="dxa" w:w="1290"/>
            <w:shd w:fill="F2F6FC" w:val="clear"/>
          </w:tcPr>
          <w:p>
            <w:pPr>
              <w:jc w:val="right"/>
            </w:pPr>
            <w:r>
              <w:rPr>
                <w:rFonts w:ascii="Arial" w:hAnsi="Arial"/>
                <w:sz w:val="18"/>
              </w:rPr>
              <w:t>0.34%</w:t>
            </w:r>
          </w:p>
        </w:tc>
        <w:tc>
          <w:tcPr>
            <w:tcW w:type="dxa" w:w="1290"/>
            <w:shd w:fill="F2F6FC" w:val="clear"/>
          </w:tcPr>
          <w:p>
            <w:pPr>
              <w:jc w:val="right"/>
            </w:pPr>
            <w:r>
              <w:rPr>
                <w:rFonts w:ascii="Arial" w:hAnsi="Arial"/>
                <w:sz w:val="18"/>
              </w:rPr>
              <w:t>3.42</w:t>
            </w:r>
          </w:p>
        </w:tc>
      </w:tr>
      <w:tr>
        <w:tc>
          <w:tcPr>
            <w:tcW w:type="dxa" w:w="1290"/>
          </w:tcPr>
          <w:p>
            <w:r>
              <w:rPr>
                <w:rFonts w:ascii="Arial" w:hAnsi="Arial"/>
                <w:sz w:val="18"/>
              </w:rPr>
              <w:t>**Total**</w:t>
            </w:r>
          </w:p>
        </w:tc>
        <w:tc>
          <w:tcPr>
            <w:tcW w:type="dxa" w:w="1290"/>
          </w:tcPr>
          <w:p>
            <w:r>
              <w:rPr>
                <w:rFonts w:ascii="Arial" w:hAnsi="Arial"/>
                <w:sz w:val="18"/>
              </w:rPr>
              <w:t>**1,541.18**</w:t>
            </w:r>
          </w:p>
        </w:tc>
        <w:tc>
          <w:tcPr>
            <w:tcW w:type="dxa" w:w="1290"/>
          </w:tcPr>
          <w:p>
            <w:r>
              <w:rPr>
                <w:rFonts w:ascii="Arial" w:hAnsi="Arial"/>
                <w:sz w:val="18"/>
              </w:rPr>
              <w:t>**21,976,797**</w:t>
            </w:r>
          </w:p>
        </w:tc>
        <w:tc>
          <w:tcPr>
            <w:tcW w:type="dxa" w:w="1290"/>
          </w:tcPr>
          <w:p>
            <w:r>
              <w:rPr>
                <w:rFonts w:ascii="Arial" w:hAnsi="Arial"/>
                <w:sz w:val="18"/>
              </w:rPr>
              <w:t>**15,280,174**</w:t>
            </w:r>
          </w:p>
        </w:tc>
        <w:tc>
          <w:tcPr>
            <w:tcW w:type="dxa" w:w="1290"/>
          </w:tcPr>
          <w:p>
            <w:r>
              <w:rPr>
                <w:rFonts w:ascii="Arial" w:hAnsi="Arial"/>
                <w:sz w:val="18"/>
              </w:rPr>
              <w:t>**100.00%**</w:t>
            </w:r>
          </w:p>
        </w:tc>
        <w:tc>
          <w:tcPr>
            <w:tcW w:type="dxa" w:w="1290"/>
          </w:tcPr>
          <w:p>
            <w:r>
              <w:rPr>
                <w:rFonts w:ascii="Arial" w:hAnsi="Arial"/>
                <w:sz w:val="18"/>
              </w:rPr>
              <w:t>**100.00%**</w:t>
            </w:r>
          </w:p>
        </w:tc>
        <w:tc>
          <w:tcPr>
            <w:tcW w:type="dxa" w:w="1290"/>
          </w:tcPr>
          <w:p>
            <w:r>
              <w:rPr>
                <w:rFonts w:ascii="Arial" w:hAnsi="Arial"/>
                <w:sz w:val="18"/>
              </w:rPr>
              <w:t>**3.36**</w:t>
            </w:r>
          </w:p>
        </w:tc>
      </w:tr>
    </w:tbl>
    <w:p>
      <w:r>
        <w:rPr>
          <w:rFonts w:ascii="Arial" w:hAnsi="Arial"/>
          <w:i/>
          <w:sz w:val="16"/>
        </w:rPr>
        <w:t>Source: Source: Institution's PCAF calculation system. Weighted emissions apply data quality confidence factors per PCAF Global Standard.</w:t>
      </w:r>
    </w:p>
    <w:p/>
    <w:p>
      <w:r>
        <w:rPr>
          <w:rFonts w:ascii="Arial" w:hAnsi="Arial"/>
          <w:b/>
          <w:sz w:val="20"/>
        </w:rPr>
        <w:t>Table 26: Table 1.3.2: Framework Cross-Reference — Financed Emissions Disclosure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305-3</w:t>
            </w:r>
          </w:p>
        </w:tc>
        <w:tc>
          <w:tcPr>
            <w:tcW w:type="dxa" w:w="2257"/>
          </w:tcPr>
          <w:p>
            <w:r>
              <w:rPr>
                <w:rFonts w:ascii="Arial" w:hAnsi="Arial"/>
                <w:sz w:val="18"/>
              </w:rPr>
              <w:t>305-3a</w:t>
            </w:r>
          </w:p>
        </w:tc>
        <w:tc>
          <w:tcPr>
            <w:tcW w:type="dxa" w:w="2257"/>
          </w:tcPr>
          <w:p>
            <w:r>
              <w:rPr>
                <w:rFonts w:ascii="Arial" w:hAnsi="Arial"/>
                <w:sz w:val="18"/>
              </w:rPr>
              <w:t>Gross other indirect (Scope 3)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305-3d</w:t>
            </w:r>
          </w:p>
        </w:tc>
        <w:tc>
          <w:tcPr>
            <w:tcW w:type="dxa" w:w="2257"/>
            <w:shd w:fill="F2F6FC" w:val="clear"/>
          </w:tcPr>
          <w:p>
            <w:r>
              <w:rPr>
                <w:rFonts w:ascii="Arial" w:hAnsi="Arial"/>
                <w:sz w:val="18"/>
              </w:rPr>
              <w:t>GHG emissions categories included in the calculation (Category 15 specified)</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29(a)(iv)</w:t>
            </w:r>
          </w:p>
        </w:tc>
        <w:tc>
          <w:tcPr>
            <w:tcW w:type="dxa" w:w="2257"/>
          </w:tcPr>
          <w:p>
            <w:r>
              <w:rPr>
                <w:rFonts w:ascii="Arial" w:hAnsi="Arial"/>
                <w:sz w:val="18"/>
              </w:rPr>
              <w:t>Absolute gross Scope 3 GHG emissions</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29(a)(iv)</w:t>
            </w:r>
          </w:p>
        </w:tc>
        <w:tc>
          <w:tcPr>
            <w:tcW w:type="dxa" w:w="2257"/>
            <w:shd w:fill="F2F6FC" w:val="clear"/>
          </w:tcPr>
          <w:p>
            <w:r>
              <w:rPr>
                <w:rFonts w:ascii="Arial" w:hAnsi="Arial"/>
                <w:sz w:val="18"/>
              </w:rPr>
              <w:t>Industry-based metrics (financed emissions per PCAF)</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DR E1-6.51</w:t>
            </w:r>
          </w:p>
        </w:tc>
        <w:tc>
          <w:tcPr>
            <w:tcW w:type="dxa" w:w="2257"/>
          </w:tcPr>
          <w:p>
            <w:r>
              <w:rPr>
                <w:rFonts w:ascii="Arial" w:hAnsi="Arial"/>
                <w:sz w:val="18"/>
              </w:rPr>
              <w:t>Total indirect GHG emissions (Scope 3)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Lingkup 3</w:t>
            </w:r>
          </w:p>
        </w:tc>
        <w:tc>
          <w:tcPr>
            <w:tcW w:type="dxa" w:w="2257"/>
            <w:shd w:fill="F2F6FC" w:val="clear"/>
          </w:tcPr>
          <w:p>
            <w:r>
              <w:rPr>
                <w:rFonts w:ascii="Arial" w:hAnsi="Arial"/>
                <w:sz w:val="18"/>
              </w:rPr>
              <w:t>Emisi pembiayaan menggunakan metodologi PCAF</w:t>
            </w:r>
          </w:p>
        </w:tc>
        <w:tc>
          <w:tcPr>
            <w:tcW w:type="dxa" w:w="2257"/>
            <w:shd w:fill="F2F6FC" w:val="clear"/>
          </w:tcPr>
          <w:p>
            <w:r>
              <w:rPr>
                <w:rFonts w:ascii="Arial" w:hAnsi="Arial"/>
                <w:sz w:val="18"/>
              </w:rPr>
              <w:t>✅ Disclosed</w:t>
            </w:r>
          </w:p>
        </w:tc>
      </w:tr>
      <w:tr>
        <w:tc>
          <w:tcPr>
            <w:tcW w:type="dxa" w:w="2257"/>
          </w:tcPr>
          <w:p>
            <w:r>
              <w:rPr>
                <w:rFonts w:ascii="Arial" w:hAnsi="Arial"/>
                <w:sz w:val="18"/>
              </w:rPr>
              <w:t>PCAF Global Standard</w:t>
            </w:r>
          </w:p>
        </w:tc>
        <w:tc>
          <w:tcPr>
            <w:tcW w:type="dxa" w:w="2257"/>
          </w:tcPr>
          <w:p>
            <w:r>
              <w:rPr>
                <w:rFonts w:ascii="Arial" w:hAnsi="Arial"/>
                <w:sz w:val="18"/>
              </w:rPr>
              <w:t>Part A (2022)</w:t>
            </w:r>
          </w:p>
        </w:tc>
        <w:tc>
          <w:tcPr>
            <w:tcW w:type="dxa" w:w="2257"/>
          </w:tcPr>
          <w:p>
            <w:r>
              <w:rPr>
                <w:rFonts w:ascii="Arial" w:hAnsi="Arial"/>
                <w:sz w:val="18"/>
              </w:rPr>
              <w:t>Attribution factor methodology for financed emissions</w:t>
            </w:r>
          </w:p>
        </w:tc>
        <w:tc>
          <w:tcPr>
            <w:tcW w:type="dxa" w:w="2257"/>
          </w:tcPr>
          <w:p>
            <w:r>
              <w:rPr>
                <w:rFonts w:ascii="Arial" w:hAnsi="Arial"/>
                <w:sz w:val="18"/>
              </w:rPr>
              <w:t>✅ Disclosed</w:t>
            </w:r>
          </w:p>
        </w:tc>
      </w:tr>
      <w:tr>
        <w:tc>
          <w:tcPr>
            <w:tcW w:type="dxa" w:w="2257"/>
            <w:shd w:fill="F2F6FC" w:val="clear"/>
          </w:tcPr>
          <w:p>
            <w:r>
              <w:rPr>
                <w:rFonts w:ascii="Arial" w:hAnsi="Arial"/>
                <w:sz w:val="18"/>
              </w:rPr>
              <w:t>PCAF Global Standard</w:t>
            </w:r>
          </w:p>
        </w:tc>
        <w:tc>
          <w:tcPr>
            <w:tcW w:type="dxa" w:w="2257"/>
            <w:shd w:fill="F2F6FC" w:val="clear"/>
          </w:tcPr>
          <w:p>
            <w:r>
              <w:rPr>
                <w:rFonts w:ascii="Arial" w:hAnsi="Arial"/>
                <w:sz w:val="18"/>
              </w:rPr>
              <w:t>Data Quality</w:t>
            </w:r>
          </w:p>
        </w:tc>
        <w:tc>
          <w:tcPr>
            <w:tcW w:type="dxa" w:w="2257"/>
            <w:shd w:fill="F2F6FC" w:val="clear"/>
          </w:tcPr>
          <w:p>
            <w:r>
              <w:rPr>
                <w:rFonts w:ascii="Arial" w:hAnsi="Arial"/>
                <w:sz w:val="18"/>
              </w:rPr>
              <w:t>Portfolio-weighted data quality score disclosure</w:t>
            </w:r>
          </w:p>
        </w:tc>
        <w:tc>
          <w:tcPr>
            <w:tcW w:type="dxa" w:w="2257"/>
            <w:shd w:fill="F2F6FC" w:val="clear"/>
          </w:tcPr>
          <w:p>
            <w:r>
              <w:rPr>
                <w:rFonts w:ascii="Arial" w:hAnsi="Arial"/>
                <w:sz w:val="18"/>
              </w:rPr>
              <w:t>✅ Disclosed</w:t>
            </w:r>
          </w:p>
        </w:tc>
      </w:tr>
    </w:tbl>
    <w:p>
      <w:r>
        <w:rPr>
          <w:rFonts w:ascii="Arial" w:hAnsi="Arial"/>
          <w:i/>
          <w:sz w:val="16"/>
        </w:rPr>
        <w:t>Source: All framework requirements for Scope 3 Category 15 financed emissions are met for the 2024 reporting period.</w:t>
      </w:r>
    </w:p>
    <w:p/>
    <w:p/>
    <w:p>
      <w:r>
        <w:drawing>
          <wp:inline xmlns:a="http://schemas.openxmlformats.org/drawingml/2006/main" xmlns:pic="http://schemas.openxmlformats.org/drawingml/2006/picture">
            <wp:extent cx="5029200" cy="3011374"/>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011374"/>
                    </a:xfrm>
                    <a:prstGeom prst="rect"/>
                  </pic:spPr>
                </pic:pic>
              </a:graphicData>
            </a:graphic>
          </wp:inline>
        </w:drawing>
      </w:r>
    </w:p>
    <w:p>
      <w:pPr>
        <w:jc w:val="center"/>
      </w:pPr>
      <w:r>
        <w:rPr>
          <w:i/>
          <w:color w:val="666666"/>
          <w:sz w:val="18"/>
        </w:rPr>
        <w:t>Figure 11: Financed Emissions by Sector (Confidence-Weighted, tCO₂e)</w:t>
      </w:r>
    </w:p>
    <w:p>
      <w:pPr>
        <w:jc w:val="center"/>
      </w:pPr>
      <w:r>
        <w:rPr>
          <w:i/>
          <w:color w:val="757575"/>
          <w:sz w:val="18"/>
        </w:rPr>
        <w:t>Oil &amp; Gas dominates at 44% of emissions from only 7% of portfolio — primary target for transition risk mitigation and borrower engagement</w:t>
      </w:r>
    </w:p>
    <w:p/>
    <w:p>
      <w:r>
        <w:drawing>
          <wp:inline xmlns:a="http://schemas.openxmlformats.org/drawingml/2006/main" xmlns:pic="http://schemas.openxmlformats.org/drawingml/2006/picture">
            <wp:extent cx="5029200" cy="3332057"/>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332057"/>
                    </a:xfrm>
                    <a:prstGeom prst="rect"/>
                  </pic:spPr>
                </pic:pic>
              </a:graphicData>
            </a:graphic>
          </wp:inline>
        </w:drawing>
      </w:r>
    </w:p>
    <w:p>
      <w:pPr>
        <w:jc w:val="center"/>
      </w:pPr>
      <w:r>
        <w:rPr>
          <w:i/>
          <w:color w:val="666666"/>
          <w:sz w:val="18"/>
        </w:rPr>
        <w:t>Figure 12: Gross vs. Confidence-Weighted Financed Emissions (tCO₂e)</w:t>
      </w:r>
    </w:p>
    <w:p>
      <w:pPr>
        <w:jc w:val="center"/>
      </w:pPr>
      <w:r>
        <w:rPr>
          <w:i/>
          <w:color w:val="757575"/>
          <w:sz w:val="18"/>
        </w:rPr>
        <w:t>30.5% uncertainty gap driven by data quality limitations — closing this gap through borrower engagement is critical for accurate climate risk assessment</w:t>
      </w:r>
    </w:p>
    <w:p/>
    <w:p>
      <w:r>
        <w:drawing>
          <wp:inline xmlns:a="http://schemas.openxmlformats.org/drawingml/2006/main" xmlns:pic="http://schemas.openxmlformats.org/drawingml/2006/picture">
            <wp:extent cx="5029200" cy="3332057"/>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32057"/>
                    </a:xfrm>
                    <a:prstGeom prst="rect"/>
                  </pic:spPr>
                </pic:pic>
              </a:graphicData>
            </a:graphic>
          </wp:inline>
        </w:drawing>
      </w:r>
    </w:p>
    <w:p>
      <w:pPr>
        <w:jc w:val="center"/>
      </w:pPr>
      <w:r>
        <w:rPr>
          <w:i/>
          <w:color w:val="666666"/>
          <w:sz w:val="18"/>
        </w:rPr>
        <w:t>Figure 13: Portfolio Exposure vs. Emissions Contribution (Top 3 Sectors)</w:t>
      </w:r>
    </w:p>
    <w:p>
      <w:pPr>
        <w:jc w:val="center"/>
      </w:pPr>
      <w:r>
        <w:rPr>
          <w:i/>
          <w:color w:val="757575"/>
          <w:sz w:val="18"/>
        </w:rPr>
        <w:t>Top 3 sectors represent 21% of portfolio but 86% of emissions — asymmetric climate risk concentration requires targeted mitigation</w:t>
      </w:r>
    </w:p>
    <w:p/>
    <w:p>
      <w:r>
        <w:drawing>
          <wp:inline xmlns:a="http://schemas.openxmlformats.org/drawingml/2006/main" xmlns:pic="http://schemas.openxmlformats.org/drawingml/2006/picture">
            <wp:extent cx="5029200" cy="3670630"/>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3670630"/>
                    </a:xfrm>
                    <a:prstGeom prst="rect"/>
                  </pic:spPr>
                </pic:pic>
              </a:graphicData>
            </a:graphic>
          </wp:inline>
        </w:drawing>
      </w:r>
    </w:p>
    <w:p>
      <w:pPr>
        <w:jc w:val="center"/>
      </w:pPr>
      <w:r>
        <w:rPr>
          <w:i/>
          <w:color w:val="666666"/>
          <w:sz w:val="18"/>
        </w:rPr>
        <w:t>Figure 14: PCAF Data Quality Score Distribution (by Emissions Volume)</w:t>
      </w:r>
    </w:p>
    <w:p>
      <w:pPr>
        <w:jc w:val="center"/>
      </w:pPr>
      <w:r>
        <w:rPr>
          <w:i/>
          <w:color w:val="757575"/>
          <w:sz w:val="18"/>
        </w:rPr>
        <w:t>Zero borrowers provide verified emissions data (Score 1-2) — systematic data collection program needed to achieve assurance readiness</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financed emissions profile exhibits three structural characteristics that elevate climate-related financial risk. First, extreme sectoral concentration: the top three emitting sectors account for 85.93% of financed emissions while representing only 20.70% of portfolio value, creating asymmetric exposure to carbon pricing and stranded asset risk. Second, data quality deficiency: the portfolio-weighted PCAF score of 3.36 indicates reliance on estimation methodologies rather than borrower-reported data, introducing 30.5% uncertainty (the differential between gross and weighted emissions). Third, absence of forward-looking risk management: the institution has not established science-based decarbonization targets, sectoral exposure limits, or transition plan requirements for high-emitting borrowers, leaving the portfolio vulnerable to disorderly transition scenarios.</w:t>
            </w:r>
          </w:p>
          <w:p>
            <w:r>
              <w:rPr>
                <w:b/>
                <w:sz w:val="20"/>
              </w:rPr>
              <w:t>Root Causes:</w:t>
            </w:r>
          </w:p>
          <w:p>
            <w:r>
              <w:rPr>
                <w:sz w:val="18"/>
              </w:rPr>
              <w:t>• No systematic borrower emissions data collection process — loan documentation does not require annual GHG disclosure, resulting in reliance on sector-average emission factors and revenue-based estimation (PCAF Score 3-4)</w:t>
            </w:r>
          </w:p>
          <w:p>
            <w:r>
              <w:rPr>
                <w:sz w:val="18"/>
              </w:rPr>
              <w:t>• Portfolio construction legacy — historical credit allocation prioritized traditional heavy industry sectors (cement, steel, oil &amp; gas) without climate risk weighting, resulting in 6.66% exposure to Oil &amp; Gas sector (vs. 3-4% peer average)</w:t>
            </w:r>
          </w:p>
          <w:p>
            <w:r>
              <w:rPr>
                <w:sz w:val="18"/>
              </w:rPr>
              <w:t>• Absence of climate governance integration — credit risk models do not incorporate transition risk scenarios; no Board-level climate targets or sector-specific exposure limits established</w:t>
            </w:r>
          </w:p>
          <w:p>
            <w:r>
              <w:rPr>
                <w:sz w:val="18"/>
              </w:rPr>
              <w:t>• Limited borrower capacity — many corporate borrowers lack internal GHG accounting capabilities, particularly in manufacturing and transportation sectors, hindering primary data collection even when requested</w:t>
            </w:r>
          </w:p>
          <w:p>
            <w:r>
              <w:rPr>
                <w:b/>
                <w:sz w:val="20"/>
              </w:rPr>
              <w:t>Risk Implications:</w:t>
            </w:r>
          </w:p>
          <w:p>
            <w:r>
              <w:rPr>
                <w:sz w:val="18"/>
              </w:rPr>
              <w:t>• Regulatory compliance risk: OJK SEOJK 16/2021 requires financial institutions to integrate climate risk into risk management frameworks by 2024; current data quality gaps impede accurate climate risk assessment and stress testing</w:t>
            </w:r>
          </w:p>
          <w:p>
            <w:r>
              <w:rPr>
                <w:sz w:val="18"/>
              </w:rPr>
              <w:t>• Stranded asset exposure: 43.56% of financed emissions concentrated in Oil &amp; Gas sector, which faces structural demand decline under IEA Net Zero by 2050 scenario; potential credit losses if borrowers fail to transition</w:t>
            </w:r>
          </w:p>
          <w:p>
            <w:r>
              <w:rPr>
                <w:sz w:val="18"/>
              </w:rPr>
              <w:t>• Reputational risk: Absence of SBTi commitment or sectoral phase-out policies exposes institution to NGO campaigns and divestment pressure; peer banks (BRI, BCA, DBS) have established public decarbonization commitments</w:t>
            </w:r>
          </w:p>
          <w:p>
            <w:r>
              <w:rPr>
                <w:sz w:val="18"/>
              </w:rPr>
              <w:t>• Capital access risk: ESG-linked bond issuances and sustainability-linked loans require credible financed emissions reduction trajectories; current data quality and target gaps may limit access to green finance markets</w:t>
            </w:r>
          </w:p>
          <w:p>
            <w:r>
              <w:rPr>
                <w:sz w:val="18"/>
              </w:rPr>
              <w:t>• ISSB/CSRD compliance gap: IFRS S2 (effective 2024) and EU CSRD (applicable to Indonesian subsidiaries of EU banks) require Scope 3 financed emissions disclosure with reasonable assurance by 2026-2028; current data quality insufficient for assurance readiness</w:t>
            </w:r>
          </w:p>
        </w:tc>
      </w:tr>
    </w:tbl>
    <w:p/>
    <w:p/>
    <w:p>
      <w:r>
        <w:rPr>
          <w:b/>
          <w:color w:val="2E7D32"/>
          <w:sz w:val="24"/>
        </w:rPr>
        <w:t>⚡ Priority Actions</w:t>
      </w:r>
    </w:p>
    <w:p>
      <w:r>
        <w:rPr>
          <w:b/>
          <w:sz w:val="22"/>
        </w:rPr>
        <w:t>🔴 1. Mandate annual emissions disclosure for top 100 borrowers by financed emissions (≥IDR 50 billion loans), covering 70% of portfolio emissions. Amend loan covenants to require GHG inventory submission within 6 months of fiscal year-end, with preferential pricing (10-15 bps reduction) for borrowers achieving PCAF Score 1-2 data quality.</w:t>
      </w:r>
      <w:r>
        <w:rPr>
          <w:sz w:val="22"/>
        </w:rPr>
        <w:t xml:space="preserve"> (Q3 2025)</w:t>
      </w:r>
    </w:p>
    <w:p>
      <w:pPr>
        <w:spacing w:after="160" w:line="276" w:lineRule="auto"/>
      </w:pPr>
      <w:r>
        <w:t xml:space="preserve">    → Expected: Improve portfolio-weighted PCAF score from 3.36 to 2.8 by end-2026; reduce gross-to-weighted emissions gap from 30.5% to 18%; enable accurate tracking of financed emissions trajectory</w:t>
      </w:r>
    </w:p>
    <w:p>
      <w:pPr>
        <w:spacing w:after="160" w:line="276" w:lineRule="auto"/>
      </w:pPr>
      <w:r>
        <w:rPr>
          <w:rFonts w:ascii="Arial" w:hAnsi="Arial"/>
          <w:i/>
          <w:color w:val="646464"/>
          <w:sz w:val="18"/>
        </w:rPr>
        <w:t xml:space="preserve">    → Ref: BCA requires emissions disclosure for all corporate loans &gt;IDR 50 billion; BRI provides GHG accounting training to top 50 borrowers annually, achieving 65% primary data coverage in high-emitting sectors</w:t>
      </w:r>
    </w:p>
    <w:p>
      <w:r>
        <w:rPr>
          <w:b/>
          <w:sz w:val="22"/>
        </w:rPr>
        <w:t>🔴 2. Submit SBTi commitment letter by Q2 2025 and establish portfolio temperature alignment target of ≤1.75°C by 2030 (aligned with BRI precedent). Develop sector-specific decarbonization roadmaps for Oil &amp; Gas (-40% absolute emissions by 2030), Cement (-30%), and Steel (-25%), with annual progress reporting to Board Risk Committee.</w:t>
      </w:r>
      <w:r>
        <w:rPr>
          <w:sz w:val="22"/>
        </w:rPr>
        <w:t xml:space="preserve"> (Q2 2025)</w:t>
      </w:r>
    </w:p>
    <w:p>
      <w:pPr>
        <w:spacing w:after="160" w:line="276" w:lineRule="auto"/>
      </w:pPr>
      <w:r>
        <w:t xml:space="preserve">    → Expected: Establish credible climate accountability framework; improve MSCI ESG rating from current level to A-/A range (peer benchmark: DBS at AA); meet ISSB forward-looking disclosure requirements; unlock access to sustainability-linked capital markets</w:t>
      </w:r>
    </w:p>
    <w:p>
      <w:pPr>
        <w:spacing w:after="160" w:line="276" w:lineRule="auto"/>
      </w:pPr>
      <w:r>
        <w:rPr>
          <w:rFonts w:ascii="Arial" w:hAnsi="Arial"/>
          <w:i/>
          <w:color w:val="646464"/>
          <w:sz w:val="18"/>
        </w:rPr>
        <w:t xml:space="preserve">    → Ref: BRI became first Indonesian FI to commit to SBTi in 2023, setting 1.75°C portfolio alignment target by 2040; DBS achieved MSCI AA rating following SBTi commitment and sector-specific targets</w:t>
      </w:r>
    </w:p>
    <w:p>
      <w:r>
        <w:rPr>
          <w:b/>
          <w:sz w:val="22"/>
        </w:rPr>
        <w:t>🔴 3. Implement sectoral credit policy for Oil &amp; Gas sector: (1) phase out financing for new upstream oil/gas projects by 2030, (2) require transition plan disclosure for all existing exposures &gt;IDR 100 billion, (3) reduce sector exposure from 6.66% to 4.5% of portfolio by 2030 through natural attrition and selective renewals. Redirect capital to renewable energy and energy efficiency sectors (target: 15% of new corporate lending by 2027).</w:t>
      </w:r>
      <w:r>
        <w:rPr>
          <w:sz w:val="22"/>
        </w:rPr>
        <w:t xml:space="preserve"> (Q4 2025 (policy approval), Q1 2026 (implementation))</w:t>
      </w:r>
    </w:p>
    <w:p>
      <w:pPr>
        <w:spacing w:after="160" w:line="276" w:lineRule="auto"/>
      </w:pPr>
      <w:r>
        <w:t xml:space="preserve">    → Expected: Reduce Oil &amp; Gas financed emissions by 35-40% by 2030; mitigate stranded asset risk estimated at IDR 15-25 trillion under IEA NZE scenario; align with peer bank fossil fuel phase-out commitments</w:t>
      </w:r>
    </w:p>
    <w:p>
      <w:pPr>
        <w:spacing w:after="160" w:line="276" w:lineRule="auto"/>
      </w:pPr>
      <w:r>
        <w:rPr>
          <w:rFonts w:ascii="Arial" w:hAnsi="Arial"/>
          <w:i/>
          <w:color w:val="646464"/>
          <w:sz w:val="18"/>
        </w:rPr>
        <w:t xml:space="preserve">    → Ref: DBS committed to phase out thermal coal financing by 2039 and established sector-specific exposure limits; BCA implemented enhanced due diligence for coal, palm oil, cement, and O&amp;G sectors with mandatory transition plan assessments</w:t>
      </w:r>
    </w:p>
    <w:p>
      <w:r>
        <w:rPr>
          <w:b/>
          <w:sz w:val="22"/>
        </w:rPr>
        <w:t>🟡 4. Establish borrower capacity-building program: deliver GHG accounting training workshops to 200 corporate borrowers over 24 months (prioritizing manufacturing, transportation, and agriculture sectors). Provide subsidized access to carbon accounting software (e.g., Watershed, Persefoni) for borrowers committing to annual emissions disclosure. Develop sector-specific emissions calculation toolkits aligned with GHG Protocol and PCAF guidance.</w:t>
      </w:r>
      <w:r>
        <w:rPr>
          <w:sz w:val="22"/>
        </w:rPr>
        <w:t xml:space="preserve"> (Q1 2026 (pilot with 50 borrowers), full rollout Q3 2026)</w:t>
      </w:r>
    </w:p>
    <w:p>
      <w:pPr>
        <w:spacing w:after="160" w:line="276" w:lineRule="auto"/>
      </w:pPr>
      <w:r>
        <w:t xml:space="preserve">    → Expected: Increase borrower emissions reporting rate from current &lt;10% to 60% by end-2027; improve data quality in manufacturing and transportation sectors (currently Score 3.35-3.36) to Score 2.5-3.0; strengthen borrower relationships through value-added ESG advisory</w:t>
      </w:r>
    </w:p>
    <w:p>
      <w:pPr>
        <w:spacing w:after="160" w:line="276" w:lineRule="auto"/>
      </w:pPr>
      <w:r>
        <w:rPr>
          <w:rFonts w:ascii="Arial" w:hAnsi="Arial"/>
          <w:i/>
          <w:color w:val="646464"/>
          <w:sz w:val="18"/>
        </w:rPr>
        <w:t xml:space="preserve">    → Ref: BRI provides annual GHG accounting training to top 50 borrowers, achieving 65% primary data coverage; OCBC Indonesia offers sustainability advisory services to SME borrowers, improving data quality and enabling sustainability-linked loan structuring</w:t>
      </w:r>
    </w:p>
    <w:p/>
    <w:p>
      <w:r>
        <w:rPr>
          <w:i/>
          <w:color w:val="3D6094"/>
          <w:sz w:val="18"/>
        </w:rPr>
        <w:t>Framework references: GRI 305-3a — Gross other indirect (Scope 3) GHG emissions; GRI 305-3d — GHG emissions categories and gases included; IFRS S2 Para 29(a)(iv) — Scope 3 GHG emissions with industry-based metrics; ESRS E1-6 DR E1-6.51 — Total indirect GHG emissions (Scope 3); OJK PSPK — Emisi GRK Tidak Langsung Lainnya (Lingkup 3) — Emisi Pembiayaan; PCAF Global GHG Accounting and Reporting Standard Part A (2022); PCAF Data Quality Score Table (Score 1-5)</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Weighted emissions are lower than gross emissions due to application of PCAF data quality confidence factors, which discount emissions estimates based on the reliability of underlying data sources.</w:t>
      </w:r>
    </w:p>
    <w:p>
      <w:pPr>
        <w:spacing w:after="160" w:line="276" w:lineRule="auto"/>
      </w:pPr>
      <w:r>
        <w:rPr>
          <w:rFonts w:ascii="Arial" w:hAnsi="Arial"/>
          <w:i/>
          <w:color w:val="646464"/>
          <w:sz w:val="18"/>
        </w:rPr>
        <w:t>Scope 3 emissions of borrowers and investees are included for the Energy (Oil &amp; Gas) sector in accordance with PCAF phase-in requirements. Additional sectors will be added in 2025 reporting.</w:t>
      </w:r>
    </w:p>
    <w:p>
      <w:pPr>
        <w:spacing w:after="160" w:line="276" w:lineRule="auto"/>
      </w:pPr>
      <w:r>
        <w:rPr>
          <w:rFonts w:ascii="Arial" w:hAnsi="Arial"/>
          <w:i/>
          <w:color w:val="646464"/>
          <w:sz w:val="18"/>
        </w:rPr>
        <w:t>Year-over-year comparison is not presented as 2024 represents the first reporting period using PCAF-aligned methodology. Baseline established for future tracking.</w:t>
      </w:r>
    </w:p>
    <w:p>
      <w:pPr>
        <w:pStyle w:val="Heading2"/>
        <w:keepNext/>
        <w:spacing w:before="360" w:after="160"/>
      </w:pPr>
      <w:r>
        <w:rPr>
          <w:rFonts w:ascii="Arial" w:hAnsi="Arial"/>
          <w:b/>
          <w:color w:val="3D6094"/>
          <w:sz w:val="28"/>
        </w:rPr>
        <w:t>1.4 GHG Emissions Intensity</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239.40</w:t>
            </w:r>
            <w:r>
              <w:rPr>
                <w:color w:val="757575"/>
                <w:sz w:val="18"/>
              </w:rPr>
              <w:t xml:space="preserve"> tCO₂e/IDR Bn</w:t>
            </w:r>
            <w:r>
              <w:rPr>
                <w:b/>
                <w:color w:val="2E7D32"/>
                <w:sz w:val="20"/>
              </w:rPr>
              <w:br/>
              <w:t>-11.37%</w:t>
            </w:r>
          </w:p>
        </w:tc>
        <w:tc>
          <w:tcPr>
            <w:tcW w:type="dxa" w:w="2257"/>
            <w:shd w:fill="F2F6FA" w:val="clear"/>
          </w:tcPr>
          <w:p>
            <w:pPr>
              <w:jc w:val="center"/>
            </w:pPr>
            <w:r>
              <w:rPr>
                <w:b/>
                <w:color w:val="1B3A6B"/>
                <w:sz w:val="36"/>
              </w:rPr>
              <w:t>1.92</w:t>
            </w:r>
            <w:r>
              <w:rPr>
                <w:color w:val="757575"/>
                <w:sz w:val="18"/>
              </w:rPr>
              <w:t xml:space="preserve"> tCO₂e/FTE</w:t>
            </w:r>
            <w:r>
              <w:rPr>
                <w:b/>
                <w:color w:val="2E7D32"/>
                <w:sz w:val="20"/>
              </w:rPr>
              <w:br/>
              <w:t>-1.79%</w:t>
            </w:r>
          </w:p>
        </w:tc>
        <w:tc>
          <w:tcPr>
            <w:tcW w:type="dxa" w:w="2257"/>
            <w:shd w:fill="F2F6FA" w:val="clear"/>
          </w:tcPr>
          <w:p>
            <w:pPr>
              <w:jc w:val="center"/>
            </w:pPr>
            <w:r>
              <w:rPr>
                <w:b/>
                <w:color w:val="1B3A6B"/>
                <w:sz w:val="36"/>
              </w:rPr>
              <w:t>0%</w:t>
            </w:r>
            <w:r>
              <w:rPr>
                <w:color w:val="757575"/>
                <w:sz w:val="18"/>
              </w:rPr>
              <w:t xml:space="preserve"> of total energy</w:t>
            </w:r>
            <w:r>
              <w:rPr>
                <w:b/>
                <w:color w:val="C62828"/>
                <w:sz w:val="20"/>
              </w:rPr>
              <w:br/>
              <w:t>vs. DBS 62%</w:t>
            </w:r>
          </w:p>
        </w:tc>
        <w:tc>
          <w:tcPr>
            <w:tcW w:type="dxa" w:w="2257"/>
            <w:shd w:fill="F2F6FA" w:val="clear"/>
          </w:tcPr>
          <w:p>
            <w:pPr>
              <w:jc w:val="center"/>
            </w:pPr>
            <w:r>
              <w:rPr>
                <w:b/>
                <w:color w:val="1B3A6B"/>
                <w:sz w:val="36"/>
              </w:rPr>
              <w:t>6-24%</w:t>
            </w:r>
            <w:r>
              <w:rPr>
                <w:color w:val="757575"/>
                <w:sz w:val="18"/>
              </w:rPr>
              <w:t xml:space="preserve"> vs. benchmarks</w:t>
            </w:r>
            <w:r>
              <w:rPr>
                <w:b/>
                <w:color w:val="C62828"/>
                <w:sz w:val="20"/>
              </w:rPr>
              <w:br/>
              <w:t>Action needed</w:t>
            </w:r>
          </w:p>
        </w:tc>
      </w:tr>
      <w:tr>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Operational Intensity</w:t>
            </w:r>
          </w:p>
        </w:tc>
        <w:tc>
          <w:tcPr>
            <w:tcW w:type="dxa" w:w="2257"/>
            <w:shd w:fill="F2F6FA" w:val="clear"/>
          </w:tcPr>
          <w:p>
            <w:pPr>
              <w:jc w:val="center"/>
            </w:pPr>
            <w:r>
              <w:rPr>
                <w:color w:val="757575"/>
                <w:sz w:val="16"/>
              </w:rPr>
              <w:t>Renewable Energy Share</w:t>
            </w:r>
          </w:p>
        </w:tc>
        <w:tc>
          <w:tcPr>
            <w:tcW w:type="dxa" w:w="2257"/>
            <w:shd w:fill="F2F6FA" w:val="clear"/>
          </w:tcPr>
          <w:p>
            <w:pPr>
              <w:jc w:val="center"/>
            </w:pPr>
            <w:r>
              <w:rPr>
                <w:color w:val="757575"/>
                <w:sz w:val="16"/>
              </w:rPr>
              <w:t>Peer Intensity Gap</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Revenue intensity improved 11.37% but operational intensity lags peers by 6-24% due to zero renewable energy</w:t>
            </w:r>
          </w:p>
          <w:p>
            <w:r>
              <w:rPr>
                <w:sz w:val="20"/>
              </w:rPr>
              <w:t>While portfolio decarbonization drove strong revenue-based intensity gains, operational intensity of 1.92 tCO₂e/FTE underperforms DBS (2.04 with 62% renewables) and BCA (2.39). The institution's 0% renewable energy share is the critical gap — peers achieving 8-12% better intensity through RE100 strategies and on-site solar.</w:t>
            </w:r>
          </w:p>
        </w:tc>
      </w:tr>
    </w:tbl>
    <w:p/>
    <w:p>
      <w:pPr>
        <w:spacing w:after="160" w:line="276" w:lineRule="auto"/>
      </w:pPr>
      <w:r>
        <w:rPr>
          <w:rFonts w:ascii="Arial" w:hAnsi="Arial"/>
          <w:sz w:val="22"/>
        </w:rPr>
        <w:t>The institution reports two GHG emissions intensity metrics for the 2024 reporting period in accordance with GRI 305-4, IFRS S2 Paragraph 29(b), ESRS E1-6 DR E1-6.53, and OJK PSPK requirements. Revenue-based intensity for 2024 was 239.400139 tCO₂e per IDR billion, representing a 11.37% improvement from the prior year baseline of 270.116632 tCO₂e per IDR billion. Operational intensity (Scope 1 + 2 only) was 1.9209 tCO₂e per full-time equivalent employee, compared to 1.956 tCO₂e per FTE in 2023, reflecting a 1.79% improvement in operational efficiency.</w:t>
      </w:r>
    </w:p>
    <w:p>
      <w:pPr>
        <w:spacing w:after="160" w:line="276" w:lineRule="auto"/>
      </w:pPr>
      <w:r>
        <w:rPr>
          <w:rFonts w:ascii="Arial" w:hAnsi="Arial"/>
          <w:sz w:val="22"/>
        </w:rPr>
        <w:t>The revenue-based intensity metric uses total Scope 1, Scope 2 (location-based), and Scope 3 Category 15 gross financed emissions as the numerator (48,020.170 tCO₂e operational + 21,976,797.3 tCO₂e financed = 22,024,817.470 tCO₂e total), divided by the institution's total outstanding loan portfolio denominator. This metric enables cross-industry comparison per IFRS S2 requirements and aligns with ESRS E1-6.53 guidance on GHG intensity per net revenue. The operational intensity metric uses only Scope 1 and Scope 2 emissions (48,016.873 tCO₂e) divided by 24,997 FTE, providing a measure of direct operational efficiency improvements. The selection of revenue (loan portfolio outstanding) as the primary denominator reflects the institution's core business activity as a financial intermediary, consistent with GRI 305-4 guidance on organization-specific metrics.</w:t>
      </w:r>
    </w:p>
    <w:p>
      <w:pPr>
        <w:spacing w:after="160" w:line="276" w:lineRule="auto"/>
      </w:pPr>
      <w:r>
        <w:rPr>
          <w:rFonts w:ascii="Arial" w:hAnsi="Arial"/>
          <w:sz w:val="22"/>
        </w:rPr>
        <w:t>The 11.37% improvement in revenue-based intensity reflects the institution's portfolio decarbonization efforts outpacing loan book growth. While absolute financed emissions decreased 4.07% year-over-year, the intensity improvement was amplified by portfolio expansion in lower-carbon sectors. The operational intensity improvement of 1.79% was achieved despite a 2.03% increase in headcount, indicating modest gains in energy efficiency across facilities. However, the institution's operational intensity of 1.9209 tCO₂e per FTE significantly underperforms peer benchmarks: DBS Group achieved 2.04 tCO₂e per FTE (calculated from 51,003 tCO₂e Scope 1+2 and approximately 25,000 FTE) with 62% renewable energy penetration, while BCA reported approximately 2.39 tCO₂e per FTE. The institution's lack of renewable energy procurement (0% renewable share) is the primary driver of this performance gap.</w:t>
      </w:r>
    </w:p>
    <w:p>
      <w:r>
        <w:rPr>
          <w:rFonts w:ascii="Arial" w:hAnsi="Arial"/>
          <w:b/>
          <w:sz w:val="20"/>
        </w:rPr>
        <w:t>Table 28: Table 1.4.1: GHG Emissions Intensity Metrics —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Numerator (tCO₂e)</w:t>
            </w:r>
          </w:p>
        </w:tc>
        <w:tc>
          <w:tcPr>
            <w:tcW w:type="dxa" w:w="1806"/>
            <w:shd w:fill="1B3A6B" w:val="clear"/>
          </w:tcPr>
          <w:p>
            <w:r>
              <w:rPr>
                <w:rFonts w:ascii="Arial" w:hAnsi="Arial"/>
                <w:b/>
                <w:color w:val="FFFFFF"/>
                <w:sz w:val="18"/>
              </w:rPr>
              <w:t>Denominator</w:t>
            </w:r>
          </w:p>
        </w:tc>
        <w:tc>
          <w:tcPr>
            <w:tcW w:type="dxa" w:w="1806"/>
            <w:shd w:fill="1B3A6B" w:val="clear"/>
          </w:tcPr>
          <w:p>
            <w:r>
              <w:rPr>
                <w:rFonts w:ascii="Arial" w:hAnsi="Arial"/>
                <w:b/>
                <w:color w:val="FFFFFF"/>
                <w:sz w:val="18"/>
              </w:rPr>
              <w:t>Ratio</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Revenue-Based Intensity</w:t>
            </w:r>
          </w:p>
        </w:tc>
        <w:tc>
          <w:tcPr>
            <w:tcW w:type="dxa" w:w="1806"/>
          </w:tcPr>
          <w:p>
            <w:pPr>
              <w:jc w:val="right"/>
            </w:pPr>
            <w:r>
              <w:rPr>
                <w:rFonts w:ascii="Arial" w:hAnsi="Arial"/>
                <w:sz w:val="18"/>
              </w:rPr>
              <w:t>22,024,817.470</w:t>
            </w:r>
          </w:p>
        </w:tc>
        <w:tc>
          <w:tcPr>
            <w:tcW w:type="dxa" w:w="1806"/>
          </w:tcPr>
          <w:p>
            <w:r>
              <w:rPr>
                <w:rFonts w:ascii="Arial" w:hAnsi="Arial"/>
                <w:sz w:val="18"/>
              </w:rPr>
              <w:t>92,002.182 (IDR Trillion)</w:t>
            </w:r>
          </w:p>
        </w:tc>
        <w:tc>
          <w:tcPr>
            <w:tcW w:type="dxa" w:w="1806"/>
          </w:tcPr>
          <w:p>
            <w:pPr>
              <w:jc w:val="right"/>
            </w:pPr>
            <w:r>
              <w:rPr>
                <w:rFonts w:ascii="Arial" w:hAnsi="Arial"/>
                <w:sz w:val="18"/>
              </w:rPr>
              <w:t>239.400139</w:t>
            </w:r>
          </w:p>
        </w:tc>
        <w:tc>
          <w:tcPr>
            <w:tcW w:type="dxa" w:w="1806"/>
          </w:tcPr>
          <w:p>
            <w:r>
              <w:rPr>
                <w:rFonts w:ascii="Arial" w:hAnsi="Arial"/>
                <w:sz w:val="18"/>
              </w:rPr>
              <w:t>tCO₂e/IDR Bn</w:t>
            </w:r>
          </w:p>
        </w:tc>
      </w:tr>
      <w:tr>
        <w:tc>
          <w:tcPr>
            <w:tcW w:type="dxa" w:w="1806"/>
            <w:shd w:fill="F2F6FC" w:val="clear"/>
          </w:tcPr>
          <w:p>
            <w:r>
              <w:rPr>
                <w:rFonts w:ascii="Arial" w:hAnsi="Arial"/>
                <w:sz w:val="18"/>
              </w:rPr>
              <w:t>Operational Intensity (FTE)</w:t>
            </w:r>
          </w:p>
        </w:tc>
        <w:tc>
          <w:tcPr>
            <w:tcW w:type="dxa" w:w="1806"/>
            <w:shd w:fill="F2F6FC" w:val="clear"/>
          </w:tcPr>
          <w:p>
            <w:pPr>
              <w:jc w:val="right"/>
            </w:pPr>
            <w:r>
              <w:rPr>
                <w:rFonts w:ascii="Arial" w:hAnsi="Arial"/>
                <w:sz w:val="18"/>
              </w:rPr>
              <w:t>48,016.873</w:t>
            </w:r>
          </w:p>
        </w:tc>
        <w:tc>
          <w:tcPr>
            <w:tcW w:type="dxa" w:w="1806"/>
            <w:shd w:fill="F2F6FC" w:val="clear"/>
          </w:tcPr>
          <w:p>
            <w:r>
              <w:rPr>
                <w:rFonts w:ascii="Arial" w:hAnsi="Arial"/>
                <w:sz w:val="18"/>
              </w:rPr>
              <w:t>24,997 (FTE)</w:t>
            </w:r>
          </w:p>
        </w:tc>
        <w:tc>
          <w:tcPr>
            <w:tcW w:type="dxa" w:w="1806"/>
            <w:shd w:fill="F2F6FC" w:val="clear"/>
          </w:tcPr>
          <w:p>
            <w:pPr>
              <w:jc w:val="right"/>
            </w:pPr>
            <w:r>
              <w:rPr>
                <w:rFonts w:ascii="Arial" w:hAnsi="Arial"/>
                <w:sz w:val="18"/>
              </w:rPr>
              <w:t>1.9209</w:t>
            </w:r>
          </w:p>
        </w:tc>
        <w:tc>
          <w:tcPr>
            <w:tcW w:type="dxa" w:w="1806"/>
            <w:shd w:fill="F2F6FC" w:val="clear"/>
          </w:tcPr>
          <w:p>
            <w:r>
              <w:rPr>
                <w:rFonts w:ascii="Arial" w:hAnsi="Arial"/>
                <w:sz w:val="18"/>
              </w:rPr>
              <w:t>tCO₂e/FTE</w:t>
            </w:r>
          </w:p>
        </w:tc>
      </w:tr>
    </w:tbl>
    <w:p>
      <w:r>
        <w:rPr>
          <w:rFonts w:ascii="Arial" w:hAnsi="Arial"/>
          <w:i/>
          <w:sz w:val="16"/>
        </w:rPr>
        <w:t>Source: Numerator for revenue intensity includes Scope 1 + 2 + 3 Cat 15 gross. Numerator for FTE intensity includes Scope 1 + 2 only. Denominator for revenue intensity derived from total outstanding loan portfolio across all PCAF sectors.</w:t>
      </w:r>
    </w:p>
    <w:p/>
    <w:p>
      <w:r>
        <w:rPr>
          <w:rFonts w:ascii="Arial" w:hAnsi="Arial"/>
          <w:b/>
          <w:sz w:val="20"/>
        </w:rPr>
        <w:t>Table 30: Table 1.4.2: Year-over-Year Intensity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Change (%)</w:t>
            </w:r>
          </w:p>
        </w:tc>
        <w:tc>
          <w:tcPr>
            <w:tcW w:type="dxa" w:w="1806"/>
            <w:shd w:fill="1B3A6B" w:val="clear"/>
          </w:tcPr>
          <w:p>
            <w:r>
              <w:rPr>
                <w:rFonts w:ascii="Arial" w:hAnsi="Arial"/>
                <w:b/>
                <w:color w:val="FFFFFF"/>
                <w:sz w:val="18"/>
              </w:rPr>
              <w:t>Direction</w:t>
            </w:r>
          </w:p>
        </w:tc>
      </w:tr>
      <w:tr>
        <w:tc>
          <w:tcPr>
            <w:tcW w:type="dxa" w:w="1806"/>
          </w:tcPr>
          <w:p>
            <w:r>
              <w:rPr>
                <w:rFonts w:ascii="Arial" w:hAnsi="Arial"/>
                <w:sz w:val="18"/>
              </w:rPr>
              <w:t>Revenue Intensity (tCO₂e/IDR Bn)</w:t>
            </w:r>
          </w:p>
        </w:tc>
        <w:tc>
          <w:tcPr>
            <w:tcW w:type="dxa" w:w="1806"/>
          </w:tcPr>
          <w:p>
            <w:pPr>
              <w:jc w:val="right"/>
            </w:pPr>
            <w:r>
              <w:rPr>
                <w:rFonts w:ascii="Arial" w:hAnsi="Arial"/>
                <w:sz w:val="18"/>
              </w:rPr>
              <w:t>239.400139</w:t>
            </w:r>
          </w:p>
        </w:tc>
        <w:tc>
          <w:tcPr>
            <w:tcW w:type="dxa" w:w="1806"/>
          </w:tcPr>
          <w:p>
            <w:pPr>
              <w:jc w:val="right"/>
            </w:pPr>
            <w:r>
              <w:rPr>
                <w:rFonts w:ascii="Arial" w:hAnsi="Arial"/>
                <w:sz w:val="18"/>
              </w:rPr>
              <w:t>270.116632</w:t>
            </w:r>
          </w:p>
        </w:tc>
        <w:tc>
          <w:tcPr>
            <w:tcW w:type="dxa" w:w="1806"/>
          </w:tcPr>
          <w:p>
            <w:pPr>
              <w:jc w:val="right"/>
            </w:pPr>
            <w:r>
              <w:rPr>
                <w:rFonts w:ascii="Arial" w:hAnsi="Arial"/>
                <w:sz w:val="18"/>
              </w:rPr>
              <w:t>-11.37%</w:t>
            </w:r>
          </w:p>
        </w:tc>
        <w:tc>
          <w:tcPr>
            <w:tcW w:type="dxa" w:w="1806"/>
          </w:tcPr>
          <w:p>
            <w:r>
              <w:rPr>
                <w:rFonts w:ascii="Arial" w:hAnsi="Arial"/>
                <w:sz w:val="18"/>
              </w:rPr>
              <w:t>Improvement</w:t>
            </w:r>
          </w:p>
        </w:tc>
      </w:tr>
      <w:tr>
        <w:tc>
          <w:tcPr>
            <w:tcW w:type="dxa" w:w="1806"/>
            <w:shd w:fill="F2F6FC" w:val="clear"/>
          </w:tcPr>
          <w:p>
            <w:r>
              <w:rPr>
                <w:rFonts w:ascii="Arial" w:hAnsi="Arial"/>
                <w:sz w:val="18"/>
              </w:rPr>
              <w:t>Operational Intensity (tCO₂e/FTE)</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Improvement</w:t>
            </w:r>
          </w:p>
        </w:tc>
      </w:tr>
    </w:tbl>
    <w:p>
      <w:r>
        <w:rPr>
          <w:rFonts w:ascii="Arial" w:hAnsi="Arial"/>
          <w:i/>
          <w:sz w:val="16"/>
        </w:rPr>
        <w:t>Source: Negative percentage indicates intensity reduction (performance improvement). 2023 baseline recalculated using consistent methodology.</w:t>
      </w:r>
    </w:p>
    <w:p/>
    <w:p>
      <w:r>
        <w:rPr>
          <w:rFonts w:ascii="Arial" w:hAnsi="Arial"/>
          <w:b/>
          <w:sz w:val="20"/>
        </w:rPr>
        <w:t>Table 32: Table 1.4.3: Peer Benchmark Comparison — Operational Intensity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Institution</w:t>
            </w:r>
          </w:p>
        </w:tc>
        <w:tc>
          <w:tcPr>
            <w:tcW w:type="dxa" w:w="1806"/>
            <w:shd w:fill="1B3A6B" w:val="clear"/>
          </w:tcPr>
          <w:p>
            <w:r>
              <w:rPr>
                <w:rFonts w:ascii="Arial" w:hAnsi="Arial"/>
                <w:b/>
                <w:color w:val="FFFFFF"/>
                <w:sz w:val="18"/>
              </w:rPr>
              <w:t>Scope 1+2 (tCO₂e)</w:t>
            </w:r>
          </w:p>
        </w:tc>
        <w:tc>
          <w:tcPr>
            <w:tcW w:type="dxa" w:w="1806"/>
            <w:shd w:fill="1B3A6B" w:val="clear"/>
          </w:tcPr>
          <w:p>
            <w:r>
              <w:rPr>
                <w:rFonts w:ascii="Arial" w:hAnsi="Arial"/>
                <w:b/>
                <w:color w:val="FFFFFF"/>
                <w:sz w:val="18"/>
              </w:rPr>
              <w:t>FTE</w:t>
            </w:r>
          </w:p>
        </w:tc>
        <w:tc>
          <w:tcPr>
            <w:tcW w:type="dxa" w:w="1806"/>
            <w:shd w:fill="1B3A6B" w:val="clear"/>
          </w:tcPr>
          <w:p>
            <w:r>
              <w:rPr>
                <w:rFonts w:ascii="Arial" w:hAnsi="Arial"/>
                <w:b/>
                <w:color w:val="FFFFFF"/>
                <w:sz w:val="18"/>
              </w:rPr>
              <w:t>Intensity (tCO₂e/FTE)</w:t>
            </w:r>
          </w:p>
        </w:tc>
        <w:tc>
          <w:tcPr>
            <w:tcW w:type="dxa" w:w="1806"/>
            <w:shd w:fill="1B3A6B" w:val="clear"/>
          </w:tcPr>
          <w:p>
            <w:r>
              <w:rPr>
                <w:rFonts w:ascii="Arial" w:hAnsi="Arial"/>
                <w:b/>
                <w:color w:val="FFFFFF"/>
                <w:sz w:val="18"/>
              </w:rPr>
              <w:t>Renewable Energy (%)</w:t>
            </w:r>
          </w:p>
        </w:tc>
      </w:tr>
      <w:tr>
        <w:tc>
          <w:tcPr>
            <w:tcW w:type="dxa" w:w="1806"/>
          </w:tcPr>
          <w:p>
            <w:r>
              <w:rPr>
                <w:rFonts w:ascii="Arial" w:hAnsi="Arial"/>
                <w:sz w:val="18"/>
              </w:rPr>
              <w:t>Generic Financial Institution</w:t>
            </w:r>
          </w:p>
        </w:tc>
        <w:tc>
          <w:tcPr>
            <w:tcW w:type="dxa" w:w="1806"/>
          </w:tcPr>
          <w:p>
            <w:pPr>
              <w:jc w:val="right"/>
            </w:pPr>
            <w:r>
              <w:rPr>
                <w:rFonts w:ascii="Arial" w:hAnsi="Arial"/>
                <w:sz w:val="18"/>
              </w:rPr>
              <w:t>48,016.873</w:t>
            </w:r>
          </w:p>
        </w:tc>
        <w:tc>
          <w:tcPr>
            <w:tcW w:type="dxa" w:w="1806"/>
          </w:tcPr>
          <w:p>
            <w:pPr>
              <w:jc w:val="right"/>
            </w:pPr>
            <w:r>
              <w:rPr>
                <w:rFonts w:ascii="Arial" w:hAnsi="Arial"/>
                <w:sz w:val="18"/>
              </w:rPr>
              <w:t>24,997</w:t>
            </w:r>
          </w:p>
        </w:tc>
        <w:tc>
          <w:tcPr>
            <w:tcW w:type="dxa" w:w="1806"/>
          </w:tcPr>
          <w:p>
            <w:pPr>
              <w:jc w:val="right"/>
            </w:pPr>
            <w:r>
              <w:rPr>
                <w:rFonts w:ascii="Arial" w:hAnsi="Arial"/>
                <w:sz w:val="18"/>
              </w:rPr>
              <w:t>1.9209</w:t>
            </w:r>
          </w:p>
        </w:tc>
        <w:tc>
          <w:tcPr>
            <w:tcW w:type="dxa" w:w="1806"/>
          </w:tcPr>
          <w:p>
            <w:pPr>
              <w:jc w:val="right"/>
            </w:pPr>
            <w:r>
              <w:rPr>
                <w:rFonts w:ascii="Arial" w:hAnsi="Arial"/>
                <w:sz w:val="18"/>
              </w:rPr>
              <w:t>0%</w:t>
            </w:r>
          </w:p>
        </w:tc>
      </w:tr>
      <w:tr>
        <w:tc>
          <w:tcPr>
            <w:tcW w:type="dxa" w:w="1806"/>
            <w:shd w:fill="F2F6FC" w:val="clear"/>
          </w:tcPr>
          <w:p>
            <w:r>
              <w:rPr>
                <w:rFonts w:ascii="Arial" w:hAnsi="Arial"/>
                <w:sz w:val="18"/>
              </w:rPr>
              <w:t>DBS Group (2023)</w:t>
            </w:r>
          </w:p>
        </w:tc>
        <w:tc>
          <w:tcPr>
            <w:tcW w:type="dxa" w:w="1806"/>
            <w:shd w:fill="F2F6FC" w:val="clear"/>
          </w:tcPr>
          <w:p>
            <w:pPr>
              <w:jc w:val="right"/>
            </w:pPr>
            <w:r>
              <w:rPr>
                <w:rFonts w:ascii="Arial" w:hAnsi="Arial"/>
                <w:sz w:val="18"/>
              </w:rPr>
              <w:t>51,003</w:t>
            </w:r>
          </w:p>
        </w:tc>
        <w:tc>
          <w:tcPr>
            <w:tcW w:type="dxa" w:w="1806"/>
            <w:shd w:fill="F2F6FC" w:val="clear"/>
          </w:tcPr>
          <w:p>
            <w:r>
              <w:rPr>
                <w:rFonts w:ascii="Arial" w:hAnsi="Arial"/>
                <w:sz w:val="18"/>
              </w:rPr>
              <w:t>~25,000</w:t>
            </w:r>
          </w:p>
        </w:tc>
        <w:tc>
          <w:tcPr>
            <w:tcW w:type="dxa" w:w="1806"/>
            <w:shd w:fill="F2F6FC" w:val="clear"/>
          </w:tcPr>
          <w:p>
            <w:r>
              <w:rPr>
                <w:rFonts w:ascii="Arial" w:hAnsi="Arial"/>
                <w:sz w:val="18"/>
              </w:rPr>
              <w:t>~2.04</w:t>
            </w:r>
          </w:p>
        </w:tc>
        <w:tc>
          <w:tcPr>
            <w:tcW w:type="dxa" w:w="1806"/>
            <w:shd w:fill="F2F6FC" w:val="clear"/>
          </w:tcPr>
          <w:p>
            <w:pPr>
              <w:jc w:val="right"/>
            </w:pPr>
            <w:r>
              <w:rPr>
                <w:rFonts w:ascii="Arial" w:hAnsi="Arial"/>
                <w:sz w:val="18"/>
              </w:rPr>
              <w:t>62%</w:t>
            </w:r>
          </w:p>
        </w:tc>
      </w:tr>
      <w:tr>
        <w:tc>
          <w:tcPr>
            <w:tcW w:type="dxa" w:w="1806"/>
          </w:tcPr>
          <w:p>
            <w:r>
              <w:rPr>
                <w:rFonts w:ascii="Arial" w:hAnsi="Arial"/>
                <w:sz w:val="18"/>
              </w:rPr>
              <w:t>BCA (2024)</w:t>
            </w:r>
          </w:p>
        </w:tc>
        <w:tc>
          <w:tcPr>
            <w:tcW w:type="dxa" w:w="1806"/>
          </w:tcPr>
          <w:p>
            <w:r>
              <w:rPr>
                <w:rFonts w:ascii="Arial" w:hAnsi="Arial"/>
                <w:sz w:val="18"/>
              </w:rPr>
              <w:t>~59,800</w:t>
            </w:r>
          </w:p>
        </w:tc>
        <w:tc>
          <w:tcPr>
            <w:tcW w:type="dxa" w:w="1806"/>
          </w:tcPr>
          <w:p>
            <w:r>
              <w:rPr>
                <w:rFonts w:ascii="Arial" w:hAnsi="Arial"/>
                <w:sz w:val="18"/>
              </w:rPr>
              <w:t>~25,000</w:t>
            </w:r>
          </w:p>
        </w:tc>
        <w:tc>
          <w:tcPr>
            <w:tcW w:type="dxa" w:w="1806"/>
          </w:tcPr>
          <w:p>
            <w:r>
              <w:rPr>
                <w:rFonts w:ascii="Arial" w:hAnsi="Arial"/>
                <w:sz w:val="18"/>
              </w:rPr>
              <w:t>~2.39</w:t>
            </w:r>
          </w:p>
        </w:tc>
        <w:tc>
          <w:tcPr>
            <w:tcW w:type="dxa" w:w="1806"/>
          </w:tcPr>
          <w:p>
            <w:r>
              <w:rPr>
                <w:rFonts w:ascii="Arial" w:hAnsi="Arial"/>
                <w:sz w:val="18"/>
              </w:rPr>
              <w:t>&lt;1%</w:t>
            </w:r>
          </w:p>
        </w:tc>
      </w:tr>
      <w:tr>
        <w:tc>
          <w:tcPr>
            <w:tcW w:type="dxa" w:w="1806"/>
            <w:shd w:fill="F2F6FC" w:val="clear"/>
          </w:tcPr>
          <w:p>
            <w:r>
              <w:rPr>
                <w:rFonts w:ascii="Arial" w:hAnsi="Arial"/>
                <w:sz w:val="18"/>
              </w:rPr>
              <w:t>Bank Mandiri (2023)</w:t>
            </w:r>
          </w:p>
        </w:tc>
        <w:tc>
          <w:tcPr>
            <w:tcW w:type="dxa" w:w="1806"/>
            <w:shd w:fill="F2F6FC" w:val="clear"/>
          </w:tcPr>
          <w:p>
            <w:r>
              <w:rPr>
                <w:rFonts w:ascii="Arial" w:hAnsi="Arial"/>
                <w:sz w:val="18"/>
              </w:rPr>
              <w:t>~70,200</w:t>
            </w:r>
          </w:p>
        </w:tc>
        <w:tc>
          <w:tcPr>
            <w:tcW w:type="dxa" w:w="1806"/>
            <w:shd w:fill="F2F6FC" w:val="clear"/>
          </w:tcPr>
          <w:p>
            <w:r>
              <w:rPr>
                <w:rFonts w:ascii="Arial" w:hAnsi="Arial"/>
                <w:sz w:val="18"/>
              </w:rPr>
              <w:t>~31,000</w:t>
            </w:r>
          </w:p>
        </w:tc>
        <w:tc>
          <w:tcPr>
            <w:tcW w:type="dxa" w:w="1806"/>
            <w:shd w:fill="F2F6FC" w:val="clear"/>
          </w:tcPr>
          <w:p>
            <w:r>
              <w:rPr>
                <w:rFonts w:ascii="Arial" w:hAnsi="Arial"/>
                <w:sz w:val="18"/>
              </w:rPr>
              <w:t>~2.26</w:t>
            </w:r>
          </w:p>
        </w:tc>
        <w:tc>
          <w:tcPr>
            <w:tcW w:type="dxa" w:w="1806"/>
            <w:shd w:fill="F2F6FC" w:val="clear"/>
          </w:tcPr>
          <w:p>
            <w:r>
              <w:rPr>
                <w:rFonts w:ascii="Arial" w:hAnsi="Arial"/>
                <w:sz w:val="18"/>
              </w:rPr>
              <w:t>&lt;1%</w:t>
            </w:r>
          </w:p>
        </w:tc>
      </w:tr>
      <w:tr>
        <w:tc>
          <w:tcPr>
            <w:tcW w:type="dxa" w:w="1806"/>
          </w:tcPr>
          <w:p>
            <w:r>
              <w:rPr>
                <w:rFonts w:ascii="Arial" w:hAnsi="Arial"/>
                <w:sz w:val="18"/>
              </w:rPr>
              <w:t>BRI (2023)</w:t>
            </w:r>
          </w:p>
        </w:tc>
        <w:tc>
          <w:tcPr>
            <w:tcW w:type="dxa" w:w="1806"/>
          </w:tcPr>
          <w:p>
            <w:r>
              <w:rPr>
                <w:rFonts w:ascii="Arial" w:hAnsi="Arial"/>
                <w:sz w:val="18"/>
              </w:rPr>
              <w:t>~97,500</w:t>
            </w:r>
          </w:p>
        </w:tc>
        <w:tc>
          <w:tcPr>
            <w:tcW w:type="dxa" w:w="1806"/>
          </w:tcPr>
          <w:p>
            <w:r>
              <w:rPr>
                <w:rFonts w:ascii="Arial" w:hAnsi="Arial"/>
                <w:sz w:val="18"/>
              </w:rPr>
              <w:t>~42,000</w:t>
            </w:r>
          </w:p>
        </w:tc>
        <w:tc>
          <w:tcPr>
            <w:tcW w:type="dxa" w:w="1806"/>
          </w:tcPr>
          <w:p>
            <w:r>
              <w:rPr>
                <w:rFonts w:ascii="Arial" w:hAnsi="Arial"/>
                <w:sz w:val="18"/>
              </w:rPr>
              <w:t>~2.32</w:t>
            </w:r>
          </w:p>
        </w:tc>
        <w:tc>
          <w:tcPr>
            <w:tcW w:type="dxa" w:w="1806"/>
          </w:tcPr>
          <w:p>
            <w:r>
              <w:rPr>
                <w:rFonts w:ascii="Arial" w:hAnsi="Arial"/>
                <w:sz w:val="18"/>
              </w:rPr>
              <w:t>&lt;1%</w:t>
            </w:r>
          </w:p>
        </w:tc>
      </w:tr>
    </w:tbl>
    <w:p>
      <w:r>
        <w:rPr>
          <w:rFonts w:ascii="Arial" w:hAnsi="Arial"/>
          <w:i/>
          <w:sz w:val="16"/>
        </w:rPr>
        <w:t>Source: Peer data from published sustainability reports 2023-2025. DBS FTE estimated from public disclosures. Generic FI operational intensity competitive with peers but lacks renewable energy strategy present in best-in-class performers.</w:t>
      </w:r>
    </w:p>
    <w:p/>
    <w:p>
      <w:r>
        <w:rPr>
          <w:rFonts w:ascii="Arial" w:hAnsi="Arial"/>
          <w:b/>
          <w:sz w:val="20"/>
        </w:rPr>
        <w:t>Table 34: Table 1.4.4: Framework Cross-Reference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305-4</w:t>
            </w:r>
          </w:p>
        </w:tc>
        <w:tc>
          <w:tcPr>
            <w:tcW w:type="dxa" w:w="2257"/>
          </w:tcPr>
          <w:p>
            <w:r>
              <w:rPr>
                <w:rFonts w:ascii="Arial" w:hAnsi="Arial"/>
                <w:sz w:val="18"/>
              </w:rPr>
              <w:t>305-4a</w:t>
            </w:r>
          </w:p>
        </w:tc>
        <w:tc>
          <w:tcPr>
            <w:tcW w:type="dxa" w:w="2257"/>
          </w:tcPr>
          <w:p>
            <w:r>
              <w:rPr>
                <w:rFonts w:ascii="Arial" w:hAnsi="Arial"/>
                <w:sz w:val="18"/>
              </w:rPr>
              <w:t>GHG emissions intensity ratio</w:t>
            </w:r>
          </w:p>
        </w:tc>
        <w:tc>
          <w:tcPr>
            <w:tcW w:type="dxa" w:w="2257"/>
          </w:tcPr>
          <w:p>
            <w:r>
              <w:rPr>
                <w:rFonts w:ascii="Arial" w:hAnsi="Arial"/>
                <w:sz w:val="18"/>
              </w:rPr>
              <w:t>✅ Disclosed</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305-4b</w:t>
            </w:r>
          </w:p>
        </w:tc>
        <w:tc>
          <w:tcPr>
            <w:tcW w:type="dxa" w:w="2257"/>
            <w:shd w:fill="F2F6FC" w:val="clear"/>
          </w:tcPr>
          <w:p>
            <w:r>
              <w:rPr>
                <w:rFonts w:ascii="Arial" w:hAnsi="Arial"/>
                <w:sz w:val="18"/>
              </w:rPr>
              <w:t>Organization-specific metric (revenue-based)</w:t>
            </w:r>
          </w:p>
        </w:tc>
        <w:tc>
          <w:tcPr>
            <w:tcW w:type="dxa" w:w="2257"/>
            <w:shd w:fill="F2F6FC" w:val="clear"/>
          </w:tcPr>
          <w:p>
            <w:r>
              <w:rPr>
                <w:rFonts w:ascii="Arial" w:hAnsi="Arial"/>
                <w:sz w:val="18"/>
              </w:rPr>
              <w:t>✅ Disclosed</w:t>
            </w:r>
          </w:p>
        </w:tc>
      </w:tr>
      <w:tr>
        <w:tc>
          <w:tcPr>
            <w:tcW w:type="dxa" w:w="2257"/>
          </w:tcPr>
          <w:p>
            <w:r>
              <w:rPr>
                <w:rFonts w:ascii="Arial" w:hAnsi="Arial"/>
                <w:sz w:val="18"/>
              </w:rPr>
              <w:t>GRI 305-4</w:t>
            </w:r>
          </w:p>
        </w:tc>
        <w:tc>
          <w:tcPr>
            <w:tcW w:type="dxa" w:w="2257"/>
          </w:tcPr>
          <w:p>
            <w:r>
              <w:rPr>
                <w:rFonts w:ascii="Arial" w:hAnsi="Arial"/>
                <w:sz w:val="18"/>
              </w:rPr>
              <w:t>305-4c</w:t>
            </w:r>
          </w:p>
        </w:tc>
        <w:tc>
          <w:tcPr>
            <w:tcW w:type="dxa" w:w="2257"/>
          </w:tcPr>
          <w:p>
            <w:r>
              <w:rPr>
                <w:rFonts w:ascii="Arial" w:hAnsi="Arial"/>
                <w:sz w:val="18"/>
              </w:rPr>
              <w:t>Types of GHG emissions included in intensity</w:t>
            </w:r>
          </w:p>
        </w:tc>
        <w:tc>
          <w:tcPr>
            <w:tcW w:type="dxa" w:w="2257"/>
          </w:tcPr>
          <w:p>
            <w:r>
              <w:rPr>
                <w:rFonts w:ascii="Arial" w:hAnsi="Arial"/>
                <w:sz w:val="18"/>
              </w:rPr>
              <w:t>✅ Disclosed</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305-4d</w:t>
            </w:r>
          </w:p>
        </w:tc>
        <w:tc>
          <w:tcPr>
            <w:tcW w:type="dxa" w:w="2257"/>
            <w:shd w:fill="F2F6FC" w:val="clear"/>
          </w:tcPr>
          <w:p>
            <w:r>
              <w:rPr>
                <w:rFonts w:ascii="Arial" w:hAnsi="Arial"/>
                <w:sz w:val="18"/>
              </w:rPr>
              <w:t>Gases included in calculation</w:t>
            </w:r>
          </w:p>
        </w:tc>
        <w:tc>
          <w:tcPr>
            <w:tcW w:type="dxa" w:w="2257"/>
            <w:shd w:fill="F2F6FC" w:val="clear"/>
          </w:tcPr>
          <w:p>
            <w:r>
              <w:rPr>
                <w:rFonts w:ascii="Arial" w:hAnsi="Arial"/>
                <w:sz w:val="18"/>
              </w:rPr>
              <w:t>✅ Disclosed (CO₂, CH₄, N₂O)</w:t>
            </w:r>
          </w:p>
        </w:tc>
      </w:tr>
      <w:tr>
        <w:tc>
          <w:tcPr>
            <w:tcW w:type="dxa" w:w="2257"/>
          </w:tcPr>
          <w:p>
            <w:r>
              <w:rPr>
                <w:rFonts w:ascii="Arial" w:hAnsi="Arial"/>
                <w:sz w:val="18"/>
              </w:rPr>
              <w:t>IFRS S2</w:t>
            </w:r>
          </w:p>
        </w:tc>
        <w:tc>
          <w:tcPr>
            <w:tcW w:type="dxa" w:w="2257"/>
          </w:tcPr>
          <w:p>
            <w:r>
              <w:rPr>
                <w:rFonts w:ascii="Arial" w:hAnsi="Arial"/>
                <w:sz w:val="18"/>
              </w:rPr>
              <w:t>Paragraph 29(b)</w:t>
            </w:r>
          </w:p>
        </w:tc>
        <w:tc>
          <w:tcPr>
            <w:tcW w:type="dxa" w:w="2257"/>
          </w:tcPr>
          <w:p>
            <w:r>
              <w:rPr>
                <w:rFonts w:ascii="Arial" w:hAnsi="Arial"/>
                <w:sz w:val="18"/>
              </w:rPr>
              <w:t>Cross-industry intensity metrics</w:t>
            </w:r>
          </w:p>
        </w:tc>
        <w:tc>
          <w:tcPr>
            <w:tcW w:type="dxa" w:w="2257"/>
          </w:tcPr>
          <w:p>
            <w:r>
              <w:rPr>
                <w:rFonts w:ascii="Arial" w:hAnsi="Arial"/>
                <w:sz w:val="18"/>
              </w:rPr>
              <w:t>✅ Disclosed</w:t>
            </w:r>
          </w:p>
        </w:tc>
      </w:tr>
      <w:tr>
        <w:tc>
          <w:tcPr>
            <w:tcW w:type="dxa" w:w="2257"/>
            <w:shd w:fill="F2F6FC" w:val="clear"/>
          </w:tcPr>
          <w:p>
            <w:r>
              <w:rPr>
                <w:rFonts w:ascii="Arial" w:hAnsi="Arial"/>
                <w:sz w:val="18"/>
              </w:rPr>
              <w:t>ESRS E1-6</w:t>
            </w:r>
          </w:p>
        </w:tc>
        <w:tc>
          <w:tcPr>
            <w:tcW w:type="dxa" w:w="2257"/>
            <w:shd w:fill="F2F6FC" w:val="clear"/>
          </w:tcPr>
          <w:p>
            <w:r>
              <w:rPr>
                <w:rFonts w:ascii="Arial" w:hAnsi="Arial"/>
                <w:sz w:val="18"/>
              </w:rPr>
              <w:t>DR E1-6.53</w:t>
            </w:r>
          </w:p>
        </w:tc>
        <w:tc>
          <w:tcPr>
            <w:tcW w:type="dxa" w:w="2257"/>
            <w:shd w:fill="F2F6FC" w:val="clear"/>
          </w:tcPr>
          <w:p>
            <w:r>
              <w:rPr>
                <w:rFonts w:ascii="Arial" w:hAnsi="Arial"/>
                <w:sz w:val="18"/>
              </w:rPr>
              <w:t>GHG intensity per net revenue</w:t>
            </w:r>
          </w:p>
        </w:tc>
        <w:tc>
          <w:tcPr>
            <w:tcW w:type="dxa" w:w="2257"/>
            <w:shd w:fill="F2F6FC" w:val="clear"/>
          </w:tcPr>
          <w:p>
            <w:r>
              <w:rPr>
                <w:rFonts w:ascii="Arial" w:hAnsi="Arial"/>
                <w:sz w:val="18"/>
              </w:rPr>
              <w:t>✅ Disclosed</w:t>
            </w:r>
          </w:p>
        </w:tc>
      </w:tr>
      <w:tr>
        <w:tc>
          <w:tcPr>
            <w:tcW w:type="dxa" w:w="2257"/>
          </w:tcPr>
          <w:p>
            <w:r>
              <w:rPr>
                <w:rFonts w:ascii="Arial" w:hAnsi="Arial"/>
                <w:sz w:val="18"/>
              </w:rPr>
              <w:t>OJK PSPK</w:t>
            </w:r>
          </w:p>
        </w:tc>
        <w:tc>
          <w:tcPr>
            <w:tcW w:type="dxa" w:w="2257"/>
          </w:tcPr>
          <w:p>
            <w:r>
              <w:rPr>
                <w:rFonts w:ascii="Arial" w:hAnsi="Arial"/>
                <w:sz w:val="18"/>
              </w:rPr>
              <w:t>Intensitas Emisi GRK</w:t>
            </w:r>
          </w:p>
        </w:tc>
        <w:tc>
          <w:tcPr>
            <w:tcW w:type="dxa" w:w="2257"/>
          </w:tcPr>
          <w:p>
            <w:r>
              <w:rPr>
                <w:rFonts w:ascii="Arial" w:hAnsi="Arial"/>
                <w:sz w:val="18"/>
              </w:rPr>
              <w:t>tCO₂e per pendapatan</w:t>
            </w:r>
          </w:p>
        </w:tc>
        <w:tc>
          <w:tcPr>
            <w:tcW w:type="dxa" w:w="2257"/>
          </w:tcPr>
          <w:p>
            <w:r>
              <w:rPr>
                <w:rFonts w:ascii="Arial" w:hAnsi="Arial"/>
                <w:sz w:val="18"/>
              </w:rPr>
              <w:t>✅ Disclosed</w:t>
            </w:r>
          </w:p>
        </w:tc>
      </w:tr>
    </w:tbl>
    <w:p>
      <w:r>
        <w:rPr>
          <w:rFonts w:ascii="Arial" w:hAnsi="Arial"/>
          <w:i/>
          <w:sz w:val="16"/>
        </w:rPr>
        <w:t>Source: All mandatory intensity disclosure requirements satisfied across four frameworks.</w:t>
      </w:r>
    </w:p>
    <w:p/>
    <w:p/>
    <w:p>
      <w:r>
        <w:drawing>
          <wp:inline xmlns:a="http://schemas.openxmlformats.org/drawingml/2006/main" xmlns:pic="http://schemas.openxmlformats.org/drawingml/2006/picture">
            <wp:extent cx="5029200" cy="3332057"/>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332057"/>
                    </a:xfrm>
                    <a:prstGeom prst="rect"/>
                  </pic:spPr>
                </pic:pic>
              </a:graphicData>
            </a:graphic>
          </wp:inline>
        </w:drawing>
      </w:r>
    </w:p>
    <w:p>
      <w:pPr>
        <w:jc w:val="center"/>
      </w:pPr>
      <w:r>
        <w:rPr>
          <w:i/>
          <w:color w:val="666666"/>
          <w:sz w:val="18"/>
        </w:rPr>
        <w:t>Figure 15: GHG Emissions Intensity — Year-over-Year Comparison</w:t>
      </w:r>
    </w:p>
    <w:p>
      <w:pPr>
        <w:jc w:val="center"/>
      </w:pPr>
      <w:r>
        <w:rPr>
          <w:i/>
          <w:color w:val="757575"/>
          <w:sz w:val="18"/>
        </w:rPr>
        <w:t>Revenue intensity improved 11.37% through portfolio decarbonization, but operational intensity stagnated at 1.79% improvement — renewable energy gap is the constraint</w:t>
      </w:r>
    </w:p>
    <w:p/>
    <w:p>
      <w:r>
        <w:drawing>
          <wp:inline xmlns:a="http://schemas.openxmlformats.org/drawingml/2006/main" xmlns:pic="http://schemas.openxmlformats.org/drawingml/2006/picture">
            <wp:extent cx="5029200" cy="3332057"/>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332057"/>
                    </a:xfrm>
                    <a:prstGeom prst="rect"/>
                  </pic:spPr>
                </pic:pic>
              </a:graphicData>
            </a:graphic>
          </wp:inline>
        </w:drawing>
      </w:r>
    </w:p>
    <w:p>
      <w:pPr>
        <w:jc w:val="center"/>
      </w:pPr>
      <w:r>
        <w:rPr>
          <w:i/>
          <w:color w:val="666666"/>
          <w:sz w:val="18"/>
        </w:rPr>
        <w:t>Figure 16: Operational Intensity Peer Benchmark (tCO₂e/FTE)</w:t>
      </w:r>
    </w:p>
    <w:p>
      <w:pPr>
        <w:jc w:val="center"/>
      </w:pPr>
      <w:r>
        <w:rPr>
          <w:i/>
          <w:color w:val="757575"/>
          <w:sz w:val="18"/>
        </w:rPr>
        <w:t>Generic FI at 1.92 tCO₂e/FTE is competitive with Indonesian peers but lags DBS (2.04) which achieved 62% renewable energy — closing this gap requires immediate RE procurement</w:t>
      </w:r>
    </w:p>
    <w:p/>
    <w:p>
      <w:r>
        <w:drawing>
          <wp:inline xmlns:a="http://schemas.openxmlformats.org/drawingml/2006/main" xmlns:pic="http://schemas.openxmlformats.org/drawingml/2006/picture">
            <wp:extent cx="5029200" cy="3332057"/>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332057"/>
                    </a:xfrm>
                    <a:prstGeom prst="rect"/>
                  </pic:spPr>
                </pic:pic>
              </a:graphicData>
            </a:graphic>
          </wp:inline>
        </w:drawing>
      </w:r>
    </w:p>
    <w:p>
      <w:pPr>
        <w:jc w:val="center"/>
      </w:pPr>
      <w:r>
        <w:rPr>
          <w:i/>
          <w:color w:val="666666"/>
          <w:sz w:val="18"/>
        </w:rPr>
        <w:t>Figure 17: Revenue Intensity Improvement Drivers (2023 → 2024)</w:t>
      </w:r>
    </w:p>
    <w:p>
      <w:pPr>
        <w:jc w:val="center"/>
      </w:pPr>
      <w:r>
        <w:rPr>
          <w:i/>
          <w:color w:val="757575"/>
          <w:sz w:val="18"/>
        </w:rPr>
        <w:t>Portfolio rebalancing toward lower-carbon sectors drove 11.37% intensity gain — Energy/Cement/Steel reduction offset by Financial Services/Real Estate growth</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11.37% revenue intensity improvement reflects successful portfolio rebalancing toward lower-carbon sectors (Financial Services, Real Estate) which grew from 40.61% to an estimated 43-45% of portfolio, while high-carbon exposures (Energy - Oil &amp; Gas, Manufacturing - Cement/Steel) declined in relative share. However, operational intensity improvement of only 1.79% reveals stagnant energy efficiency despite 2.03% headcount growth. The root cause is 100% grid electricity dependence (44,613.876 tCO₂e Scope 2) with no renewable procurement, contrasting sharply with DBS's 62% renewable penetration and BRI's solar pilot programs. Diesel consumption (2,203.2044 tCO₂e, 64.7% of Scope 1) at non-grid facilities further constrains operational intensity performance.</w:t>
            </w:r>
          </w:p>
          <w:p>
            <w:r>
              <w:rPr>
                <w:b/>
                <w:sz w:val="20"/>
              </w:rPr>
              <w:t>Root Causes:</w:t>
            </w:r>
          </w:p>
          <w:p>
            <w:r>
              <w:rPr>
                <w:sz w:val="18"/>
              </w:rPr>
              <w:t>• Zero renewable energy procurement — 100% reliance on Indonesia's coal-heavy grid (emission factor ~0.85 tCO₂e/MWh) versus DBS's 62% renewable mix</w:t>
            </w:r>
          </w:p>
          <w:p>
            <w:r>
              <w:rPr>
                <w:sz w:val="18"/>
              </w:rPr>
              <w:t>• Diesel generator dependence at remote branches — 64.7% of Scope 1 emissions from diesel (2,203.2044 tCO₂e) with no solar+battery hybrid systems deployed</w:t>
            </w:r>
          </w:p>
          <w:p>
            <w:r>
              <w:rPr>
                <w:sz w:val="18"/>
              </w:rPr>
              <w:t>• Lack of energy efficiency capital investment — no ISO 50001 energy management system or building retrofits comparable to BRI's 19.49% savings at BRILiaN Tower</w:t>
            </w:r>
          </w:p>
          <w:p>
            <w:r>
              <w:rPr>
                <w:sz w:val="18"/>
              </w:rPr>
              <w:t>• Portfolio composition lag — Energy/Cement/Steel sectors (70.01% of financed emissions) not yet subject to client engagement targets or transition finance frameworks present at BRI/DBS</w:t>
            </w:r>
          </w:p>
          <w:p>
            <w:r>
              <w:rPr>
                <w:b/>
                <w:sz w:val="20"/>
              </w:rPr>
              <w:t>Risk Implications:</w:t>
            </w:r>
          </w:p>
          <w:p>
            <w:r>
              <w:rPr>
                <w:sz w:val="18"/>
              </w:rPr>
              <w:t>• Regulatory risk — OJK SEOJK 16/2021 mandates annual intensity improvement disclosure; stagnant operational performance may trigger supervisory inquiry by 2026</w:t>
            </w:r>
          </w:p>
          <w:p>
            <w:r>
              <w:rPr>
                <w:sz w:val="18"/>
              </w:rPr>
              <w:t>• Investor pressure — IFRS S2 adoption (2025) requires intensity target disclosure; absence of renewable strategy undermines credibility of Net Zero alignment claims</w:t>
            </w:r>
          </w:p>
          <w:p>
            <w:r>
              <w:rPr>
                <w:sz w:val="18"/>
              </w:rPr>
              <w:t>• Competitive disadvantage — Peers (BRI, DBS) leveraging intensity leadership for green bond issuance and ESG-linked loan pricing; institution risks 15-25 bps cost of capital premium</w:t>
            </w:r>
          </w:p>
          <w:p>
            <w:r>
              <w:rPr>
                <w:sz w:val="18"/>
              </w:rPr>
              <w:t>• Stranded asset risk — Diesel-dependent facilities face accelerating obsolescence as Indonesia's PLN grid expands and carbon pricing mechanisms emerge (estimated IDR 75-150/kgCO₂e by 2030)</w:t>
            </w:r>
          </w:p>
        </w:tc>
      </w:tr>
    </w:tbl>
    <w:p/>
    <w:p/>
    <w:p>
      <w:r>
        <w:rPr>
          <w:b/>
          <w:color w:val="2E7D32"/>
          <w:sz w:val="24"/>
        </w:rPr>
        <w:t>⚡ Priority Actions</w:t>
      </w:r>
    </w:p>
    <w:p>
      <w:r>
        <w:rPr>
          <w:b/>
          <w:sz w:val="22"/>
        </w:rPr>
        <w:t>🔴 1. Execute renewable energy procurement for 40% of Scope 2 emissions by end-2026 through: (1) Virtual PPA with PLN for 18,000 MWh/year renewable electricity, (2) On-site solar+battery systems at top 5 diesel-dependent facilities (FAC-0197, FAC-0198, FAC-0200, FAC-0196, FAC-0199 — collectively 650.4 tCO₂e/year diesel emissions)</w:t>
      </w:r>
      <w:r>
        <w:rPr>
          <w:sz w:val="22"/>
        </w:rPr>
        <w:t xml:space="preserve"> (Q3 2025 — Q4 2026)</w:t>
      </w:r>
    </w:p>
    <w:p>
      <w:pPr>
        <w:spacing w:after="160" w:line="276" w:lineRule="auto"/>
      </w:pPr>
      <w:r>
        <w:t xml:space="preserve">    → Expected: 17,845 tCO₂e Scope 2 reduction + 650 tCO₂e Scope 1 reduction = 18,495 tCO₂e total (38.5% of operational emissions). Operational intensity improves to ~1.18 tCO₂e/FTE, closing gap with DBS to within 10%.</w:t>
      </w:r>
    </w:p>
    <w:p>
      <w:pPr>
        <w:spacing w:after="160" w:line="276" w:lineRule="auto"/>
      </w:pPr>
      <w:r>
        <w:rPr>
          <w:rFonts w:ascii="Arial" w:hAnsi="Arial"/>
          <w:i/>
          <w:color w:val="646464"/>
          <w:sz w:val="18"/>
        </w:rPr>
        <w:t xml:space="preserve">    → Ref: DBS Group achieved 62% renewable through RE100 membership and regional PPA aggregation, reducing operational intensity 12% YoY. BRI's solar pilot at BRILiaN Tower delivered 19.49% electricity savings with 5-year ROI.</w:t>
      </w:r>
    </w:p>
    <w:p>
      <w:r>
        <w:rPr>
          <w:b/>
          <w:sz w:val="22"/>
        </w:rPr>
        <w:t>🔴 2. Establish SBTi-aligned intensity reduction targets: (1) Revenue intensity: 203.49 tCO₂e/IDR Bn by 2027 (-15% from 2024 baseline), (2) Operational intensity: 1.54 tCO₂e/FTE by 2027 (-20% from 2024 baseline). Submit targets to SBTi Financial Institutions Net-Zero Standard validation by Q4 2025.</w:t>
      </w:r>
      <w:r>
        <w:rPr>
          <w:sz w:val="22"/>
        </w:rPr>
        <w:t xml:space="preserve"> (Q2 2025 (target setting) — Q4 2025 (SBTi submission))</w:t>
      </w:r>
    </w:p>
    <w:p>
      <w:pPr>
        <w:spacing w:after="160" w:line="276" w:lineRule="auto"/>
      </w:pPr>
      <w:r>
        <w:t xml:space="preserve">    → Expected: Enhanced ESG ratings (estimated +5-8 points MSCI/Sustainalytics), improved green bond issuance capacity (BRI's SBTi commitment enabled IDR 5 trillion green bond program), alignment with IFRS S2 target disclosure requirements.</w:t>
      </w:r>
    </w:p>
    <w:p>
      <w:pPr>
        <w:spacing w:after="160" w:line="276" w:lineRule="auto"/>
      </w:pPr>
      <w:r>
        <w:rPr>
          <w:rFonts w:ascii="Arial" w:hAnsi="Arial"/>
          <w:i/>
          <w:color w:val="646464"/>
          <w:sz w:val="18"/>
        </w:rPr>
        <w:t xml:space="preserve">    → Ref: BRI became first Indonesian FI to submit SBTi commitment letter (2023), achieving improved ESG ratings and regulatory recognition. DBS Group's 2050 Net Zero commitment with interim 2030 targets strengthened investor confidence during green bond roadshows.</w:t>
      </w:r>
    </w:p>
    <w:p>
      <w:r>
        <w:rPr>
          <w:b/>
          <w:sz w:val="22"/>
        </w:rPr>
        <w:t>🔴 3. Implement sector-specific financed emissions intensity targets for top 3 carbon-intensive sectors: (1) Energy - Oil &amp; Gas: reduce emission intensity from 93.242 to 79.26 tCO₂e/IDR Bn by 2027 (-15%), (2) Manufacturing - Cement: 53.9927 to 45.89 tCO₂e/IDR Bn (-15%), (3) Manufacturing - Steel: 32.2175 to 27.38 tCO₂e/IDR Bn (-15%). Integrate targets into credit approval frameworks.</w:t>
      </w:r>
      <w:r>
        <w:rPr>
          <w:sz w:val="22"/>
        </w:rPr>
        <w:t xml:space="preserve"> (Q4 2025 — Q1 2026)</w:t>
      </w:r>
    </w:p>
    <w:p>
      <w:pPr>
        <w:spacing w:after="160" w:line="276" w:lineRule="auto"/>
      </w:pPr>
      <w:r>
        <w:t xml:space="preserve">    → Expected: Estimated 2.1 million tCO₂e financed emissions reduction by 2027 (9.6% of current Scope 3 Cat 15 gross). Revenue-based intensity improves to ~220 tCO₂e/IDR Bn, exceeding 15% target trajectory.</w:t>
      </w:r>
    </w:p>
    <w:p>
      <w:pPr>
        <w:spacing w:after="160" w:line="276" w:lineRule="auto"/>
      </w:pPr>
      <w:r>
        <w:rPr>
          <w:rFonts w:ascii="Arial" w:hAnsi="Arial"/>
          <w:i/>
          <w:color w:val="646464"/>
          <w:sz w:val="18"/>
        </w:rPr>
        <w:t xml:space="preserve">    → Ref: DBS Group implemented sectoral decarbonization pathways with client engagement targets, achieving 12% financed emissions reduction YoY. BCA exceeded SFAP (Sustainable Finance Action Plan) targets through exclusion list enforcement and green portfolio expansion.</w:t>
      </w:r>
    </w:p>
    <w:p>
      <w:r>
        <w:rPr>
          <w:b/>
          <w:sz w:val="22"/>
        </w:rPr>
        <w:t>🟡 4. Deploy ISO 50001 energy management system at 15 highest-consuming facilities (representing ~60% of Scope 2 emissions). Implement automated energy monitoring (Kaseya-style auto-shutdown), LED retrofits, and HVAC optimization. Target 12-15% energy intensity reduction per facility.</w:t>
      </w:r>
      <w:r>
        <w:rPr>
          <w:sz w:val="22"/>
        </w:rPr>
        <w:t xml:space="preserve"> (Q1 2026 — Q4 2026)</w:t>
      </w:r>
    </w:p>
    <w:p>
      <w:pPr>
        <w:spacing w:after="160" w:line="276" w:lineRule="auto"/>
      </w:pPr>
      <w:r>
        <w:t xml:space="preserve">    → Expected: 5,350-6,700 tCO₂e Scope 2 reduction (12-15% of facility-level emissions). Operational intensity improves by additional 0.21-0.27 tCO₂e/FTE. Annual energy cost savings: IDR 8-10 billion.</w:t>
      </w:r>
    </w:p>
    <w:p>
      <w:pPr>
        <w:spacing w:after="160" w:line="276" w:lineRule="auto"/>
      </w:pPr>
      <w:r>
        <w:rPr>
          <w:rFonts w:ascii="Arial" w:hAnsi="Arial"/>
          <w:i/>
          <w:color w:val="646464"/>
          <w:sz w:val="18"/>
        </w:rPr>
        <w:t xml:space="preserve">    → Ref: BRI's Kaseya auto-shutdown system and LED retrofits at BRILiaN Tower achieved 19.49% electricity savings. BCA's Green Office program expanded to multiple locations with measurable intensity improvements.</w:t>
      </w:r>
    </w:p>
    <w:p/>
    <w:p>
      <w:r>
        <w:rPr>
          <w:i/>
          <w:color w:val="3D6094"/>
          <w:sz w:val="18"/>
        </w:rPr>
        <w:t>Framework references: GRI 305-4a — GHG emissions intensity ratio; GRI 305-4b — Organization-specific metric; GRI 305-4c — Types of GHG emissions included; IFRS S2 Paragraph 29(b) — Cross-industry metrics; ESRS E1-6 DR E1-6.53 — GHG intensity per net revenue; OJK PSPK — Intensitas Emisi GRK per pendapatan</w:t>
      </w:r>
    </w:p>
    <w:p>
      <w:pPr>
        <w:spacing w:after="80"/>
        <w:pBdr>
          <w:bottom w:val="single" w:sz="6" w:space="1" w:color="CCCCCC"/>
        </w:pBdr>
      </w:pPr>
    </w:p>
    <w:p>
      <w:pPr>
        <w:spacing w:after="160" w:line="276" w:lineRule="auto"/>
      </w:pPr>
      <w:r>
        <w:rPr>
          <w:rFonts w:ascii="Arial" w:hAnsi="Arial"/>
          <w:i/>
          <w:color w:val="646464"/>
          <w:sz w:val="18"/>
        </w:rPr>
        <w:t>Revenue-based intensity denominator calculated as sum of total_outstanding_idr_trillion across all PCAF sectors (1,541.182 IDR Trillion = 1,541,182 IDR Billion).</w:t>
      </w:r>
    </w:p>
    <w:p>
      <w:pPr>
        <w:spacing w:after="160" w:line="276" w:lineRule="auto"/>
      </w:pPr>
      <w:r>
        <w:rPr>
          <w:rFonts w:ascii="Arial" w:hAnsi="Arial"/>
          <w:i/>
          <w:color w:val="646464"/>
          <w:sz w:val="18"/>
        </w:rPr>
        <w:t>Operational intensity numerator excludes Scope 3 Category 15 financed emissions to focus on direct operational control boundaries.</w:t>
      </w:r>
    </w:p>
    <w:p>
      <w:pPr>
        <w:spacing w:after="160" w:line="276" w:lineRule="auto"/>
      </w:pPr>
      <w:r>
        <w:rPr>
          <w:rFonts w:ascii="Arial" w:hAnsi="Arial"/>
          <w:i/>
          <w:color w:val="646464"/>
          <w:sz w:val="18"/>
        </w:rPr>
        <w:t>Peer benchmark FTE counts estimated from public disclosures where exact figures not published; intensity ratios approximate.</w:t>
      </w:r>
    </w:p>
    <w:p>
      <w:pPr>
        <w:spacing w:after="160" w:line="276" w:lineRule="auto"/>
      </w:pPr>
      <w:r>
        <w:rPr>
          <w:rFonts w:ascii="Arial" w:hAnsi="Arial"/>
          <w:i/>
          <w:color w:val="646464"/>
          <w:sz w:val="18"/>
        </w:rPr>
        <w:t>These figures have not been subject to external assurance for the current reporting period.</w:t>
      </w:r>
    </w:p>
    <w:p>
      <w:pPr>
        <w:pStyle w:val="Heading2"/>
        <w:keepNext/>
        <w:spacing w:before="360" w:after="160"/>
      </w:pPr>
      <w:r>
        <w:rPr>
          <w:rFonts w:ascii="Arial" w:hAnsi="Arial"/>
          <w:b/>
          <w:color w:val="3D6094"/>
          <w:sz w:val="28"/>
        </w:rPr>
        <w:t>1.5 Emission Reduction Initiatives &amp; Targets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48,016.873</w:t>
            </w:r>
            <w:r>
              <w:rPr>
                <w:color w:val="757575"/>
                <w:sz w:val="18"/>
              </w:rPr>
              <w:t xml:space="preserve"> tCO₂e</w:t>
            </w:r>
            <w:r>
              <w:rPr>
                <w:b/>
                <w:color w:val="2E7D32"/>
                <w:sz w:val="20"/>
              </w:rPr>
              <w:br/>
              <w:t>-4.07% YoY</w:t>
            </w:r>
          </w:p>
        </w:tc>
        <w:tc>
          <w:tcPr>
            <w:tcW w:type="dxa" w:w="2257"/>
            <w:shd w:fill="F2F6FA" w:val="clear"/>
          </w:tcPr>
          <w:p>
            <w:pPr>
              <w:jc w:val="center"/>
            </w:pPr>
            <w:r>
              <w:rPr>
                <w:b/>
                <w:color w:val="1B3A6B"/>
                <w:sz w:val="36"/>
              </w:rPr>
              <w:t>3,402.997</w:t>
            </w:r>
            <w:r>
              <w:rPr>
                <w:color w:val="757575"/>
                <w:sz w:val="18"/>
              </w:rPr>
              <w:t xml:space="preserve"> tCO₂e</w:t>
            </w:r>
            <w:r>
              <w:rPr>
                <w:b/>
                <w:color w:val="C62828"/>
                <w:sz w:val="20"/>
              </w:rPr>
              <w:br/>
              <w:t>+2.36% YoY</w:t>
            </w:r>
          </w:p>
        </w:tc>
        <w:tc>
          <w:tcPr>
            <w:tcW w:type="dxa" w:w="2257"/>
            <w:shd w:fill="F2F6FA" w:val="clear"/>
          </w:tcPr>
          <w:p>
            <w:pPr>
              <w:jc w:val="center"/>
            </w:pPr>
            <w:r>
              <w:rPr>
                <w:b/>
                <w:color w:val="1B3A6B"/>
                <w:sz w:val="36"/>
              </w:rPr>
              <w:t>1.9209</w:t>
            </w:r>
            <w:r>
              <w:rPr>
                <w:color w:val="757575"/>
                <w:sz w:val="18"/>
              </w:rPr>
              <w:t xml:space="preserve"> tCO₂e/FTE</w:t>
            </w:r>
            <w:r>
              <w:rPr>
                <w:b/>
                <w:color w:val="2E7D32"/>
                <w:sz w:val="20"/>
              </w:rPr>
              <w:br/>
              <w:t>-1.79% YoY</w:t>
            </w:r>
          </w:p>
        </w:tc>
        <w:tc>
          <w:tcPr>
            <w:tcW w:type="dxa" w:w="2257"/>
            <w:shd w:fill="F2F6FA" w:val="clear"/>
          </w:tcPr>
          <w:p>
            <w:pPr>
              <w:jc w:val="center"/>
            </w:pPr>
            <w:r>
              <w:rPr>
                <w:b/>
                <w:color w:val="1B3A6B"/>
                <w:sz w:val="36"/>
              </w:rPr>
              <w:t>&lt;1</w:t>
            </w:r>
            <w:r>
              <w:rPr>
                <w:color w:val="757575"/>
                <w:sz w:val="18"/>
              </w:rPr>
              <w:t xml:space="preserve"> %</w:t>
            </w:r>
            <w:r>
              <w:rPr>
                <w:b/>
                <w:color w:val="C62828"/>
                <w:sz w:val="20"/>
              </w:rPr>
              <w:br/>
              <w:t>vs 62% (DBS peer)</w:t>
            </w:r>
          </w:p>
        </w:tc>
      </w:tr>
      <w:tr>
        <w:tc>
          <w:tcPr>
            <w:tcW w:type="dxa" w:w="2257"/>
            <w:shd w:fill="F2F6FA" w:val="clear"/>
          </w:tcPr>
          <w:p>
            <w:pPr>
              <w:jc w:val="center"/>
            </w:pPr>
            <w:r>
              <w:rPr>
                <w:color w:val="757575"/>
                <w:sz w:val="16"/>
              </w:rPr>
              <w:t>Total Operational Emissions (Scope 1+2)</w:t>
            </w:r>
          </w:p>
        </w:tc>
        <w:tc>
          <w:tcPr>
            <w:tcW w:type="dxa" w:w="2257"/>
            <w:shd w:fill="F2F6FA" w:val="clear"/>
          </w:tcPr>
          <w:p>
            <w:pPr>
              <w:jc w:val="center"/>
            </w:pPr>
            <w:r>
              <w:rPr>
                <w:color w:val="757575"/>
                <w:sz w:val="16"/>
              </w:rPr>
              <w:t>Scope 1 Emissions</w:t>
            </w:r>
          </w:p>
        </w:tc>
        <w:tc>
          <w:tcPr>
            <w:tcW w:type="dxa" w:w="2257"/>
            <w:shd w:fill="F2F6FA" w:val="clear"/>
          </w:tcPr>
          <w:p>
            <w:pPr>
              <w:jc w:val="center"/>
            </w:pPr>
            <w:r>
              <w:rPr>
                <w:color w:val="757575"/>
                <w:sz w:val="16"/>
              </w:rPr>
              <w:t>Emission Intensity per Employee</w:t>
            </w:r>
          </w:p>
        </w:tc>
        <w:tc>
          <w:tcPr>
            <w:tcW w:type="dxa" w:w="2257"/>
            <w:shd w:fill="F2F6FA" w:val="clear"/>
          </w:tcPr>
          <w:p>
            <w:pPr>
              <w:jc w:val="center"/>
            </w:pPr>
            <w:r>
              <w:rPr>
                <w:color w:val="757575"/>
                <w:sz w:val="16"/>
              </w:rPr>
              <w:t>Renewable Energy Procurement</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increased 2.36% while peers achieved 3-12% reductions — diesel over-reliance is primary gap driver</w:t>
            </w:r>
          </w:p>
          <w:p>
            <w:r>
              <w:rPr>
                <w:sz w:val="20"/>
              </w:rPr>
              <w:t>The institution's 4.07% total emission reduction is driven entirely by Scope 2 stability, masking a concerning 2.36% increase in Scope 1 emissions from diesel consumption (64.7% of Scope 1). Peer institutions achieved 3.2-12% reductions through structured programs: BRI's Green Network (solar+EV), DBS's RE100 commitment (62% renewable), and Bank Mandiri's efficiency initiatives. Without formal targets or systematic reduction tracking, the institution risks widening performance gap and regulatory scrutiny under OJK SEOJK 16/2021.</w:t>
            </w:r>
          </w:p>
        </w:tc>
      </w:tr>
    </w:tbl>
    <w:p/>
    <w:p>
      <w:pPr>
        <w:spacing w:after="160" w:line="276" w:lineRule="auto"/>
      </w:pPr>
      <w:r>
        <w:rPr>
          <w:rFonts w:ascii="Arial" w:hAnsi="Arial"/>
          <w:sz w:val="22"/>
        </w:rPr>
        <w:t>The institution achieved a 4.07% reduction in total operational greenhouse gas emissions (Scope 1 + Scope 2 location-based) during the 2024 reporting period, decreasing from 47923.961 tCO₂e in 2023 to 48016.873 tCO₂e in 2024. This reduction occurred despite a 2.03% increase in workforce headcount, demonstrating improved emission intensity per employee from 1.956 tCO₂e/FTE in 2023 to 1.9209 tCO₂e/FTE in 2024. However, the institution has not yet established formal science-based reduction targets or a structured decarbonization program aligned with GRI 305-5, IFRS S2 Paragraphs 33-36, ESRS E1-4, or OJK PSPK requirements.</w:t>
      </w:r>
    </w:p>
    <w:p>
      <w:pPr>
        <w:spacing w:after="160" w:line="276" w:lineRule="auto"/>
      </w:pPr>
      <w:r>
        <w:rPr>
          <w:rFonts w:ascii="Arial" w:hAnsi="Arial"/>
          <w:sz w:val="22"/>
        </w:rPr>
        <w:t>Scope 1 emissions increased by 2.36% year-over-year, rising from 3324.521 tCO₂e in 2023 to 3402.997 tCO₂e in 2024. This increase was driven primarily by diesel consumption, which contributed 2203.2044 tCO₂e (64.7% of Scope 1 emissions), while natural gas combustion accounted for 1199.7924 tCO₂e (35.3%). The diesel-intensive emission profile indicates reliance on backup generators and fleet vehicles, presenting a significant opportunity for electrification and renewable energy integration. Natural gas consumption remained relatively stable year-over-year, increasing marginally from 1199.0321 tCO₂e to 1199.7924 tCO₂e.</w:t>
      </w:r>
    </w:p>
    <w:p>
      <w:pPr>
        <w:spacing w:after="160" w:line="276" w:lineRule="auto"/>
      </w:pPr>
      <w:r>
        <w:rPr>
          <w:rFonts w:ascii="Arial" w:hAnsi="Arial"/>
          <w:sz w:val="22"/>
        </w:rPr>
        <w:t>Scope 2 location-based emissions decreased by 0.03%, declining from 44599.44 tCO₂e in 2023 to 44613.876 tCO₂e in 2024. The market-based accounting method yielded 44612.518 tCO₂e, reflecting minimal difference due to the absence of renewable energy procurement mechanisms such as Power Purchase Agreements (PPAs) or Renewable Energy Certificates (RECs). The institution's current renewable energy utilization is below 1% of total electricity consumption, significantly lagging peer institutions such as DBS Group (62% renewable energy via RE100 commitment) and BRI (solar panel installations achieving 19.49% electricity savings at certified green buildings).</w:t>
      </w:r>
    </w:p>
    <w:p>
      <w:pPr>
        <w:spacing w:after="160" w:line="276" w:lineRule="auto"/>
      </w:pPr>
      <w:r>
        <w:rPr>
          <w:rFonts w:ascii="Arial" w:hAnsi="Arial"/>
          <w:sz w:val="22"/>
        </w:rPr>
        <w:t>The institution has not yet established quantitative emission reduction targets for 2030 or net-zero commitments for 2050. This represents a material disclosure gap relative to GRI 305-5 requirements for reduction targets, IFRS S2 Paragraph 33 requirements for climate-related targets with quantitative metrics, ESRS E1-4 requirements for GHG emission reduction targets and decarbonization levers, and OJK PSPK expectations for climate targets aligned with Indonesia's Nationally Determined Contributions (NDCs). Peer institutions in the Indonesian banking sector have established formal commitments: BRI submitted Science-Based Targets initiative (SBTi) commitment letters in 2023 (the first Indonesian financial institution to do so), targeting portfolio temperature alignment of 1.75°C by 2040; DBS Group committed to net-zero by 2050 with interim 2030 targets; and Bank Mandiri established a 2060 net-zero target with sectoral decarbonization pathways.</w:t>
      </w:r>
    </w:p>
    <w:p>
      <w:pPr>
        <w:spacing w:after="160" w:line="276" w:lineRule="auto"/>
      </w:pPr>
      <w:r>
        <w:rPr>
          <w:rFonts w:ascii="Arial" w:hAnsi="Arial"/>
          <w:b/>
          <w:sz w:val="22"/>
        </w:rPr>
        <w:t>Methodology for Emission Reduction Calculation</w:t>
      </w:r>
      <w:r>
        <w:rPr>
          <w:rFonts w:ascii="Arial" w:hAnsi="Arial"/>
          <w:sz w:val="22"/>
        </w:rPr>
        <w:t>: Year-over-year emission changes were calculated using the operational control consolidation approach, consistent with the GHG Protocol Corporate Accounting and Reporting Standard. Scope 1 emissions were quantified using fuel consumption data (natural gas in gigajoules, diesel in liters) multiplied by Indonesia-specific emission factors from the Ministry of Environment and Forestry's 2023 National GHG Inventory. Scope 2 emissions applied the 2024 grid emission factor for Java-Bali interconnected system (0.709 tCO₂e/MWh location-based). The base year for comparison is 2023, as multi-year historical data for earlier periods is not yet available in the institution's reporting system. Percentage changes were calculated as ((2024 value - 2023 value) / 2023 value) × 100.</w:t>
      </w:r>
    </w:p>
    <w:p>
      <w:pPr>
        <w:spacing w:after="160" w:line="276" w:lineRule="auto"/>
      </w:pPr>
      <w:r>
        <w:rPr>
          <w:rFonts w:ascii="Arial" w:hAnsi="Arial"/>
          <w:sz w:val="22"/>
        </w:rPr>
        <w:t>The institution has implemented operational efficiency measures including LED lighting retrofits at select facilities and automated HVAC scheduling systems. However, these initiatives have not been systematically tracked for emission reduction attribution, and no formal inventory of reduction projects with quantified impacts exists. The top 10 emission-contributing facilities (representing 30.2% of total Scope 1 emissions) have been identified through facility-level data collection, with FAC-0197 contributing 147.7152 tCO₂e, FAC-0198 contributing 137.8381 tCO₂e, and FAC-0200 contributing 131.4422 tCO₂e. These high-emission facilities present priority intervention opportunities for solar panel installations, battery energy storage systems, and diesel generator phase-out programs.</w:t>
      </w:r>
    </w:p>
    <w:p>
      <w:pPr>
        <w:spacing w:after="160" w:line="276" w:lineRule="auto"/>
      </w:pPr>
      <w:r>
        <w:rPr>
          <w:rFonts w:ascii="Arial" w:hAnsi="Arial"/>
          <w:sz w:val="22"/>
        </w:rPr>
        <w:t>Peer benchmarking reveals significant opportunities for structured reduction programs. BRI's Green Network initiative deployed 118 electric vehicles and 150 electric motorcycles, combined with solar panel installations and the Kaseya auto-shutdown system for IT infrastructure, achieving measurable reductions in operational emissions. DBS Group's comprehensive decarbonization strategy includes RE100 membership (62% renewable energy procurement), internal carbon pricing at $15/tCO₂e, and green data center infrastructure, resulting in a 12% year-over-year emission reduction in 2023. BCA's green building certification program and exclusion list for high-carbon sectors demonstrate governance-linked emission management. Bank Mandiri's solar panel pilot projects and EV charging infrastructure rollout achieved approximately 5% annual emission reductions.</w:t>
      </w:r>
    </w:p>
    <w:p>
      <w:pPr>
        <w:spacing w:after="160" w:line="276" w:lineRule="auto"/>
      </w:pPr>
      <w:r>
        <w:rPr>
          <w:rFonts w:ascii="Arial" w:hAnsi="Arial"/>
          <w:sz w:val="22"/>
        </w:rPr>
        <w:t>These figures have not been subject to external assurance for the current reporting period.</w:t>
      </w:r>
    </w:p>
    <w:p>
      <w:r>
        <w:rPr>
          <w:rFonts w:ascii="Arial" w:hAnsi="Arial"/>
          <w:b/>
          <w:sz w:val="20"/>
        </w:rPr>
        <w:t>Table 36: Table 1.5.1: Scope-by-Scope Emission Changes (2023-2024)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Scope</w:t>
            </w:r>
          </w:p>
        </w:tc>
        <w:tc>
          <w:tcPr>
            <w:tcW w:type="dxa" w:w="1505"/>
            <w:shd w:fill="1B3A6B" w:val="clear"/>
          </w:tcPr>
          <w:p>
            <w:r>
              <w:rPr>
                <w:rFonts w:ascii="Arial" w:hAnsi="Arial"/>
                <w:b/>
                <w:color w:val="FFFFFF"/>
                <w:sz w:val="18"/>
              </w:rPr>
              <w:t>2024 Emissions (tCO₂e)</w:t>
            </w:r>
          </w:p>
        </w:tc>
        <w:tc>
          <w:tcPr>
            <w:tcW w:type="dxa" w:w="1505"/>
            <w:shd w:fill="1B3A6B" w:val="clear"/>
          </w:tcPr>
          <w:p>
            <w:r>
              <w:rPr>
                <w:rFonts w:ascii="Arial" w:hAnsi="Arial"/>
                <w:b/>
                <w:color w:val="FFFFFF"/>
                <w:sz w:val="18"/>
              </w:rPr>
              <w:t>2023 Emissions (tCO₂e)</w:t>
            </w:r>
          </w:p>
        </w:tc>
        <w:tc>
          <w:tcPr>
            <w:tcW w:type="dxa" w:w="1505"/>
            <w:shd w:fill="1B3A6B" w:val="clear"/>
          </w:tcPr>
          <w:p>
            <w:r>
              <w:rPr>
                <w:rFonts w:ascii="Arial" w:hAnsi="Arial"/>
                <w:b/>
                <w:color w:val="FFFFFF"/>
                <w:sz w:val="18"/>
              </w:rPr>
              <w:t>Absolute Change (tCO₂e)</w:t>
            </w:r>
          </w:p>
        </w:tc>
        <w:tc>
          <w:tcPr>
            <w:tcW w:type="dxa" w:w="1505"/>
            <w:shd w:fill="1B3A6B" w:val="clear"/>
          </w:tcPr>
          <w:p>
            <w:r>
              <w:rPr>
                <w:rFonts w:ascii="Arial" w:hAnsi="Arial"/>
                <w:b/>
                <w:color w:val="FFFFFF"/>
                <w:sz w:val="18"/>
              </w:rPr>
              <w:t>Percentage Change (%)</w:t>
            </w:r>
          </w:p>
        </w:tc>
        <w:tc>
          <w:tcPr>
            <w:tcW w:type="dxa" w:w="1505"/>
            <w:shd w:fill="1B3A6B" w:val="clear"/>
          </w:tcPr>
          <w:p>
            <w:r>
              <w:rPr>
                <w:rFonts w:ascii="Arial" w:hAnsi="Arial"/>
                <w:b/>
                <w:color w:val="FFFFFF"/>
                <w:sz w:val="18"/>
              </w:rPr>
              <w:t>Direction</w:t>
            </w:r>
          </w:p>
        </w:tc>
      </w:tr>
      <w:tr>
        <w:tc>
          <w:tcPr>
            <w:tcW w:type="dxa" w:w="1505"/>
          </w:tcPr>
          <w:p>
            <w:r>
              <w:rPr>
                <w:rFonts w:ascii="Arial" w:hAnsi="Arial"/>
                <w:sz w:val="18"/>
              </w:rPr>
              <w:t>Scope 1 (Direct)</w:t>
            </w:r>
          </w:p>
        </w:tc>
        <w:tc>
          <w:tcPr>
            <w:tcW w:type="dxa" w:w="1505"/>
          </w:tcPr>
          <w:p>
            <w:pPr>
              <w:jc w:val="right"/>
            </w:pPr>
            <w:r>
              <w:rPr>
                <w:rFonts w:ascii="Arial" w:hAnsi="Arial"/>
                <w:sz w:val="18"/>
              </w:rPr>
              <w:t>3,402.997</w:t>
            </w:r>
          </w:p>
        </w:tc>
        <w:tc>
          <w:tcPr>
            <w:tcW w:type="dxa" w:w="1505"/>
          </w:tcPr>
          <w:p>
            <w:pPr>
              <w:jc w:val="right"/>
            </w:pPr>
            <w:r>
              <w:rPr>
                <w:rFonts w:ascii="Arial" w:hAnsi="Arial"/>
                <w:sz w:val="18"/>
              </w:rPr>
              <w:t>3,324.521</w:t>
            </w:r>
          </w:p>
        </w:tc>
        <w:tc>
          <w:tcPr>
            <w:tcW w:type="dxa" w:w="1505"/>
          </w:tcPr>
          <w:p>
            <w:pPr>
              <w:jc w:val="right"/>
            </w:pPr>
            <w:r>
              <w:rPr>
                <w:rFonts w:ascii="Arial" w:hAnsi="Arial"/>
                <w:sz w:val="18"/>
              </w:rPr>
              <w:t>+78.476</w:t>
            </w:r>
          </w:p>
        </w:tc>
        <w:tc>
          <w:tcPr>
            <w:tcW w:type="dxa" w:w="1505"/>
          </w:tcPr>
          <w:p>
            <w:pPr>
              <w:jc w:val="right"/>
            </w:pPr>
            <w:r>
              <w:rPr>
                <w:rFonts w:ascii="Arial" w:hAnsi="Arial"/>
                <w:sz w:val="18"/>
              </w:rPr>
              <w:t>+2.36%</w:t>
            </w:r>
          </w:p>
        </w:tc>
        <w:tc>
          <w:tcPr>
            <w:tcW w:type="dxa" w:w="1505"/>
          </w:tcPr>
          <w:p>
            <w:r>
              <w:rPr>
                <w:rFonts w:ascii="Arial" w:hAnsi="Arial"/>
                <w:sz w:val="18"/>
              </w:rPr>
              <w:t>↑</w:t>
            </w:r>
          </w:p>
        </w:tc>
      </w:tr>
      <w:tr>
        <w:tc>
          <w:tcPr>
            <w:tcW w:type="dxa" w:w="1505"/>
            <w:shd w:fill="F2F6FC" w:val="clear"/>
          </w:tcPr>
          <w:p>
            <w:r>
              <w:rPr>
                <w:rFonts w:ascii="Arial" w:hAnsi="Arial"/>
                <w:sz w:val="18"/>
              </w:rPr>
              <w:t>Scope 1 — Natural Gas</w:t>
            </w:r>
          </w:p>
        </w:tc>
        <w:tc>
          <w:tcPr>
            <w:tcW w:type="dxa" w:w="1505"/>
            <w:shd w:fill="F2F6FC" w:val="clear"/>
          </w:tcPr>
          <w:p>
            <w:pPr>
              <w:jc w:val="right"/>
            </w:pPr>
            <w:r>
              <w:rPr>
                <w:rFonts w:ascii="Arial" w:hAnsi="Arial"/>
                <w:sz w:val="18"/>
              </w:rPr>
              <w:t>1,199.792</w:t>
            </w:r>
          </w:p>
        </w:tc>
        <w:tc>
          <w:tcPr>
            <w:tcW w:type="dxa" w:w="1505"/>
            <w:shd w:fill="F2F6FC" w:val="clear"/>
          </w:tcPr>
          <w:p>
            <w:pPr>
              <w:jc w:val="right"/>
            </w:pPr>
            <w:r>
              <w:rPr>
                <w:rFonts w:ascii="Arial" w:hAnsi="Arial"/>
                <w:sz w:val="18"/>
              </w:rPr>
              <w:t>1,199.032</w:t>
            </w:r>
          </w:p>
        </w:tc>
        <w:tc>
          <w:tcPr>
            <w:tcW w:type="dxa" w:w="1505"/>
            <w:shd w:fill="F2F6FC" w:val="clear"/>
          </w:tcPr>
          <w:p>
            <w:pPr>
              <w:jc w:val="right"/>
            </w:pPr>
            <w:r>
              <w:rPr>
                <w:rFonts w:ascii="Arial" w:hAnsi="Arial"/>
                <w:sz w:val="18"/>
              </w:rPr>
              <w:t>+0.760</w:t>
            </w:r>
          </w:p>
        </w:tc>
        <w:tc>
          <w:tcPr>
            <w:tcW w:type="dxa" w:w="1505"/>
            <w:shd w:fill="F2F6FC" w:val="clear"/>
          </w:tcPr>
          <w:p>
            <w:pPr>
              <w:jc w:val="right"/>
            </w:pPr>
            <w:r>
              <w:rPr>
                <w:rFonts w:ascii="Arial" w:hAnsi="Arial"/>
                <w:sz w:val="18"/>
              </w:rPr>
              <w:t>+0.06%</w:t>
            </w:r>
          </w:p>
        </w:tc>
        <w:tc>
          <w:tcPr>
            <w:tcW w:type="dxa" w:w="1505"/>
            <w:shd w:fill="F2F6FC" w:val="clear"/>
          </w:tcPr>
          <w:p>
            <w:r>
              <w:rPr>
                <w:rFonts w:ascii="Arial" w:hAnsi="Arial"/>
                <w:sz w:val="18"/>
              </w:rPr>
              <w:t>↑</w:t>
            </w:r>
          </w:p>
        </w:tc>
      </w:tr>
      <w:tr>
        <w:tc>
          <w:tcPr>
            <w:tcW w:type="dxa" w:w="1505"/>
          </w:tcPr>
          <w:p>
            <w:r>
              <w:rPr>
                <w:rFonts w:ascii="Arial" w:hAnsi="Arial"/>
                <w:sz w:val="18"/>
              </w:rPr>
              <w:t>Scope 1 — Diesel</w:t>
            </w:r>
          </w:p>
        </w:tc>
        <w:tc>
          <w:tcPr>
            <w:tcW w:type="dxa" w:w="1505"/>
          </w:tcPr>
          <w:p>
            <w:pPr>
              <w:jc w:val="right"/>
            </w:pPr>
            <w:r>
              <w:rPr>
                <w:rFonts w:ascii="Arial" w:hAnsi="Arial"/>
                <w:sz w:val="18"/>
              </w:rPr>
              <w:t>2,203.204</w:t>
            </w:r>
          </w:p>
        </w:tc>
        <w:tc>
          <w:tcPr>
            <w:tcW w:type="dxa" w:w="1505"/>
          </w:tcPr>
          <w:p>
            <w:pPr>
              <w:jc w:val="right"/>
            </w:pPr>
            <w:r>
              <w:rPr>
                <w:rFonts w:ascii="Arial" w:hAnsi="Arial"/>
                <w:sz w:val="18"/>
              </w:rPr>
              <w:t>2,125.489</w:t>
            </w:r>
          </w:p>
        </w:tc>
        <w:tc>
          <w:tcPr>
            <w:tcW w:type="dxa" w:w="1505"/>
          </w:tcPr>
          <w:p>
            <w:pPr>
              <w:jc w:val="right"/>
            </w:pPr>
            <w:r>
              <w:rPr>
                <w:rFonts w:ascii="Arial" w:hAnsi="Arial"/>
                <w:sz w:val="18"/>
              </w:rPr>
              <w:t>+77.715</w:t>
            </w:r>
          </w:p>
        </w:tc>
        <w:tc>
          <w:tcPr>
            <w:tcW w:type="dxa" w:w="1505"/>
          </w:tcPr>
          <w:p>
            <w:pPr>
              <w:jc w:val="right"/>
            </w:pPr>
            <w:r>
              <w:rPr>
                <w:rFonts w:ascii="Arial" w:hAnsi="Arial"/>
                <w:sz w:val="18"/>
              </w:rPr>
              <w:t>+3.66%</w:t>
            </w:r>
          </w:p>
        </w:tc>
        <w:tc>
          <w:tcPr>
            <w:tcW w:type="dxa" w:w="1505"/>
          </w:tcPr>
          <w:p>
            <w:r>
              <w:rPr>
                <w:rFonts w:ascii="Arial" w:hAnsi="Arial"/>
                <w:sz w:val="18"/>
              </w:rPr>
              <w:t>↑</w:t>
            </w:r>
          </w:p>
        </w:tc>
      </w:tr>
      <w:tr>
        <w:tc>
          <w:tcPr>
            <w:tcW w:type="dxa" w:w="1505"/>
            <w:shd w:fill="F2F6FC" w:val="clear"/>
          </w:tcPr>
          <w:p>
            <w:r>
              <w:rPr>
                <w:rFonts w:ascii="Arial" w:hAnsi="Arial"/>
                <w:sz w:val="18"/>
              </w:rPr>
              <w:t>Scope 2 (Location-based)</w:t>
            </w:r>
          </w:p>
        </w:tc>
        <w:tc>
          <w:tcPr>
            <w:tcW w:type="dxa" w:w="1505"/>
            <w:shd w:fill="F2F6FC" w:val="clear"/>
          </w:tcPr>
          <w:p>
            <w:pPr>
              <w:jc w:val="right"/>
            </w:pPr>
            <w:r>
              <w:rPr>
                <w:rFonts w:ascii="Arial" w:hAnsi="Arial"/>
                <w:sz w:val="18"/>
              </w:rPr>
              <w:t>44,613.876</w:t>
            </w:r>
          </w:p>
        </w:tc>
        <w:tc>
          <w:tcPr>
            <w:tcW w:type="dxa" w:w="1505"/>
            <w:shd w:fill="F2F6FC" w:val="clear"/>
          </w:tcPr>
          <w:p>
            <w:pPr>
              <w:jc w:val="right"/>
            </w:pPr>
            <w:r>
              <w:rPr>
                <w:rFonts w:ascii="Arial" w:hAnsi="Arial"/>
                <w:sz w:val="18"/>
              </w:rPr>
              <w:t>44,599.440</w:t>
            </w:r>
          </w:p>
        </w:tc>
        <w:tc>
          <w:tcPr>
            <w:tcW w:type="dxa" w:w="1505"/>
            <w:shd w:fill="F2F6FC" w:val="clear"/>
          </w:tcPr>
          <w:p>
            <w:pPr>
              <w:jc w:val="right"/>
            </w:pPr>
            <w:r>
              <w:rPr>
                <w:rFonts w:ascii="Arial" w:hAnsi="Arial"/>
                <w:sz w:val="18"/>
              </w:rPr>
              <w:t>+14.436</w:t>
            </w:r>
          </w:p>
        </w:tc>
        <w:tc>
          <w:tcPr>
            <w:tcW w:type="dxa" w:w="1505"/>
            <w:shd w:fill="F2F6FC" w:val="clear"/>
          </w:tcPr>
          <w:p>
            <w:pPr>
              <w:jc w:val="right"/>
            </w:pPr>
            <w:r>
              <w:rPr>
                <w:rFonts w:ascii="Arial" w:hAnsi="Arial"/>
                <w:sz w:val="18"/>
              </w:rPr>
              <w:t>+0.03%</w:t>
            </w:r>
          </w:p>
        </w:tc>
        <w:tc>
          <w:tcPr>
            <w:tcW w:type="dxa" w:w="1505"/>
            <w:shd w:fill="F2F6FC" w:val="clear"/>
          </w:tcPr>
          <w:p>
            <w:r>
              <w:rPr>
                <w:rFonts w:ascii="Arial" w:hAnsi="Arial"/>
                <w:sz w:val="18"/>
              </w:rPr>
              <w:t>↑</w:t>
            </w:r>
          </w:p>
        </w:tc>
      </w:tr>
      <w:tr>
        <w:tc>
          <w:tcPr>
            <w:tcW w:type="dxa" w:w="1505"/>
          </w:tcPr>
          <w:p>
            <w:r>
              <w:rPr>
                <w:rFonts w:ascii="Arial" w:hAnsi="Arial"/>
                <w:sz w:val="18"/>
              </w:rPr>
              <w:t>Scope 2 (Market-based)</w:t>
            </w:r>
          </w:p>
        </w:tc>
        <w:tc>
          <w:tcPr>
            <w:tcW w:type="dxa" w:w="1505"/>
          </w:tcPr>
          <w:p>
            <w:pPr>
              <w:jc w:val="right"/>
            </w:pPr>
            <w:r>
              <w:rPr>
                <w:rFonts w:ascii="Arial" w:hAnsi="Arial"/>
                <w:sz w:val="18"/>
              </w:rPr>
              <w:t>44,612.518</w:t>
            </w:r>
          </w:p>
        </w:tc>
        <w:tc>
          <w:tcPr>
            <w:tcW w:type="dxa" w:w="1505"/>
          </w:tcPr>
          <w:p>
            <w:pPr>
              <w:jc w:val="right"/>
            </w:pPr>
            <w:r>
              <w:rPr>
                <w:rFonts w:ascii="Arial" w:hAnsi="Arial"/>
                <w:sz w:val="18"/>
              </w:rPr>
              <w:t>44,598.118</w:t>
            </w:r>
          </w:p>
        </w:tc>
        <w:tc>
          <w:tcPr>
            <w:tcW w:type="dxa" w:w="1505"/>
          </w:tcPr>
          <w:p>
            <w:pPr>
              <w:jc w:val="right"/>
            </w:pPr>
            <w:r>
              <w:rPr>
                <w:rFonts w:ascii="Arial" w:hAnsi="Arial"/>
                <w:sz w:val="18"/>
              </w:rPr>
              <w:t>+14.400</w:t>
            </w:r>
          </w:p>
        </w:tc>
        <w:tc>
          <w:tcPr>
            <w:tcW w:type="dxa" w:w="1505"/>
          </w:tcPr>
          <w:p>
            <w:pPr>
              <w:jc w:val="right"/>
            </w:pPr>
            <w:r>
              <w:rPr>
                <w:rFonts w:ascii="Arial" w:hAnsi="Arial"/>
                <w:sz w:val="18"/>
              </w:rPr>
              <w:t>+0.03%</w:t>
            </w:r>
          </w:p>
        </w:tc>
        <w:tc>
          <w:tcPr>
            <w:tcW w:type="dxa" w:w="1505"/>
          </w:tcPr>
          <w:p>
            <w:r>
              <w:rPr>
                <w:rFonts w:ascii="Arial" w:hAnsi="Arial"/>
                <w:sz w:val="18"/>
              </w:rPr>
              <w:t>↑</w:t>
            </w:r>
          </w:p>
        </w:tc>
      </w:tr>
      <w:tr>
        <w:tc>
          <w:tcPr>
            <w:tcW w:type="dxa" w:w="1505"/>
            <w:shd w:fill="F2F6FC" w:val="clear"/>
          </w:tcPr>
          <w:p>
            <w:r>
              <w:rPr>
                <w:rFonts w:ascii="Arial" w:hAnsi="Arial"/>
                <w:sz w:val="18"/>
              </w:rPr>
              <w:t>Total Scope 1+2 (Location)</w:t>
            </w:r>
          </w:p>
        </w:tc>
        <w:tc>
          <w:tcPr>
            <w:tcW w:type="dxa" w:w="1505"/>
            <w:shd w:fill="F2F6FC" w:val="clear"/>
          </w:tcPr>
          <w:p>
            <w:pPr>
              <w:jc w:val="right"/>
            </w:pPr>
            <w:r>
              <w:rPr>
                <w:rFonts w:ascii="Arial" w:hAnsi="Arial"/>
                <w:sz w:val="18"/>
              </w:rPr>
              <w:t>48,016.873</w:t>
            </w:r>
          </w:p>
        </w:tc>
        <w:tc>
          <w:tcPr>
            <w:tcW w:type="dxa" w:w="1505"/>
            <w:shd w:fill="F2F6FC" w:val="clear"/>
          </w:tcPr>
          <w:p>
            <w:pPr>
              <w:jc w:val="right"/>
            </w:pPr>
            <w:r>
              <w:rPr>
                <w:rFonts w:ascii="Arial" w:hAnsi="Arial"/>
                <w:sz w:val="18"/>
              </w:rPr>
              <w:t>47,923.961</w:t>
            </w:r>
          </w:p>
        </w:tc>
        <w:tc>
          <w:tcPr>
            <w:tcW w:type="dxa" w:w="1505"/>
            <w:shd w:fill="F2F6FC" w:val="clear"/>
          </w:tcPr>
          <w:p>
            <w:pPr>
              <w:jc w:val="right"/>
            </w:pPr>
            <w:r>
              <w:rPr>
                <w:rFonts w:ascii="Arial" w:hAnsi="Arial"/>
                <w:sz w:val="18"/>
              </w:rPr>
              <w:t>+92.912</w:t>
            </w:r>
          </w:p>
        </w:tc>
        <w:tc>
          <w:tcPr>
            <w:tcW w:type="dxa" w:w="1505"/>
            <w:shd w:fill="F2F6FC" w:val="clear"/>
          </w:tcPr>
          <w:p>
            <w:pPr>
              <w:jc w:val="right"/>
            </w:pPr>
            <w:r>
              <w:rPr>
                <w:rFonts w:ascii="Arial" w:hAnsi="Arial"/>
                <w:sz w:val="18"/>
              </w:rPr>
              <w:t>+0.19%</w:t>
            </w:r>
          </w:p>
        </w:tc>
        <w:tc>
          <w:tcPr>
            <w:tcW w:type="dxa" w:w="1505"/>
            <w:shd w:fill="F2F6FC" w:val="clear"/>
          </w:tcPr>
          <w:p>
            <w:r>
              <w:rPr>
                <w:rFonts w:ascii="Arial" w:hAnsi="Arial"/>
                <w:sz w:val="18"/>
              </w:rPr>
              <w:t>↑</w:t>
            </w:r>
          </w:p>
        </w:tc>
      </w:tr>
      <w:tr>
        <w:tc>
          <w:tcPr>
            <w:tcW w:type="dxa" w:w="1505"/>
          </w:tcPr>
          <w:p>
            <w:r>
              <w:rPr>
                <w:rFonts w:ascii="Arial" w:hAnsi="Arial"/>
                <w:sz w:val="18"/>
              </w:rPr>
              <w:t>Emission Intensity (tCO₂e/FTE)</w:t>
            </w:r>
          </w:p>
        </w:tc>
        <w:tc>
          <w:tcPr>
            <w:tcW w:type="dxa" w:w="1505"/>
          </w:tcPr>
          <w:p>
            <w:pPr>
              <w:jc w:val="right"/>
            </w:pPr>
            <w:r>
              <w:rPr>
                <w:rFonts w:ascii="Arial" w:hAnsi="Arial"/>
                <w:sz w:val="18"/>
              </w:rPr>
              <w:t>1.9209</w:t>
            </w:r>
          </w:p>
        </w:tc>
        <w:tc>
          <w:tcPr>
            <w:tcW w:type="dxa" w:w="1505"/>
          </w:tcPr>
          <w:p>
            <w:pPr>
              <w:jc w:val="right"/>
            </w:pPr>
            <w:r>
              <w:rPr>
                <w:rFonts w:ascii="Arial" w:hAnsi="Arial"/>
                <w:sz w:val="18"/>
              </w:rPr>
              <w:t>1.9560</w:t>
            </w:r>
          </w:p>
        </w:tc>
        <w:tc>
          <w:tcPr>
            <w:tcW w:type="dxa" w:w="1505"/>
          </w:tcPr>
          <w:p>
            <w:pPr>
              <w:jc w:val="right"/>
            </w:pPr>
            <w:r>
              <w:rPr>
                <w:rFonts w:ascii="Arial" w:hAnsi="Arial"/>
                <w:sz w:val="18"/>
              </w:rPr>
              <w:t>-0.0351</w:t>
            </w:r>
          </w:p>
        </w:tc>
        <w:tc>
          <w:tcPr>
            <w:tcW w:type="dxa" w:w="1505"/>
          </w:tcPr>
          <w:p>
            <w:pPr>
              <w:jc w:val="right"/>
            </w:pPr>
            <w:r>
              <w:rPr>
                <w:rFonts w:ascii="Arial" w:hAnsi="Arial"/>
                <w:sz w:val="18"/>
              </w:rPr>
              <w:t>-1.79%</w:t>
            </w:r>
          </w:p>
        </w:tc>
        <w:tc>
          <w:tcPr>
            <w:tcW w:type="dxa" w:w="1505"/>
          </w:tcPr>
          <w:p>
            <w:r>
              <w:rPr>
                <w:rFonts w:ascii="Arial" w:hAnsi="Arial"/>
                <w:sz w:val="18"/>
              </w:rPr>
              <w:t>↓</w:t>
            </w:r>
          </w:p>
        </w:tc>
      </w:tr>
    </w:tbl>
    <w:p>
      <w:r>
        <w:rPr>
          <w:rFonts w:ascii="Arial" w:hAnsi="Arial"/>
          <w:i/>
          <w:sz w:val="16"/>
        </w:rPr>
        <w:t>Source: Source: Institution's operational GHG inventory 2023-2024. Scope 1 calculated using Indonesia Ministry of Environment emission factors; Scope 2 using Java-Bali grid factor 0.709 tCO₂e/MWh.</w:t>
      </w:r>
    </w:p>
    <w:p/>
    <w:p>
      <w:r>
        <w:rPr>
          <w:rFonts w:ascii="Arial" w:hAnsi="Arial"/>
          <w:b/>
          <w:sz w:val="20"/>
        </w:rPr>
        <w:t>Table 38: Table 1.5.2: Framework Compliance Status — Emission Reduction Disclosure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Gap Description</w:t>
            </w:r>
          </w:p>
        </w:tc>
      </w:tr>
      <w:tr>
        <w:tc>
          <w:tcPr>
            <w:tcW w:type="dxa" w:w="1806"/>
          </w:tcPr>
          <w:p>
            <w:r>
              <w:rPr>
                <w:rFonts w:ascii="Arial" w:hAnsi="Arial"/>
                <w:sz w:val="18"/>
              </w:rPr>
              <w:t>GRI 305-5</w:t>
            </w:r>
          </w:p>
        </w:tc>
        <w:tc>
          <w:tcPr>
            <w:tcW w:type="dxa" w:w="1806"/>
          </w:tcPr>
          <w:p>
            <w:r>
              <w:rPr>
                <w:rFonts w:ascii="Arial" w:hAnsi="Arial"/>
                <w:sz w:val="18"/>
              </w:rPr>
              <w:t>305-5a</w:t>
            </w:r>
          </w:p>
        </w:tc>
        <w:tc>
          <w:tcPr>
            <w:tcW w:type="dxa" w:w="1806"/>
          </w:tcPr>
          <w:p>
            <w:r>
              <w:rPr>
                <w:rFonts w:ascii="Arial" w:hAnsi="Arial"/>
                <w:sz w:val="18"/>
              </w:rPr>
              <w:t>GHG reductions achieved as direct result of reduction initiatives (tCO₂e)</w:t>
            </w:r>
          </w:p>
        </w:tc>
        <w:tc>
          <w:tcPr>
            <w:tcW w:type="dxa" w:w="1806"/>
          </w:tcPr>
          <w:p>
            <w:r>
              <w:rPr>
                <w:rFonts w:ascii="Arial" w:hAnsi="Arial"/>
                <w:sz w:val="18"/>
              </w:rPr>
              <w:t>⚠️ Partial</w:t>
            </w:r>
          </w:p>
        </w:tc>
        <w:tc>
          <w:tcPr>
            <w:tcW w:type="dxa" w:w="1806"/>
          </w:tcPr>
          <w:p>
            <w:r>
              <w:rPr>
                <w:rFonts w:ascii="Arial" w:hAnsi="Arial"/>
                <w:sz w:val="18"/>
              </w:rPr>
              <w:t>YoY changes reported but not attributed to specific initiatives</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305-5b</w:t>
            </w:r>
          </w:p>
        </w:tc>
        <w:tc>
          <w:tcPr>
            <w:tcW w:type="dxa" w:w="1806"/>
            <w:shd w:fill="F2F6FC" w:val="clear"/>
          </w:tcPr>
          <w:p>
            <w:r>
              <w:rPr>
                <w:rFonts w:ascii="Arial" w:hAnsi="Arial"/>
                <w:sz w:val="18"/>
              </w:rPr>
              <w:t>Gases included in calculation (CO₂, CH₄, N₂O, HFCs, PFCs, SF₆, NF₃)</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CO₂ disclosed; other gases not separately quantified</w:t>
            </w:r>
          </w:p>
        </w:tc>
      </w:tr>
      <w:tr>
        <w:tc>
          <w:tcPr>
            <w:tcW w:type="dxa" w:w="1806"/>
          </w:tcPr>
          <w:p>
            <w:r>
              <w:rPr>
                <w:rFonts w:ascii="Arial" w:hAnsi="Arial"/>
                <w:sz w:val="18"/>
              </w:rPr>
              <w:t>GRI 305-5</w:t>
            </w:r>
          </w:p>
        </w:tc>
        <w:tc>
          <w:tcPr>
            <w:tcW w:type="dxa" w:w="1806"/>
          </w:tcPr>
          <w:p>
            <w:r>
              <w:rPr>
                <w:rFonts w:ascii="Arial" w:hAnsi="Arial"/>
                <w:sz w:val="18"/>
              </w:rPr>
              <w:t>305-5c</w:t>
            </w:r>
          </w:p>
        </w:tc>
        <w:tc>
          <w:tcPr>
            <w:tcW w:type="dxa" w:w="1806"/>
          </w:tcPr>
          <w:p>
            <w:r>
              <w:rPr>
                <w:rFonts w:ascii="Arial" w:hAnsi="Arial"/>
                <w:sz w:val="18"/>
              </w:rPr>
              <w:t>Base year or baseline, rationale for selection</w:t>
            </w:r>
          </w:p>
        </w:tc>
        <w:tc>
          <w:tcPr>
            <w:tcW w:type="dxa" w:w="1806"/>
          </w:tcPr>
          <w:p>
            <w:r>
              <w:rPr>
                <w:rFonts w:ascii="Arial" w:hAnsi="Arial"/>
                <w:sz w:val="18"/>
              </w:rPr>
              <w:t>✅ Disclosed</w:t>
            </w:r>
          </w:p>
        </w:tc>
        <w:tc>
          <w:tcPr>
            <w:tcW w:type="dxa" w:w="1806"/>
          </w:tcPr>
          <w:p>
            <w:r>
              <w:rPr>
                <w:rFonts w:ascii="Arial" w:hAnsi="Arial"/>
                <w:sz w:val="18"/>
              </w:rPr>
              <w:t>Base year 2023 established; multi-year baseline pending</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305-5d</w:t>
            </w:r>
          </w:p>
        </w:tc>
        <w:tc>
          <w:tcPr>
            <w:tcW w:type="dxa" w:w="1806"/>
            <w:shd w:fill="F2F6FC" w:val="clear"/>
          </w:tcPr>
          <w:p>
            <w:r>
              <w:rPr>
                <w:rFonts w:ascii="Arial" w:hAnsi="Arial"/>
                <w:sz w:val="18"/>
              </w:rPr>
              <w:t>Scopes in which reductions took place</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Scope 1 and Scope 2 changes reported</w:t>
            </w:r>
          </w:p>
        </w:tc>
      </w:tr>
      <w:tr>
        <w:tc>
          <w:tcPr>
            <w:tcW w:type="dxa" w:w="1806"/>
          </w:tcPr>
          <w:p>
            <w:r>
              <w:rPr>
                <w:rFonts w:ascii="Arial" w:hAnsi="Arial"/>
                <w:sz w:val="18"/>
              </w:rPr>
              <w:t>IFRS S2</w:t>
            </w:r>
          </w:p>
        </w:tc>
        <w:tc>
          <w:tcPr>
            <w:tcW w:type="dxa" w:w="1806"/>
          </w:tcPr>
          <w:p>
            <w:r>
              <w:rPr>
                <w:rFonts w:ascii="Arial" w:hAnsi="Arial"/>
                <w:sz w:val="18"/>
              </w:rPr>
              <w:t>Para 33-36</w:t>
            </w:r>
          </w:p>
        </w:tc>
        <w:tc>
          <w:tcPr>
            <w:tcW w:type="dxa" w:w="1806"/>
          </w:tcPr>
          <w:p>
            <w:r>
              <w:rPr>
                <w:rFonts w:ascii="Arial" w:hAnsi="Arial"/>
                <w:sz w:val="18"/>
              </w:rPr>
              <w:t>Climate-related targets (quantitative, time-bound) and transition plan</w:t>
            </w:r>
          </w:p>
        </w:tc>
        <w:tc>
          <w:tcPr>
            <w:tcW w:type="dxa" w:w="1806"/>
          </w:tcPr>
          <w:p>
            <w:r>
              <w:rPr>
                <w:rFonts w:ascii="Arial" w:hAnsi="Arial"/>
                <w:sz w:val="18"/>
              </w:rPr>
              <w:t>❌ Not Disclosed</w:t>
            </w:r>
          </w:p>
        </w:tc>
        <w:tc>
          <w:tcPr>
            <w:tcW w:type="dxa" w:w="1806"/>
          </w:tcPr>
          <w:p>
            <w:r>
              <w:rPr>
                <w:rFonts w:ascii="Arial" w:hAnsi="Arial"/>
                <w:sz w:val="18"/>
              </w:rPr>
              <w:t>No formal targets or transition plan established</w:t>
            </w:r>
          </w:p>
        </w:tc>
      </w:tr>
      <w:tr>
        <w:tc>
          <w:tcPr>
            <w:tcW w:type="dxa" w:w="1806"/>
            <w:shd w:fill="F2F6FC" w:val="clear"/>
          </w:tcPr>
          <w:p>
            <w:r>
              <w:rPr>
                <w:rFonts w:ascii="Arial" w:hAnsi="Arial"/>
                <w:sz w:val="18"/>
              </w:rPr>
              <w:t>ESRS E1</w:t>
            </w:r>
          </w:p>
        </w:tc>
        <w:tc>
          <w:tcPr>
            <w:tcW w:type="dxa" w:w="1806"/>
            <w:shd w:fill="F2F6FC" w:val="clear"/>
          </w:tcPr>
          <w:p>
            <w:r>
              <w:rPr>
                <w:rFonts w:ascii="Arial" w:hAnsi="Arial"/>
                <w:sz w:val="18"/>
              </w:rPr>
              <w:t>DR E1-4</w:t>
            </w:r>
          </w:p>
        </w:tc>
        <w:tc>
          <w:tcPr>
            <w:tcW w:type="dxa" w:w="1806"/>
            <w:shd w:fill="F2F6FC" w:val="clear"/>
          </w:tcPr>
          <w:p>
            <w:r>
              <w:rPr>
                <w:rFonts w:ascii="Arial" w:hAnsi="Arial"/>
                <w:sz w:val="18"/>
              </w:rPr>
              <w:t>GHG emission reduction targets and decarbonization levers</w:t>
            </w:r>
          </w:p>
        </w:tc>
        <w:tc>
          <w:tcPr>
            <w:tcW w:type="dxa" w:w="1806"/>
            <w:shd w:fill="F2F6FC" w:val="clear"/>
          </w:tcPr>
          <w:p>
            <w:r>
              <w:rPr>
                <w:rFonts w:ascii="Arial" w:hAnsi="Arial"/>
                <w:sz w:val="18"/>
              </w:rPr>
              <w:t>❌ Not Disclosed</w:t>
            </w:r>
          </w:p>
        </w:tc>
        <w:tc>
          <w:tcPr>
            <w:tcW w:type="dxa" w:w="1806"/>
            <w:shd w:fill="F2F6FC" w:val="clear"/>
          </w:tcPr>
          <w:p>
            <w:r>
              <w:rPr>
                <w:rFonts w:ascii="Arial" w:hAnsi="Arial"/>
                <w:sz w:val="18"/>
              </w:rPr>
              <w:t>No targets set; decarbonization levers not systematically identified</w:t>
            </w:r>
          </w:p>
        </w:tc>
      </w:tr>
      <w:tr>
        <w:tc>
          <w:tcPr>
            <w:tcW w:type="dxa" w:w="1806"/>
          </w:tcPr>
          <w:p>
            <w:r>
              <w:rPr>
                <w:rFonts w:ascii="Arial" w:hAnsi="Arial"/>
                <w:sz w:val="18"/>
              </w:rPr>
              <w:t>OJK PSPK</w:t>
            </w:r>
          </w:p>
        </w:tc>
        <w:tc>
          <w:tcPr>
            <w:tcW w:type="dxa" w:w="1806"/>
          </w:tcPr>
          <w:p>
            <w:r>
              <w:rPr>
                <w:rFonts w:ascii="Arial" w:hAnsi="Arial"/>
                <w:sz w:val="18"/>
              </w:rPr>
              <w:t>Target Pengurangan</w:t>
            </w:r>
          </w:p>
        </w:tc>
        <w:tc>
          <w:tcPr>
            <w:tcW w:type="dxa" w:w="1806"/>
          </w:tcPr>
          <w:p>
            <w:r>
              <w:rPr>
                <w:rFonts w:ascii="Arial" w:hAnsi="Arial"/>
                <w:sz w:val="18"/>
              </w:rPr>
              <w:t>Emission reduction targets aligned with SFAP and NDCs</w:t>
            </w:r>
          </w:p>
        </w:tc>
        <w:tc>
          <w:tcPr>
            <w:tcW w:type="dxa" w:w="1806"/>
          </w:tcPr>
          <w:p>
            <w:r>
              <w:rPr>
                <w:rFonts w:ascii="Arial" w:hAnsi="Arial"/>
                <w:sz w:val="18"/>
              </w:rPr>
              <w:t>❌ Not Disclosed</w:t>
            </w:r>
          </w:p>
        </w:tc>
        <w:tc>
          <w:tcPr>
            <w:tcW w:type="dxa" w:w="1806"/>
          </w:tcPr>
          <w:p>
            <w:r>
              <w:rPr>
                <w:rFonts w:ascii="Arial" w:hAnsi="Arial"/>
                <w:sz w:val="18"/>
              </w:rPr>
              <w:t>No targets disclosed in line with OJK expectations</w:t>
            </w:r>
          </w:p>
        </w:tc>
      </w:tr>
    </w:tbl>
    <w:p>
      <w:r>
        <w:rPr>
          <w:rFonts w:ascii="Arial" w:hAnsi="Arial"/>
          <w:i/>
          <w:sz w:val="16"/>
        </w:rPr>
        <w:t>Source: Status legend: ✅ Fully disclosed | ⚠️ Partially disclosed | ❌ Not disclosed. Assessment based on DATA INPUT availability and framework requirements.</w:t>
      </w:r>
    </w:p>
    <w:p/>
    <w:p>
      <w:r>
        <w:rPr>
          <w:rFonts w:ascii="Arial" w:hAnsi="Arial"/>
          <w:b/>
          <w:sz w:val="20"/>
        </w:rPr>
        <w:t>Table 40: Table 1.5.3: Peer Benchmark — Emission Reduction Performance (Indonesian Banking Sector)</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Total Scope 1+2 (tCO₂e)</w:t>
            </w:r>
          </w:p>
        </w:tc>
        <w:tc>
          <w:tcPr>
            <w:tcW w:type="dxa" w:w="1505"/>
            <w:shd w:fill="1B3A6B" w:val="clear"/>
          </w:tcPr>
          <w:p>
            <w:r>
              <w:rPr>
                <w:rFonts w:ascii="Arial" w:hAnsi="Arial"/>
                <w:b/>
                <w:color w:val="FFFFFF"/>
                <w:sz w:val="18"/>
              </w:rPr>
              <w:t>YoY Change (%)</w:t>
            </w:r>
          </w:p>
        </w:tc>
        <w:tc>
          <w:tcPr>
            <w:tcW w:type="dxa" w:w="1505"/>
            <w:shd w:fill="1B3A6B" w:val="clear"/>
          </w:tcPr>
          <w:p>
            <w:r>
              <w:rPr>
                <w:rFonts w:ascii="Arial" w:hAnsi="Arial"/>
                <w:b/>
                <w:color w:val="FFFFFF"/>
                <w:sz w:val="18"/>
              </w:rPr>
              <w:t>Renewable Energy (%)</w:t>
            </w:r>
          </w:p>
        </w:tc>
        <w:tc>
          <w:tcPr>
            <w:tcW w:type="dxa" w:w="1505"/>
            <w:shd w:fill="1B3A6B" w:val="clear"/>
          </w:tcPr>
          <w:p>
            <w:r>
              <w:rPr>
                <w:rFonts w:ascii="Arial" w:hAnsi="Arial"/>
                <w:b/>
                <w:color w:val="FFFFFF"/>
                <w:sz w:val="18"/>
              </w:rPr>
              <w:t>Key Initiatives</w:t>
            </w:r>
          </w:p>
        </w:tc>
        <w:tc>
          <w:tcPr>
            <w:tcW w:type="dxa" w:w="1505"/>
            <w:shd w:fill="1B3A6B" w:val="clear"/>
          </w:tcPr>
          <w:p>
            <w:r>
              <w:rPr>
                <w:rFonts w:ascii="Arial" w:hAnsi="Arial"/>
                <w:b/>
                <w:color w:val="FFFFFF"/>
                <w:sz w:val="18"/>
              </w:rPr>
              <w:t>Target Status</w:t>
            </w:r>
          </w:p>
        </w:tc>
      </w:tr>
      <w:tr>
        <w:tc>
          <w:tcPr>
            <w:tcW w:type="dxa" w:w="1505"/>
          </w:tcPr>
          <w:p>
            <w:r>
              <w:rPr>
                <w:rFonts w:ascii="Arial" w:hAnsi="Arial"/>
                <w:sz w:val="18"/>
              </w:rPr>
              <w:t>DBS Group</w:t>
            </w:r>
          </w:p>
        </w:tc>
        <w:tc>
          <w:tcPr>
            <w:tcW w:type="dxa" w:w="1505"/>
          </w:tcPr>
          <w:p>
            <w:pPr>
              <w:jc w:val="right"/>
            </w:pPr>
            <w:r>
              <w:rPr>
                <w:rFonts w:ascii="Arial" w:hAnsi="Arial"/>
                <w:sz w:val="18"/>
              </w:rPr>
              <w:t>51,003</w:t>
            </w:r>
          </w:p>
        </w:tc>
        <w:tc>
          <w:tcPr>
            <w:tcW w:type="dxa" w:w="1505"/>
          </w:tcPr>
          <w:p>
            <w:pPr>
              <w:jc w:val="right"/>
            </w:pPr>
            <w:r>
              <w:rPr>
                <w:rFonts w:ascii="Arial" w:hAnsi="Arial"/>
                <w:sz w:val="18"/>
              </w:rPr>
              <w:t>-12.0%</w:t>
            </w:r>
          </w:p>
        </w:tc>
        <w:tc>
          <w:tcPr>
            <w:tcW w:type="dxa" w:w="1505"/>
          </w:tcPr>
          <w:p>
            <w:pPr>
              <w:jc w:val="right"/>
            </w:pPr>
            <w:r>
              <w:rPr>
                <w:rFonts w:ascii="Arial" w:hAnsi="Arial"/>
                <w:sz w:val="18"/>
              </w:rPr>
              <w:t>62%</w:t>
            </w:r>
          </w:p>
        </w:tc>
        <w:tc>
          <w:tcPr>
            <w:tcW w:type="dxa" w:w="1505"/>
          </w:tcPr>
          <w:p>
            <w:r>
              <w:rPr>
                <w:rFonts w:ascii="Arial" w:hAnsi="Arial"/>
                <w:sz w:val="18"/>
              </w:rPr>
              <w:t>RE100, internal carbon price $15/tCO₂e, green data centers</w:t>
            </w:r>
          </w:p>
        </w:tc>
        <w:tc>
          <w:tcPr>
            <w:tcW w:type="dxa" w:w="1505"/>
          </w:tcPr>
          <w:p>
            <w:r>
              <w:rPr>
                <w:rFonts w:ascii="Arial" w:hAnsi="Arial"/>
                <w:sz w:val="18"/>
              </w:rPr>
              <w:t>Net Zero 2050 (SBTi)</w:t>
            </w:r>
          </w:p>
        </w:tc>
      </w:tr>
      <w:tr>
        <w:tc>
          <w:tcPr>
            <w:tcW w:type="dxa" w:w="1505"/>
            <w:shd w:fill="F2F6FC" w:val="clear"/>
          </w:tcPr>
          <w:p>
            <w:r>
              <w:rPr>
                <w:rFonts w:ascii="Arial" w:hAnsi="Arial"/>
                <w:sz w:val="18"/>
              </w:rPr>
              <w:t>BRI</w:t>
            </w:r>
          </w:p>
        </w:tc>
        <w:tc>
          <w:tcPr>
            <w:tcW w:type="dxa" w:w="1505"/>
            <w:shd w:fill="F2F6FC" w:val="clear"/>
          </w:tcPr>
          <w:p>
            <w:r>
              <w:rPr>
                <w:rFonts w:ascii="Arial" w:hAnsi="Arial"/>
                <w:sz w:val="18"/>
              </w:rPr>
              <w:t>~97,500</w:t>
            </w:r>
          </w:p>
        </w:tc>
        <w:tc>
          <w:tcPr>
            <w:tcW w:type="dxa" w:w="1505"/>
            <w:shd w:fill="F2F6FC" w:val="clear"/>
          </w:tcPr>
          <w:p>
            <w:pPr>
              <w:jc w:val="right"/>
            </w:pPr>
            <w:r>
              <w:rPr>
                <w:rFonts w:ascii="Arial" w:hAnsi="Arial"/>
                <w:sz w:val="18"/>
              </w:rPr>
              <w:t>-3.2%</w:t>
            </w:r>
          </w:p>
        </w:tc>
        <w:tc>
          <w:tcPr>
            <w:tcW w:type="dxa" w:w="1505"/>
            <w:shd w:fill="F2F6FC" w:val="clear"/>
          </w:tcPr>
          <w:p>
            <w:r>
              <w:rPr>
                <w:rFonts w:ascii="Arial" w:hAnsi="Arial"/>
                <w:sz w:val="18"/>
              </w:rPr>
              <w:t>&lt;1%</w:t>
            </w:r>
          </w:p>
        </w:tc>
        <w:tc>
          <w:tcPr>
            <w:tcW w:type="dxa" w:w="1505"/>
            <w:shd w:fill="F2F6FC" w:val="clear"/>
          </w:tcPr>
          <w:p>
            <w:r>
              <w:rPr>
                <w:rFonts w:ascii="Arial" w:hAnsi="Arial"/>
                <w:sz w:val="18"/>
              </w:rPr>
              <w:t>Green Network (118 EVs), solar panels, Kaseya auto-shutdown, GBCI Gold</w:t>
            </w:r>
          </w:p>
        </w:tc>
        <w:tc>
          <w:tcPr>
            <w:tcW w:type="dxa" w:w="1505"/>
            <w:shd w:fill="F2F6FC" w:val="clear"/>
          </w:tcPr>
          <w:p>
            <w:r>
              <w:rPr>
                <w:rFonts w:ascii="Arial" w:hAnsi="Arial"/>
                <w:sz w:val="18"/>
              </w:rPr>
              <w:t>SBTi committed, 1.75°C by 2040</w:t>
            </w:r>
          </w:p>
        </w:tc>
      </w:tr>
      <w:tr>
        <w:tc>
          <w:tcPr>
            <w:tcW w:type="dxa" w:w="1505"/>
          </w:tcPr>
          <w:p>
            <w:r>
              <w:rPr>
                <w:rFonts w:ascii="Arial" w:hAnsi="Arial"/>
                <w:sz w:val="18"/>
              </w:rPr>
              <w:t>Bank Mandiri</w:t>
            </w:r>
          </w:p>
        </w:tc>
        <w:tc>
          <w:tcPr>
            <w:tcW w:type="dxa" w:w="1505"/>
          </w:tcPr>
          <w:p>
            <w:r>
              <w:rPr>
                <w:rFonts w:ascii="Arial" w:hAnsi="Arial"/>
                <w:sz w:val="18"/>
              </w:rPr>
              <w:t>~70,200</w:t>
            </w:r>
          </w:p>
        </w:tc>
        <w:tc>
          <w:tcPr>
            <w:tcW w:type="dxa" w:w="1505"/>
          </w:tcPr>
          <w:p>
            <w:pPr>
              <w:jc w:val="right"/>
            </w:pPr>
            <w:r>
              <w:rPr>
                <w:rFonts w:ascii="Arial" w:hAnsi="Arial"/>
                <w:sz w:val="18"/>
              </w:rPr>
              <w:t>-5.1%</w:t>
            </w:r>
          </w:p>
        </w:tc>
        <w:tc>
          <w:tcPr>
            <w:tcW w:type="dxa" w:w="1505"/>
          </w:tcPr>
          <w:p>
            <w:r>
              <w:rPr>
                <w:rFonts w:ascii="Arial" w:hAnsi="Arial"/>
                <w:sz w:val="18"/>
              </w:rPr>
              <w:t>&lt;1%</w:t>
            </w:r>
          </w:p>
        </w:tc>
        <w:tc>
          <w:tcPr>
            <w:tcW w:type="dxa" w:w="1505"/>
          </w:tcPr>
          <w:p>
            <w:r>
              <w:rPr>
                <w:rFonts w:ascii="Arial" w:hAnsi="Arial"/>
                <w:sz w:val="18"/>
              </w:rPr>
              <w:t>Solar pilot, EV charging, building efficiency</w:t>
            </w:r>
          </w:p>
        </w:tc>
        <w:tc>
          <w:tcPr>
            <w:tcW w:type="dxa" w:w="1505"/>
          </w:tcPr>
          <w:p>
            <w:r>
              <w:rPr>
                <w:rFonts w:ascii="Arial" w:hAnsi="Arial"/>
                <w:sz w:val="18"/>
              </w:rPr>
              <w:t>Net Zero 2060</w:t>
            </w:r>
          </w:p>
        </w:tc>
      </w:tr>
      <w:tr>
        <w:tc>
          <w:tcPr>
            <w:tcW w:type="dxa" w:w="1505"/>
            <w:shd w:fill="F2F6FC" w:val="clear"/>
          </w:tcPr>
          <w:p>
            <w:r>
              <w:rPr>
                <w:rFonts w:ascii="Arial" w:hAnsi="Arial"/>
                <w:sz w:val="18"/>
              </w:rPr>
              <w:t>BCA</w:t>
            </w:r>
          </w:p>
        </w:tc>
        <w:tc>
          <w:tcPr>
            <w:tcW w:type="dxa" w:w="1505"/>
            <w:shd w:fill="F2F6FC" w:val="clear"/>
          </w:tcPr>
          <w:p>
            <w:r>
              <w:rPr>
                <w:rFonts w:ascii="Arial" w:hAnsi="Arial"/>
                <w:sz w:val="18"/>
              </w:rPr>
              <w:t>~59,800</w:t>
            </w:r>
          </w:p>
        </w:tc>
        <w:tc>
          <w:tcPr>
            <w:tcW w:type="dxa" w:w="1505"/>
            <w:shd w:fill="F2F6FC" w:val="clear"/>
          </w:tcPr>
          <w:p>
            <w:r>
              <w:rPr>
                <w:rFonts w:ascii="Arial" w:hAnsi="Arial"/>
                <w:sz w:val="18"/>
              </w:rPr>
              <w:t>Stable</w:t>
            </w:r>
          </w:p>
        </w:tc>
        <w:tc>
          <w:tcPr>
            <w:tcW w:type="dxa" w:w="1505"/>
            <w:shd w:fill="F2F6FC" w:val="clear"/>
          </w:tcPr>
          <w:p>
            <w:r>
              <w:rPr>
                <w:rFonts w:ascii="Arial" w:hAnsi="Arial"/>
                <w:sz w:val="18"/>
              </w:rPr>
              <w:t>&lt;1%</w:t>
            </w:r>
          </w:p>
        </w:tc>
        <w:tc>
          <w:tcPr>
            <w:tcW w:type="dxa" w:w="1505"/>
            <w:shd w:fill="F2F6FC" w:val="clear"/>
          </w:tcPr>
          <w:p>
            <w:r>
              <w:rPr>
                <w:rFonts w:ascii="Arial" w:hAnsi="Arial"/>
                <w:sz w:val="18"/>
              </w:rPr>
              <w:t>Green office program, exclusion list, climate strategy</w:t>
            </w:r>
          </w:p>
        </w:tc>
        <w:tc>
          <w:tcPr>
            <w:tcW w:type="dxa" w:w="1505"/>
            <w:shd w:fill="F2F6FC" w:val="clear"/>
          </w:tcPr>
          <w:p>
            <w:r>
              <w:rPr>
                <w:rFonts w:ascii="Arial" w:hAnsi="Arial"/>
                <w:sz w:val="18"/>
              </w:rPr>
              <w:t>Developing targets</w:t>
            </w:r>
          </w:p>
        </w:tc>
      </w:tr>
      <w:tr>
        <w:tc>
          <w:tcPr>
            <w:tcW w:type="dxa" w:w="1505"/>
          </w:tcPr>
          <w:p>
            <w:r>
              <w:rPr>
                <w:rFonts w:ascii="Arial" w:hAnsi="Arial"/>
                <w:sz w:val="18"/>
              </w:rPr>
              <w:t>Generic FI (This Institution)</w:t>
            </w:r>
          </w:p>
        </w:tc>
        <w:tc>
          <w:tcPr>
            <w:tcW w:type="dxa" w:w="1505"/>
          </w:tcPr>
          <w:p>
            <w:pPr>
              <w:jc w:val="right"/>
            </w:pPr>
            <w:r>
              <w:rPr>
                <w:rFonts w:ascii="Arial" w:hAnsi="Arial"/>
                <w:sz w:val="18"/>
              </w:rPr>
              <w:t>48,016.873</w:t>
            </w:r>
          </w:p>
        </w:tc>
        <w:tc>
          <w:tcPr>
            <w:tcW w:type="dxa" w:w="1505"/>
          </w:tcPr>
          <w:p>
            <w:pPr>
              <w:jc w:val="right"/>
            </w:pPr>
            <w:r>
              <w:rPr>
                <w:rFonts w:ascii="Arial" w:hAnsi="Arial"/>
                <w:sz w:val="18"/>
              </w:rPr>
              <w:t>-4.07%</w:t>
            </w:r>
          </w:p>
        </w:tc>
        <w:tc>
          <w:tcPr>
            <w:tcW w:type="dxa" w:w="1505"/>
          </w:tcPr>
          <w:p>
            <w:r>
              <w:rPr>
                <w:rFonts w:ascii="Arial" w:hAnsi="Arial"/>
                <w:sz w:val="18"/>
              </w:rPr>
              <w:t>&lt;1%</w:t>
            </w:r>
          </w:p>
        </w:tc>
        <w:tc>
          <w:tcPr>
            <w:tcW w:type="dxa" w:w="1505"/>
          </w:tcPr>
          <w:p>
            <w:r>
              <w:rPr>
                <w:rFonts w:ascii="Arial" w:hAnsi="Arial"/>
                <w:sz w:val="18"/>
              </w:rPr>
              <w:t>LED retrofit, HVAC scheduling (not systematically tracked)</w:t>
            </w:r>
          </w:p>
        </w:tc>
        <w:tc>
          <w:tcPr>
            <w:tcW w:type="dxa" w:w="1505"/>
          </w:tcPr>
          <w:p>
            <w:r>
              <w:rPr>
                <w:rFonts w:ascii="Arial" w:hAnsi="Arial"/>
                <w:sz w:val="18"/>
              </w:rPr>
              <w:t>No formal targets</w:t>
            </w:r>
          </w:p>
        </w:tc>
      </w:tr>
    </w:tbl>
    <w:p>
      <w:r>
        <w:rPr>
          <w:rFonts w:ascii="Arial" w:hAnsi="Arial"/>
          <w:i/>
          <w:sz w:val="16"/>
        </w:rPr>
        <w:t>Source: Source: BRI Sustainability Report 2023, DBS Sustainability Report 2023, Bank Mandiri Sustainability Report 2023, BCA Sustainability Report 2024. Generic FI data from DATA INPUT.</w:t>
      </w:r>
    </w:p>
    <w:p/>
    <w:p>
      <w:r>
        <w:rPr>
          <w:rFonts w:ascii="Arial" w:hAnsi="Arial"/>
          <w:b/>
          <w:sz w:val="20"/>
        </w:rPr>
        <w:t>Table 42: Table 1.5.4: Recommended Reduction Initiatives with Peer References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Initiative Category</w:t>
            </w:r>
          </w:p>
        </w:tc>
        <w:tc>
          <w:tcPr>
            <w:tcW w:type="dxa" w:w="1505"/>
            <w:shd w:fill="1B3A6B" w:val="clear"/>
          </w:tcPr>
          <w:p>
            <w:r>
              <w:rPr>
                <w:rFonts w:ascii="Arial" w:hAnsi="Arial"/>
                <w:b/>
                <w:color w:val="FFFFFF"/>
                <w:sz w:val="18"/>
              </w:rPr>
              <w:t>Specific Action</w:t>
            </w:r>
          </w:p>
        </w:tc>
        <w:tc>
          <w:tcPr>
            <w:tcW w:type="dxa" w:w="1505"/>
            <w:shd w:fill="1B3A6B" w:val="clear"/>
          </w:tcPr>
          <w:p>
            <w:r>
              <w:rPr>
                <w:rFonts w:ascii="Arial" w:hAnsi="Arial"/>
                <w:b/>
                <w:color w:val="FFFFFF"/>
                <w:sz w:val="18"/>
              </w:rPr>
              <w:t>Expected Impact</w:t>
            </w:r>
          </w:p>
        </w:tc>
        <w:tc>
          <w:tcPr>
            <w:tcW w:type="dxa" w:w="1505"/>
            <w:shd w:fill="1B3A6B" w:val="clear"/>
          </w:tcPr>
          <w:p>
            <w:r>
              <w:rPr>
                <w:rFonts w:ascii="Arial" w:hAnsi="Arial"/>
                <w:b/>
                <w:color w:val="FFFFFF"/>
                <w:sz w:val="18"/>
              </w:rPr>
              <w:t>Timeline</w:t>
            </w:r>
          </w:p>
        </w:tc>
        <w:tc>
          <w:tcPr>
            <w:tcW w:type="dxa" w:w="1505"/>
            <w:shd w:fill="1B3A6B" w:val="clear"/>
          </w:tcPr>
          <w:p>
            <w:r>
              <w:rPr>
                <w:rFonts w:ascii="Arial" w:hAnsi="Arial"/>
                <w:b/>
                <w:color w:val="FFFFFF"/>
                <w:sz w:val="18"/>
              </w:rPr>
              <w:t>Peer Reference</w:t>
            </w:r>
          </w:p>
        </w:tc>
        <w:tc>
          <w:tcPr>
            <w:tcW w:type="dxa" w:w="1505"/>
            <w:shd w:fill="1B3A6B" w:val="clear"/>
          </w:tcPr>
          <w:p>
            <w:r>
              <w:rPr>
                <w:rFonts w:ascii="Arial" w:hAnsi="Arial"/>
                <w:b/>
                <w:color w:val="FFFFFF"/>
                <w:sz w:val="18"/>
              </w:rPr>
              <w:t>Estimated Investment (IDR)</w:t>
            </w:r>
          </w:p>
        </w:tc>
      </w:tr>
      <w:tr>
        <w:tc>
          <w:tcPr>
            <w:tcW w:type="dxa" w:w="1505"/>
          </w:tcPr>
          <w:p>
            <w:r>
              <w:rPr>
                <w:rFonts w:ascii="Arial" w:hAnsi="Arial"/>
                <w:sz w:val="18"/>
              </w:rPr>
              <w:t>Short-term (0-12 months)</w:t>
            </w:r>
          </w:p>
        </w:tc>
        <w:tc>
          <w:tcPr>
            <w:tcW w:type="dxa" w:w="1505"/>
          </w:tcPr>
          <w:p>
            <w:r>
              <w:rPr>
                <w:rFonts w:ascii="Arial" w:hAnsi="Arial"/>
                <w:sz w:val="18"/>
              </w:rPr>
              <w:t>Deploy auto-shutdown system for IT infrastructure (servers, workstations)</w:t>
            </w:r>
          </w:p>
        </w:tc>
        <w:tc>
          <w:tcPr>
            <w:tcW w:type="dxa" w:w="1505"/>
          </w:tcPr>
          <w:p>
            <w:r>
              <w:rPr>
                <w:rFonts w:ascii="Arial" w:hAnsi="Arial"/>
                <w:sz w:val="18"/>
              </w:rPr>
              <w:t>3-5% Scope 2 reduction</w:t>
            </w:r>
          </w:p>
        </w:tc>
        <w:tc>
          <w:tcPr>
            <w:tcW w:type="dxa" w:w="1505"/>
          </w:tcPr>
          <w:p>
            <w:r>
              <w:rPr>
                <w:rFonts w:ascii="Arial" w:hAnsi="Arial"/>
                <w:sz w:val="18"/>
              </w:rPr>
              <w:t>Q2 2025</w:t>
            </w:r>
          </w:p>
        </w:tc>
        <w:tc>
          <w:tcPr>
            <w:tcW w:type="dxa" w:w="1505"/>
          </w:tcPr>
          <w:p>
            <w:r>
              <w:rPr>
                <w:rFonts w:ascii="Arial" w:hAnsi="Arial"/>
                <w:sz w:val="18"/>
              </w:rPr>
              <w:t>BRI Kaseya program</w:t>
            </w:r>
          </w:p>
        </w:tc>
        <w:tc>
          <w:tcPr>
            <w:tcW w:type="dxa" w:w="1505"/>
          </w:tcPr>
          <w:p>
            <w:r>
              <w:rPr>
                <w:rFonts w:ascii="Arial" w:hAnsi="Arial"/>
                <w:sz w:val="18"/>
              </w:rPr>
              <w:t>500 million - 1 billion</w:t>
            </w:r>
          </w:p>
        </w:tc>
      </w:tr>
      <w:tr>
        <w:tc>
          <w:tcPr>
            <w:tcW w:type="dxa" w:w="1505"/>
            <w:shd w:fill="F2F6FC" w:val="clear"/>
          </w:tcPr>
          <w:p>
            <w:r>
              <w:rPr>
                <w:rFonts w:ascii="Arial" w:hAnsi="Arial"/>
                <w:sz w:val="18"/>
              </w:rPr>
              <w:t>Short-term</w:t>
            </w:r>
          </w:p>
        </w:tc>
        <w:tc>
          <w:tcPr>
            <w:tcW w:type="dxa" w:w="1505"/>
            <w:shd w:fill="F2F6FC" w:val="clear"/>
          </w:tcPr>
          <w:p>
            <w:r>
              <w:rPr>
                <w:rFonts w:ascii="Arial" w:hAnsi="Arial"/>
                <w:sz w:val="18"/>
              </w:rPr>
              <w:t>Switch backup generators to biodiesel B35+ at top 10 facilities</w:t>
            </w:r>
          </w:p>
        </w:tc>
        <w:tc>
          <w:tcPr>
            <w:tcW w:type="dxa" w:w="1505"/>
            <w:shd w:fill="F2F6FC" w:val="clear"/>
          </w:tcPr>
          <w:p>
            <w:r>
              <w:rPr>
                <w:rFonts w:ascii="Arial" w:hAnsi="Arial"/>
                <w:sz w:val="18"/>
              </w:rPr>
              <w:t>15-20% Scope 1 diesel reduction</w:t>
            </w:r>
          </w:p>
        </w:tc>
        <w:tc>
          <w:tcPr>
            <w:tcW w:type="dxa" w:w="1505"/>
            <w:shd w:fill="F2F6FC" w:val="clear"/>
          </w:tcPr>
          <w:p>
            <w:r>
              <w:rPr>
                <w:rFonts w:ascii="Arial" w:hAnsi="Arial"/>
                <w:sz w:val="18"/>
              </w:rPr>
              <w:t>Q3 2025</w:t>
            </w:r>
          </w:p>
        </w:tc>
        <w:tc>
          <w:tcPr>
            <w:tcW w:type="dxa" w:w="1505"/>
            <w:shd w:fill="F2F6FC" w:val="clear"/>
          </w:tcPr>
          <w:p>
            <w:r>
              <w:rPr>
                <w:rFonts w:ascii="Arial" w:hAnsi="Arial"/>
                <w:sz w:val="18"/>
              </w:rPr>
              <w:t>General best practice (Indonesia B35 mandate)</w:t>
            </w:r>
          </w:p>
        </w:tc>
        <w:tc>
          <w:tcPr>
            <w:tcW w:type="dxa" w:w="1505"/>
            <w:shd w:fill="F2F6FC" w:val="clear"/>
          </w:tcPr>
          <w:p>
            <w:r>
              <w:rPr>
                <w:rFonts w:ascii="Arial" w:hAnsi="Arial"/>
                <w:sz w:val="18"/>
              </w:rPr>
              <w:t>200 million - 400 million</w:t>
            </w:r>
          </w:p>
        </w:tc>
      </w:tr>
      <w:tr>
        <w:tc>
          <w:tcPr>
            <w:tcW w:type="dxa" w:w="1505"/>
          </w:tcPr>
          <w:p>
            <w:r>
              <w:rPr>
                <w:rFonts w:ascii="Arial" w:hAnsi="Arial"/>
                <w:sz w:val="18"/>
              </w:rPr>
              <w:t>Medium-term (12-24 months)</w:t>
            </w:r>
          </w:p>
        </w:tc>
        <w:tc>
          <w:tcPr>
            <w:tcW w:type="dxa" w:w="1505"/>
          </w:tcPr>
          <w:p>
            <w:r>
              <w:rPr>
                <w:rFonts w:ascii="Arial" w:hAnsi="Arial"/>
                <w:sz w:val="18"/>
              </w:rPr>
              <w:t>Install solar panels + battery storage at FAC-0197, FAC-0198, FAC-0200</w:t>
            </w:r>
          </w:p>
        </w:tc>
        <w:tc>
          <w:tcPr>
            <w:tcW w:type="dxa" w:w="1505"/>
          </w:tcPr>
          <w:p>
            <w:r>
              <w:rPr>
                <w:rFonts w:ascii="Arial" w:hAnsi="Arial"/>
                <w:sz w:val="18"/>
              </w:rPr>
              <w:t>8-12% Scope 2 reduction</w:t>
            </w:r>
          </w:p>
        </w:tc>
        <w:tc>
          <w:tcPr>
            <w:tcW w:type="dxa" w:w="1505"/>
          </w:tcPr>
          <w:p>
            <w:r>
              <w:rPr>
                <w:rFonts w:ascii="Arial" w:hAnsi="Arial"/>
                <w:sz w:val="18"/>
              </w:rPr>
              <w:t>Q4 2025</w:t>
            </w:r>
          </w:p>
        </w:tc>
        <w:tc>
          <w:tcPr>
            <w:tcW w:type="dxa" w:w="1505"/>
          </w:tcPr>
          <w:p>
            <w:r>
              <w:rPr>
                <w:rFonts w:ascii="Arial" w:hAnsi="Arial"/>
                <w:sz w:val="18"/>
              </w:rPr>
              <w:t>BRI Green Network (19.49% savings)</w:t>
            </w:r>
          </w:p>
        </w:tc>
        <w:tc>
          <w:tcPr>
            <w:tcW w:type="dxa" w:w="1505"/>
          </w:tcPr>
          <w:p>
            <w:r>
              <w:rPr>
                <w:rFonts w:ascii="Arial" w:hAnsi="Arial"/>
                <w:sz w:val="18"/>
              </w:rPr>
              <w:t>8 billion - 12 billion</w:t>
            </w:r>
          </w:p>
        </w:tc>
      </w:tr>
      <w:tr>
        <w:tc>
          <w:tcPr>
            <w:tcW w:type="dxa" w:w="1505"/>
            <w:shd w:fill="F2F6FC" w:val="clear"/>
          </w:tcPr>
          <w:p>
            <w:r>
              <w:rPr>
                <w:rFonts w:ascii="Arial" w:hAnsi="Arial"/>
                <w:sz w:val="18"/>
              </w:rPr>
              <w:t>Medium-term</w:t>
            </w:r>
          </w:p>
        </w:tc>
        <w:tc>
          <w:tcPr>
            <w:tcW w:type="dxa" w:w="1505"/>
            <w:shd w:fill="F2F6FC" w:val="clear"/>
          </w:tcPr>
          <w:p>
            <w:r>
              <w:rPr>
                <w:rFonts w:ascii="Arial" w:hAnsi="Arial"/>
                <w:sz w:val="18"/>
              </w:rPr>
              <w:t>Convert 30% of fleet vehicles to electric (priority: high-mileage units)</w:t>
            </w:r>
          </w:p>
        </w:tc>
        <w:tc>
          <w:tcPr>
            <w:tcW w:type="dxa" w:w="1505"/>
            <w:shd w:fill="F2F6FC" w:val="clear"/>
          </w:tcPr>
          <w:p>
            <w:r>
              <w:rPr>
                <w:rFonts w:ascii="Arial" w:hAnsi="Arial"/>
                <w:sz w:val="18"/>
              </w:rPr>
              <w:t>25-30% Scope 1 diesel reduction</w:t>
            </w:r>
          </w:p>
        </w:tc>
        <w:tc>
          <w:tcPr>
            <w:tcW w:type="dxa" w:w="1505"/>
            <w:shd w:fill="F2F6FC" w:val="clear"/>
          </w:tcPr>
          <w:p>
            <w:r>
              <w:rPr>
                <w:rFonts w:ascii="Arial" w:hAnsi="Arial"/>
                <w:sz w:val="18"/>
              </w:rPr>
              <w:t>Q2 2026</w:t>
            </w:r>
          </w:p>
        </w:tc>
        <w:tc>
          <w:tcPr>
            <w:tcW w:type="dxa" w:w="1505"/>
            <w:shd w:fill="F2F6FC" w:val="clear"/>
          </w:tcPr>
          <w:p>
            <w:r>
              <w:rPr>
                <w:rFonts w:ascii="Arial" w:hAnsi="Arial"/>
                <w:sz w:val="18"/>
              </w:rPr>
              <w:t>BRI 118 EVs + 150 e-bikes</w:t>
            </w:r>
          </w:p>
        </w:tc>
        <w:tc>
          <w:tcPr>
            <w:tcW w:type="dxa" w:w="1505"/>
            <w:shd w:fill="F2F6FC" w:val="clear"/>
          </w:tcPr>
          <w:p>
            <w:r>
              <w:rPr>
                <w:rFonts w:ascii="Arial" w:hAnsi="Arial"/>
                <w:sz w:val="18"/>
              </w:rPr>
              <w:t>15 billion - 25 billion</w:t>
            </w:r>
          </w:p>
        </w:tc>
      </w:tr>
      <w:tr>
        <w:tc>
          <w:tcPr>
            <w:tcW w:type="dxa" w:w="1505"/>
          </w:tcPr>
          <w:p>
            <w:r>
              <w:rPr>
                <w:rFonts w:ascii="Arial" w:hAnsi="Arial"/>
                <w:sz w:val="18"/>
              </w:rPr>
              <w:t>Medium-term</w:t>
            </w:r>
          </w:p>
        </w:tc>
        <w:tc>
          <w:tcPr>
            <w:tcW w:type="dxa" w:w="1505"/>
          </w:tcPr>
          <w:p>
            <w:r>
              <w:rPr>
                <w:rFonts w:ascii="Arial" w:hAnsi="Arial"/>
                <w:sz w:val="18"/>
              </w:rPr>
              <w:t>Pursue green building certification (GBCI/LEED) for headquarters</w:t>
            </w:r>
          </w:p>
        </w:tc>
        <w:tc>
          <w:tcPr>
            <w:tcW w:type="dxa" w:w="1505"/>
          </w:tcPr>
          <w:p>
            <w:r>
              <w:rPr>
                <w:rFonts w:ascii="Arial" w:hAnsi="Arial"/>
                <w:sz w:val="18"/>
              </w:rPr>
              <w:t>10-15% Scope 2 reduction</w:t>
            </w:r>
          </w:p>
        </w:tc>
        <w:tc>
          <w:tcPr>
            <w:tcW w:type="dxa" w:w="1505"/>
          </w:tcPr>
          <w:p>
            <w:r>
              <w:rPr>
                <w:rFonts w:ascii="Arial" w:hAnsi="Arial"/>
                <w:sz w:val="18"/>
              </w:rPr>
              <w:t>Q4 2026</w:t>
            </w:r>
          </w:p>
        </w:tc>
        <w:tc>
          <w:tcPr>
            <w:tcW w:type="dxa" w:w="1505"/>
          </w:tcPr>
          <w:p>
            <w:r>
              <w:rPr>
                <w:rFonts w:ascii="Arial" w:hAnsi="Arial"/>
                <w:sz w:val="18"/>
              </w:rPr>
              <w:t>BRI BRILiaN Tower (Gold GBCI)</w:t>
            </w:r>
          </w:p>
        </w:tc>
        <w:tc>
          <w:tcPr>
            <w:tcW w:type="dxa" w:w="1505"/>
          </w:tcPr>
          <w:p>
            <w:r>
              <w:rPr>
                <w:rFonts w:ascii="Arial" w:hAnsi="Arial"/>
                <w:sz w:val="18"/>
              </w:rPr>
              <w:t>3 billion - 5 billion</w:t>
            </w:r>
          </w:p>
        </w:tc>
      </w:tr>
      <w:tr>
        <w:tc>
          <w:tcPr>
            <w:tcW w:type="dxa" w:w="1505"/>
            <w:shd w:fill="F2F6FC" w:val="clear"/>
          </w:tcPr>
          <w:p>
            <w:r>
              <w:rPr>
                <w:rFonts w:ascii="Arial" w:hAnsi="Arial"/>
                <w:sz w:val="18"/>
              </w:rPr>
              <w:t>Long-term (24-36 months)</w:t>
            </w:r>
          </w:p>
        </w:tc>
        <w:tc>
          <w:tcPr>
            <w:tcW w:type="dxa" w:w="1505"/>
            <w:shd w:fill="F2F6FC" w:val="clear"/>
          </w:tcPr>
          <w:p>
            <w:r>
              <w:rPr>
                <w:rFonts w:ascii="Arial" w:hAnsi="Arial"/>
                <w:sz w:val="18"/>
              </w:rPr>
              <w:t>Establish Power Purchase Agreement (PPA) for renewable energy</w:t>
            </w:r>
          </w:p>
        </w:tc>
        <w:tc>
          <w:tcPr>
            <w:tcW w:type="dxa" w:w="1505"/>
            <w:shd w:fill="F2F6FC" w:val="clear"/>
          </w:tcPr>
          <w:p>
            <w:r>
              <w:rPr>
                <w:rFonts w:ascii="Arial" w:hAnsi="Arial"/>
                <w:sz w:val="18"/>
              </w:rPr>
              <w:t>30-50% Scope 2 reduction</w:t>
            </w:r>
          </w:p>
        </w:tc>
        <w:tc>
          <w:tcPr>
            <w:tcW w:type="dxa" w:w="1505"/>
            <w:shd w:fill="F2F6FC" w:val="clear"/>
          </w:tcPr>
          <w:p>
            <w:r>
              <w:rPr>
                <w:rFonts w:ascii="Arial" w:hAnsi="Arial"/>
                <w:sz w:val="18"/>
              </w:rPr>
              <w:t>Q4 2026</w:t>
            </w:r>
          </w:p>
        </w:tc>
        <w:tc>
          <w:tcPr>
            <w:tcW w:type="dxa" w:w="1505"/>
            <w:shd w:fill="F2F6FC" w:val="clear"/>
          </w:tcPr>
          <w:p>
            <w:r>
              <w:rPr>
                <w:rFonts w:ascii="Arial" w:hAnsi="Arial"/>
                <w:sz w:val="18"/>
              </w:rPr>
              <w:t>DBS RE100 (62% renewable)</w:t>
            </w:r>
          </w:p>
        </w:tc>
        <w:tc>
          <w:tcPr>
            <w:tcW w:type="dxa" w:w="1505"/>
            <w:shd w:fill="F2F6FC" w:val="clear"/>
          </w:tcPr>
          <w:p>
            <w:r>
              <w:rPr>
                <w:rFonts w:ascii="Arial" w:hAnsi="Arial"/>
                <w:sz w:val="18"/>
              </w:rPr>
              <w:t>Contractual (no upfront capex)</w:t>
            </w:r>
          </w:p>
        </w:tc>
      </w:tr>
      <w:tr>
        <w:tc>
          <w:tcPr>
            <w:tcW w:type="dxa" w:w="1505"/>
          </w:tcPr>
          <w:p>
            <w:r>
              <w:rPr>
                <w:rFonts w:ascii="Arial" w:hAnsi="Arial"/>
                <w:sz w:val="18"/>
              </w:rPr>
              <w:t>Long-term</w:t>
            </w:r>
          </w:p>
        </w:tc>
        <w:tc>
          <w:tcPr>
            <w:tcW w:type="dxa" w:w="1505"/>
          </w:tcPr>
          <w:p>
            <w:r>
              <w:rPr>
                <w:rFonts w:ascii="Arial" w:hAnsi="Arial"/>
                <w:sz w:val="18"/>
              </w:rPr>
              <w:t>Submit Science-Based Targets initiative (SBTi) commitment letter</w:t>
            </w:r>
          </w:p>
        </w:tc>
        <w:tc>
          <w:tcPr>
            <w:tcW w:type="dxa" w:w="1505"/>
          </w:tcPr>
          <w:p>
            <w:r>
              <w:rPr>
                <w:rFonts w:ascii="Arial" w:hAnsi="Arial"/>
                <w:sz w:val="18"/>
              </w:rPr>
              <w:t>Framework for 1.5°C alignment</w:t>
            </w:r>
          </w:p>
        </w:tc>
        <w:tc>
          <w:tcPr>
            <w:tcW w:type="dxa" w:w="1505"/>
          </w:tcPr>
          <w:p>
            <w:r>
              <w:rPr>
                <w:rFonts w:ascii="Arial" w:hAnsi="Arial"/>
                <w:sz w:val="18"/>
              </w:rPr>
              <w:t>Q2 2026</w:t>
            </w:r>
          </w:p>
        </w:tc>
        <w:tc>
          <w:tcPr>
            <w:tcW w:type="dxa" w:w="1505"/>
          </w:tcPr>
          <w:p>
            <w:r>
              <w:rPr>
                <w:rFonts w:ascii="Arial" w:hAnsi="Arial"/>
                <w:sz w:val="18"/>
              </w:rPr>
              <w:t>BRI (first Indonesian FI)</w:t>
            </w:r>
          </w:p>
        </w:tc>
        <w:tc>
          <w:tcPr>
            <w:tcW w:type="dxa" w:w="1505"/>
          </w:tcPr>
          <w:p>
            <w:r>
              <w:rPr>
                <w:rFonts w:ascii="Arial" w:hAnsi="Arial"/>
                <w:sz w:val="18"/>
              </w:rPr>
              <w:t>50 million - 100 million (consulting)</w:t>
            </w:r>
          </w:p>
        </w:tc>
      </w:tr>
      <w:tr>
        <w:tc>
          <w:tcPr>
            <w:tcW w:type="dxa" w:w="1505"/>
            <w:shd w:fill="F2F6FC" w:val="clear"/>
          </w:tcPr>
          <w:p>
            <w:r>
              <w:rPr>
                <w:rFonts w:ascii="Arial" w:hAnsi="Arial"/>
                <w:sz w:val="18"/>
              </w:rPr>
              <w:t>Long-term</w:t>
            </w:r>
          </w:p>
        </w:tc>
        <w:tc>
          <w:tcPr>
            <w:tcW w:type="dxa" w:w="1505"/>
            <w:shd w:fill="F2F6FC" w:val="clear"/>
          </w:tcPr>
          <w:p>
            <w:r>
              <w:rPr>
                <w:rFonts w:ascii="Arial" w:hAnsi="Arial"/>
                <w:sz w:val="18"/>
              </w:rPr>
              <w:t>Implement internal carbon price ($10-15/tCO₂e) for investment decisions</w:t>
            </w:r>
          </w:p>
        </w:tc>
        <w:tc>
          <w:tcPr>
            <w:tcW w:type="dxa" w:w="1505"/>
            <w:shd w:fill="F2F6FC" w:val="clear"/>
          </w:tcPr>
          <w:p>
            <w:r>
              <w:rPr>
                <w:rFonts w:ascii="Arial" w:hAnsi="Arial"/>
                <w:sz w:val="18"/>
              </w:rPr>
              <w:t>Behavioral shift toward low-carbon projects</w:t>
            </w:r>
          </w:p>
        </w:tc>
        <w:tc>
          <w:tcPr>
            <w:tcW w:type="dxa" w:w="1505"/>
            <w:shd w:fill="F2F6FC" w:val="clear"/>
          </w:tcPr>
          <w:p>
            <w:r>
              <w:rPr>
                <w:rFonts w:ascii="Arial" w:hAnsi="Arial"/>
                <w:sz w:val="18"/>
              </w:rPr>
              <w:t>Q3 2026</w:t>
            </w:r>
          </w:p>
        </w:tc>
        <w:tc>
          <w:tcPr>
            <w:tcW w:type="dxa" w:w="1505"/>
            <w:shd w:fill="F2F6FC" w:val="clear"/>
          </w:tcPr>
          <w:p>
            <w:r>
              <w:rPr>
                <w:rFonts w:ascii="Arial" w:hAnsi="Arial"/>
                <w:sz w:val="18"/>
              </w:rPr>
              <w:t>DBS $15/tCO₂e</w:t>
            </w:r>
          </w:p>
        </w:tc>
        <w:tc>
          <w:tcPr>
            <w:tcW w:type="dxa" w:w="1505"/>
            <w:shd w:fill="F2F6FC" w:val="clear"/>
          </w:tcPr>
          <w:p>
            <w:r>
              <w:rPr>
                <w:rFonts w:ascii="Arial" w:hAnsi="Arial"/>
                <w:sz w:val="18"/>
              </w:rPr>
              <w:t>Minimal (policy implementation)</w:t>
            </w:r>
          </w:p>
        </w:tc>
      </w:tr>
    </w:tbl>
    <w:p>
      <w:r>
        <w:rPr>
          <w:rFonts w:ascii="Arial" w:hAnsi="Arial"/>
          <w:i/>
          <w:sz w:val="16"/>
        </w:rPr>
        <w:t>Source: Expected impacts are estimates based on peer bank achievements and industry benchmarks. Actual results depend on facility characteristics and implementation quality. Investment estimates are order-of-magnitude ranges for planning purposes.</w:t>
      </w:r>
    </w:p>
    <w:p/>
    <w:p/>
    <w:p>
      <w:r>
        <w:drawing>
          <wp:inline xmlns:a="http://schemas.openxmlformats.org/drawingml/2006/main" xmlns:pic="http://schemas.openxmlformats.org/drawingml/2006/picture">
            <wp:extent cx="5029200" cy="2962199"/>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2962199"/>
                    </a:xfrm>
                    <a:prstGeom prst="rect"/>
                  </pic:spPr>
                </pic:pic>
              </a:graphicData>
            </a:graphic>
          </wp:inline>
        </w:drawing>
      </w:r>
    </w:p>
    <w:p>
      <w:pPr>
        <w:jc w:val="center"/>
      </w:pPr>
      <w:r>
        <w:rPr>
          <w:i/>
          <w:color w:val="666666"/>
          <w:sz w:val="18"/>
        </w:rPr>
        <w:t>Figure 18: Scope 1 Emission Sources (2024)</w:t>
      </w:r>
    </w:p>
    <w:p>
      <w:pPr>
        <w:jc w:val="center"/>
      </w:pPr>
      <w:r>
        <w:rPr>
          <w:i/>
          <w:color w:val="757575"/>
          <w:sz w:val="18"/>
        </w:rPr>
        <w:t>Diesel dominates at 64.7% of Scope 1 emissions — primary lever for reduction via solar+battery systems and biodiesel transition. Natural gas (35.3%) remained stable YoY.</w:t>
      </w:r>
    </w:p>
    <w:p/>
    <w:p>
      <w:r>
        <w:drawing>
          <wp:inline xmlns:a="http://schemas.openxmlformats.org/drawingml/2006/main" xmlns:pic="http://schemas.openxmlformats.org/drawingml/2006/picture">
            <wp:extent cx="5029200" cy="3332057"/>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332057"/>
                    </a:xfrm>
                    <a:prstGeom prst="rect"/>
                  </pic:spPr>
                </pic:pic>
              </a:graphicData>
            </a:graphic>
          </wp:inline>
        </w:drawing>
      </w:r>
    </w:p>
    <w:p>
      <w:pPr>
        <w:jc w:val="center"/>
      </w:pPr>
      <w:r>
        <w:rPr>
          <w:i/>
          <w:color w:val="666666"/>
          <w:sz w:val="18"/>
        </w:rPr>
        <w:t>Figure 19: Year-over-Year Emission Changes by Scope (2023-2024)</w:t>
      </w:r>
    </w:p>
    <w:p>
      <w:pPr>
        <w:jc w:val="center"/>
      </w:pPr>
      <w:r>
        <w:rPr>
          <w:i/>
          <w:color w:val="757575"/>
          <w:sz w:val="18"/>
        </w:rPr>
        <w:t>Scope 1 increased 2.36% while Scope 2 remained flat (+0.03%) — total reduction of 4.07% is modest compared to peer achievements of 3-12%. Intensity improvement (-1.79%) driven by headcount growth.</w:t>
      </w:r>
    </w:p>
    <w:p/>
    <w:p>
      <w:r>
        <w:drawing>
          <wp:inline xmlns:a="http://schemas.openxmlformats.org/drawingml/2006/main" xmlns:pic="http://schemas.openxmlformats.org/drawingml/2006/picture">
            <wp:extent cx="5029200" cy="2944532"/>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2944532"/>
                    </a:xfrm>
                    <a:prstGeom prst="rect"/>
                  </pic:spPr>
                </pic:pic>
              </a:graphicData>
            </a:graphic>
          </wp:inline>
        </w:drawing>
      </w:r>
    </w:p>
    <w:p>
      <w:pPr>
        <w:jc w:val="center"/>
      </w:pPr>
      <w:r>
        <w:rPr>
          <w:i/>
          <w:color w:val="666666"/>
          <w:sz w:val="18"/>
        </w:rPr>
        <w:t>Figure 20: Peer Benchmark: YoY Emission Reduction Performance (2023-2024)</w:t>
      </w:r>
    </w:p>
    <w:p>
      <w:pPr>
        <w:jc w:val="center"/>
      </w:pPr>
      <w:r>
        <w:rPr>
          <w:i/>
          <w:color w:val="757575"/>
          <w:sz w:val="18"/>
        </w:rPr>
        <w:t>DBS leads with 12% reduction via RE100 program; Generic FI's 4.07% reduction lags peer median of 5.1%. Gap widens without structured reduction initiatives.</w:t>
      </w:r>
    </w:p>
    <w:p/>
    <w:p>
      <w:r>
        <w:drawing>
          <wp:inline xmlns:a="http://schemas.openxmlformats.org/drawingml/2006/main" xmlns:pic="http://schemas.openxmlformats.org/drawingml/2006/picture">
            <wp:extent cx="5029200" cy="3343340"/>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343340"/>
                    </a:xfrm>
                    <a:prstGeom prst="rect"/>
                  </pic:spPr>
                </pic:pic>
              </a:graphicData>
            </a:graphic>
          </wp:inline>
        </w:drawing>
      </w:r>
    </w:p>
    <w:p>
      <w:pPr>
        <w:jc w:val="center"/>
      </w:pPr>
      <w:r>
        <w:rPr>
          <w:i/>
          <w:color w:val="666666"/>
          <w:sz w:val="18"/>
        </w:rPr>
        <w:t>Figure 21: Top 10 Scope 1 Emission Facilities (2024)</w:t>
      </w:r>
    </w:p>
    <w:p>
      <w:pPr>
        <w:jc w:val="center"/>
      </w:pPr>
      <w:r>
        <w:rPr>
          <w:i/>
          <w:color w:val="757575"/>
          <w:sz w:val="18"/>
        </w:rPr>
        <w:t>Top 10 facilities contribute 30.2% of total Scope 1 emissions — priority targets for solar+battery installations and diesel phase-out programs.</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emission profile reveals three structural issues: (1) diesel-intensive Scope 1 operations with 64.7% contribution from backup generators and fleet vehicles, increasing 3.66% year-over-year; (2) zero renewable energy procurement despite 92.9% of emissions originating from Scope 2 electricity consumption; and (3) absence of formal reduction targets or systematic initiative tracking, preventing attribution of the observed 4.07% total reduction to specific programs. The 2.36% Scope 1 increase contradicts peer trends (BRI -3.2%, DBS -12%, Mandiri -5.1%), indicating operational inefficiency or expansion without corresponding emission controls.</w:t>
            </w:r>
          </w:p>
          <w:p>
            <w:r>
              <w:rPr>
                <w:b/>
                <w:sz w:val="20"/>
              </w:rPr>
              <w:t>Root Causes:</w:t>
            </w:r>
          </w:p>
          <w:p>
            <w:r>
              <w:rPr>
                <w:sz w:val="18"/>
              </w:rPr>
              <w:t>• Over-reliance on diesel backup generators at facilities without grid stability or solar+battery alternatives, contributing 2203.2044 tCO₂e (64.7% of Scope 1)</w:t>
            </w:r>
          </w:p>
          <w:p>
            <w:r>
              <w:rPr>
                <w:sz w:val="18"/>
              </w:rPr>
              <w:t>• Zero renewable energy procurement via PPAs or RECs, resulting in 100% grid electricity exposure and missed Scope 2 reduction opportunities available to peers (DBS 62% renewable)</w:t>
            </w:r>
          </w:p>
          <w:p>
            <w:r>
              <w:rPr>
                <w:sz w:val="18"/>
              </w:rPr>
              <w:t>• Absence of structured reduction program with quantified initiatives, preventing systematic tracking and continuous improvement (contrast with BRI's Green Network achieving 19.49% savings)</w:t>
            </w:r>
          </w:p>
          <w:p>
            <w:r>
              <w:rPr>
                <w:sz w:val="18"/>
              </w:rPr>
              <w:t>• No science-based targets or net-zero commitment, creating strategic misalignment with Indonesia's NDCs, OJK SEOJK 16/2021 expectations, and investor climate risk assessment frameworks</w:t>
            </w:r>
          </w:p>
          <w:p>
            <w:r>
              <w:rPr>
                <w:b/>
                <w:sz w:val="20"/>
              </w:rPr>
              <w:t>Risk Implications:</w:t>
            </w:r>
          </w:p>
          <w:p>
            <w:r>
              <w:rPr>
                <w:sz w:val="18"/>
              </w:rPr>
              <w:t>• Regulatory risk: OJK SEOJK 16/2021 requires financial institutions to integrate climate risk into business strategy; absence of targets may trigger supervisory scrutiny or disclosure enforcement actions</w:t>
            </w:r>
          </w:p>
          <w:p>
            <w:r>
              <w:rPr>
                <w:sz w:val="18"/>
              </w:rPr>
              <w:t>• Reputational risk: Peer institutions (BRI SBTi commitment, DBS net-zero 2050) are establishing climate leadership; performance gap may impact ESG ratings (MSCI, Sustainalytics) and institutional investor allocation decisions</w:t>
            </w:r>
          </w:p>
          <w:p>
            <w:r>
              <w:rPr>
                <w:sz w:val="18"/>
              </w:rPr>
              <w:t>• Financial risk: Diesel price volatility and potential carbon pricing mechanisms (Indonesia carbon market development) create unhedged cost exposure; renewable energy PPAs provide long-term price certainty</w:t>
            </w:r>
          </w:p>
          <w:p>
            <w:r>
              <w:rPr>
                <w:sz w:val="18"/>
              </w:rPr>
              <w:t>• Competitive risk: Green financing products and sustainability-linked loans require credible institutional climate credentials; absence of targets may limit product development and market positioning</w:t>
            </w:r>
          </w:p>
        </w:tc>
      </w:tr>
    </w:tbl>
    <w:p/>
    <w:p/>
    <w:p>
      <w:r>
        <w:rPr>
          <w:b/>
          <w:color w:val="2E7D32"/>
          <w:sz w:val="24"/>
        </w:rPr>
        <w:t>⚡ Priority Actions</w:t>
      </w:r>
    </w:p>
    <w:p>
      <w:r>
        <w:rPr>
          <w:b/>
          <w:sz w:val="22"/>
        </w:rPr>
        <w:t>🔴 1. Install solar panel + battery energy storage systems at top 3 diesel-intensive facilities (FAC-0197, FAC-0198, FAC-0200) and switch all backup generators to biodiesel B35+</w:t>
      </w:r>
      <w:r>
        <w:rPr>
          <w:sz w:val="22"/>
        </w:rPr>
        <w:t xml:space="preserve"> (Q4 2025)</w:t>
      </w:r>
    </w:p>
    <w:p>
      <w:pPr>
        <w:spacing w:after="160" w:line="276" w:lineRule="auto"/>
      </w:pPr>
      <w:r>
        <w:t xml:space="preserve">    → Expected: Reduce Scope 1 diesel emissions by 25-30% (550-660 tCO₂e annually); reduce Scope 2 by 8-12% via solar generation (3,570-5,354 tCO₂e annually); total reduction ~4,100-6,000 tCO₂e/year</w:t>
      </w:r>
    </w:p>
    <w:p>
      <w:pPr>
        <w:spacing w:after="160" w:line="276" w:lineRule="auto"/>
      </w:pPr>
      <w:r>
        <w:rPr>
          <w:rFonts w:ascii="Arial" w:hAnsi="Arial"/>
          <w:i/>
          <w:color w:val="646464"/>
          <w:sz w:val="18"/>
        </w:rPr>
        <w:t xml:space="preserve">    → Ref: BRI Green Network solar installations achieved 19.49% electricity savings at GBCI Gold-certified BRILiaN Tower; biodiesel B35+ reduces emissions 20-25% per Indonesia Ministry of Energy studies</w:t>
      </w:r>
    </w:p>
    <w:p>
      <w:r>
        <w:rPr>
          <w:b/>
          <w:sz w:val="22"/>
        </w:rPr>
        <w:t>🔴 2. Execute Power Purchase Agreement (PPA) for 30% renewable energy procurement and submit RE100 commitment letter</w:t>
      </w:r>
      <w:r>
        <w:rPr>
          <w:sz w:val="22"/>
        </w:rPr>
        <w:t xml:space="preserve"> (Q3 2025)</w:t>
      </w:r>
    </w:p>
    <w:p>
      <w:pPr>
        <w:spacing w:after="160" w:line="276" w:lineRule="auto"/>
      </w:pPr>
      <w:r>
        <w:t xml:space="preserve">    → Expected: Reduce Scope 2 market-based emissions by 30% (13,384 tCO₂e annually); establish pathway to 100% renewable electricity by 2035; enhance ESG ratings and investor positioning</w:t>
      </w:r>
    </w:p>
    <w:p>
      <w:pPr>
        <w:spacing w:after="160" w:line="276" w:lineRule="auto"/>
      </w:pPr>
      <w:r>
        <w:rPr>
          <w:rFonts w:ascii="Arial" w:hAnsi="Arial"/>
          <w:i/>
          <w:color w:val="646464"/>
          <w:sz w:val="18"/>
        </w:rPr>
        <w:t xml:space="preserve">    → Ref: DBS Group achieved 62% renewable energy via RE100 commitment, contributing to 12% YoY emission reduction in 2023; RE100 membership signals credible climate commitment to investors</w:t>
      </w:r>
    </w:p>
    <w:p>
      <w:r>
        <w:rPr>
          <w:b/>
          <w:sz w:val="22"/>
        </w:rPr>
        <w:t>🔴 3. Submit Science-Based Targets initiative (SBTi) commitment letter with interim 2030 targets (30% Scope 1 reduction, 50% Scope 2 reduction vs 2023 baseline) and net-zero 2050 commitment</w:t>
      </w:r>
      <w:r>
        <w:rPr>
          <w:sz w:val="22"/>
        </w:rPr>
        <w:t xml:space="preserve"> (Q2 2026)</w:t>
      </w:r>
    </w:p>
    <w:p>
      <w:pPr>
        <w:spacing w:after="160" w:line="276" w:lineRule="auto"/>
      </w:pPr>
      <w:r>
        <w:t xml:space="preserve">    → Expected: Establish credible decarbonization trajectory aligned with Paris Agreement 1.5°C pathway; meet GRI 305-5, IFRS S2, ESRS E1-4, and OJK PSPK target disclosure requirements; enhance MSCI/Sustainalytics ratings</w:t>
      </w:r>
    </w:p>
    <w:p>
      <w:pPr>
        <w:spacing w:after="160" w:line="276" w:lineRule="auto"/>
      </w:pPr>
      <w:r>
        <w:rPr>
          <w:rFonts w:ascii="Arial" w:hAnsi="Arial"/>
          <w:i/>
          <w:color w:val="646464"/>
          <w:sz w:val="18"/>
        </w:rPr>
        <w:t xml:space="preserve">    → Ref: BRI submitted SBTi commitment in 2023 (first Indonesian FI), targeting portfolio temperature 1.75°C by 2040 with annual reduction rate 0.0783°C/year; DBS committed to net-zero 2050 with interim targets</w:t>
      </w:r>
    </w:p>
    <w:p>
      <w:r>
        <w:rPr>
          <w:b/>
          <w:sz w:val="22"/>
        </w:rPr>
        <w:t>🟡 4. Deploy automated IT infrastructure shutdown system (Kaseya-style) and building management system (BMS) with AI-driven HVAC optimization at headquarters and top 5 branches</w:t>
      </w:r>
      <w:r>
        <w:rPr>
          <w:sz w:val="22"/>
        </w:rPr>
        <w:t xml:space="preserve"> (Q4 2025)</w:t>
      </w:r>
    </w:p>
    <w:p>
      <w:pPr>
        <w:spacing w:after="160" w:line="276" w:lineRule="auto"/>
      </w:pPr>
      <w:r>
        <w:t xml:space="preserve">    → Expected: Reduce Scope 2 emissions by 5-8% from IT efficiency (2,231-3,569 tCO₂e) and 10-15% from HVAC optimization (4,461-6,692 tCO₂e); total reduction ~6,700-10,300 tCO₂e/year</w:t>
      </w:r>
    </w:p>
    <w:p>
      <w:pPr>
        <w:spacing w:after="160" w:line="276" w:lineRule="auto"/>
      </w:pPr>
      <w:r>
        <w:rPr>
          <w:rFonts w:ascii="Arial" w:hAnsi="Arial"/>
          <w:i/>
          <w:color w:val="646464"/>
          <w:sz w:val="18"/>
        </w:rPr>
        <w:t xml:space="preserve">    → Ref: BRI Kaseya auto-shutdown program contributed to 19.49% electricity savings at certified facilities; automated systems eliminate behavioral variability and ensure consistent savings</w:t>
      </w:r>
    </w:p>
    <w:p/>
    <w:p>
      <w:r>
        <w:rPr>
          <w:i/>
          <w:color w:val="3D6094"/>
          <w:sz w:val="18"/>
        </w:rPr>
        <w:t>Framework references: GRI 305-5a — GHG emissions reduced as a direct result of reduction initiatives; GRI 305-5b — Gases included in the calculation; GRI 305-5c — Base year or baseline, including the rationale for choosing it; GRI 305-5d — Scopes in which reductions took place; IFRS S2 Paragraph 33 — Climate-related targets the entity has set; IFRS S2 Paragraph 34 — Information about the target (metric, objective, time horizon); IFRS S2 Paragraph 36 — Entity's plans and critical assumptions for achieving targets; ESRS E1-4 DR E1-4 — GHG emission reduction targets; ESRS E1 DR E1-4 — Decarbonization levers and their quantitative contributions; OJK PSPK — Target pengurangan emisi GRK sesuai SFAP dan NDC Indonesia</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Year-over-year percentage changes calculated as ((2024 value - 2023 value) / 2023 value) × 100.</w:t>
      </w:r>
    </w:p>
    <w:p>
      <w:pPr>
        <w:spacing w:after="160" w:line="276" w:lineRule="auto"/>
      </w:pPr>
      <w:r>
        <w:rPr>
          <w:rFonts w:ascii="Arial" w:hAnsi="Arial"/>
          <w:i/>
          <w:color w:val="646464"/>
          <w:sz w:val="18"/>
        </w:rPr>
        <w:t>Scope 1 emission factors: Natural gas 0.05617 tCO₂e/GJ, Diesel 2.5714 tCO₂e/1000L (Indonesia Ministry of Environment 2023).</w:t>
      </w:r>
    </w:p>
    <w:p>
      <w:pPr>
        <w:spacing w:after="160" w:line="276" w:lineRule="auto"/>
      </w:pPr>
      <w:r>
        <w:rPr>
          <w:rFonts w:ascii="Arial" w:hAnsi="Arial"/>
          <w:i/>
          <w:color w:val="646464"/>
          <w:sz w:val="18"/>
        </w:rPr>
        <w:t>Scope 2 location-based factor: 0.709 tCO₂e/MWh (Java-Bali grid 2024). Market-based factor: same as location-based due to absence of contractual instruments.</w:t>
      </w:r>
    </w:p>
    <w:p>
      <w:pPr>
        <w:spacing w:after="160" w:line="276" w:lineRule="auto"/>
      </w:pPr>
      <w:r>
        <w:rPr>
          <w:rFonts w:ascii="Arial" w:hAnsi="Arial"/>
          <w:i/>
          <w:color w:val="646464"/>
          <w:sz w:val="18"/>
        </w:rPr>
        <w:t>Peer benchmark data sourced from publicly available sustainability reports: BRI 2023, DBS 2023, Bank Mandiri 2023, BCA 2024.</w:t>
      </w:r>
    </w:p>
    <w:p>
      <w:pPr>
        <w:spacing w:after="160" w:line="276" w:lineRule="auto"/>
      </w:pPr>
      <w:r>
        <w:rPr>
          <w:rFonts w:ascii="Arial" w:hAnsi="Arial"/>
          <w:i/>
          <w:color w:val="646464"/>
          <w:sz w:val="18"/>
        </w:rPr>
        <w:t>Emission intensity per FTE calculated using total operational emissions (Scope 1+2 location-based) divided by year-end full-time equivalent headcount.</w:t>
      </w:r>
    </w:p>
    <w:p>
      <w:pPr>
        <w:spacing w:after="160" w:line="276" w:lineRule="auto"/>
      </w:pPr>
      <w:r>
        <w:rPr>
          <w:rFonts w:ascii="Arial" w:hAnsi="Arial"/>
          <w:i/>
          <w:color w:val="646464"/>
          <w:sz w:val="18"/>
        </w:rPr>
        <w:t>The institution has not established a base year prior to 2023 for multi-year trend analysis. Base year selection and historical data reconstruction are recommended for GRI 305-5c compliance.</w:t>
      </w:r>
    </w:p>
    <w:p>
      <w:r>
        <w:br w:type="page"/>
      </w:r>
    </w:p>
    <w:p>
      <w:pPr>
        <w:pStyle w:val="Heading1"/>
        <w:keepNext/>
        <w:spacing w:before="480" w:after="240"/>
      </w:pPr>
      <w:r>
        <w:rPr>
          <w:rFonts w:ascii="Arial" w:hAnsi="Arial"/>
          <w:b/>
          <w:color w:val="1B3A6B"/>
          <w:sz w:val="36"/>
        </w:rPr>
        <w:t>Social Performance</w:t>
      </w:r>
    </w:p>
    <w:p>
      <w:pPr>
        <w:pStyle w:val="Heading2"/>
        <w:keepNext/>
        <w:spacing w:before="360" w:after="160"/>
      </w:pPr>
      <w:r>
        <w:rPr>
          <w:rFonts w:ascii="Arial" w:hAnsi="Arial"/>
          <w:b/>
          <w:color w:val="3D6094"/>
          <w:sz w:val="28"/>
        </w:rPr>
        <w:t>2.1 Workforce &amp; Human Capital</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49.3</w:t>
            </w:r>
            <w:r>
              <w:rPr>
                <w:color w:val="757575"/>
                <w:sz w:val="18"/>
              </w:rPr>
              <w:t xml:space="preserve"> hours</w:t>
            </w:r>
            <w:r>
              <w:rPr>
                <w:b/>
                <w:color w:val="2E7D32"/>
                <w:sz w:val="20"/>
              </w:rPr>
              <w:br/>
              <w:t>-23.14% vs 2023</w:t>
            </w:r>
          </w:p>
        </w:tc>
        <w:tc>
          <w:tcPr>
            <w:tcW w:type="dxa" w:w="2257"/>
            <w:shd w:fill="F2F6FA" w:val="clear"/>
          </w:tcPr>
          <w:p>
            <w:pPr>
              <w:jc w:val="center"/>
            </w:pPr>
            <w:r>
              <w:rPr>
                <w:b/>
                <w:color w:val="1B3A6B"/>
                <w:sz w:val="36"/>
              </w:rPr>
              <w:t>8.45</w:t>
            </w:r>
            <w:r>
              <w:rPr>
                <w:color w:val="757575"/>
                <w:sz w:val="18"/>
              </w:rPr>
              <w:t xml:space="preserve"> %</w:t>
            </w:r>
            <w:r>
              <w:rPr>
                <w:b/>
                <w:color w:val="2E7D32"/>
                <w:sz w:val="20"/>
              </w:rPr>
              <w:br/>
              <w:t>-40.66% (improvement)</w:t>
            </w:r>
          </w:p>
        </w:tc>
        <w:tc>
          <w:tcPr>
            <w:tcW w:type="dxa" w:w="2257"/>
            <w:shd w:fill="F2F6FA" w:val="clear"/>
          </w:tcPr>
          <w:p>
            <w:pPr>
              <w:jc w:val="center"/>
            </w:pPr>
            <w:r>
              <w:rPr>
                <w:b/>
                <w:color w:val="1B3A6B"/>
                <w:sz w:val="36"/>
              </w:rPr>
              <w:t>26.67</w:t>
            </w:r>
            <w:r>
              <w:rPr>
                <w:color w:val="757575"/>
                <w:sz w:val="18"/>
              </w:rPr>
              <w:t xml:space="preserve"> %</w:t>
            </w:r>
            <w:r>
              <w:rPr>
                <w:b/>
                <w:color w:val="2E7D32"/>
                <w:sz w:val="20"/>
              </w:rPr>
              <w:br/>
              <w:t>-1.78pp vs 2023</w:t>
            </w:r>
          </w:p>
        </w:tc>
        <w:tc>
          <w:tcPr>
            <w:tcW w:type="dxa" w:w="2257"/>
            <w:shd w:fill="F2F6FA" w:val="clear"/>
          </w:tcPr>
          <w:p>
            <w:pPr>
              <w:jc w:val="center"/>
            </w:pPr>
            <w:r>
              <w:rPr>
                <w:b/>
                <w:color w:val="1B3A6B"/>
                <w:sz w:val="36"/>
              </w:rPr>
              <w:t>13.1</w:t>
            </w:r>
            <w:r>
              <w:rPr>
                <w:color w:val="757575"/>
                <w:sz w:val="18"/>
              </w:rPr>
              <w:t xml:space="preserve"> hours</w:t>
            </w:r>
            <w:r>
              <w:rPr>
                <w:b/>
                <w:color w:val="C62828"/>
                <w:sz w:val="20"/>
              </w:rPr>
              <w:br/>
              <w:t>21% below peer</w:t>
            </w:r>
          </w:p>
        </w:tc>
      </w:tr>
      <w:tr>
        <w:tc>
          <w:tcPr>
            <w:tcW w:type="dxa" w:w="2257"/>
            <w:shd w:fill="F2F6FA" w:val="clear"/>
          </w:tcPr>
          <w:p>
            <w:pPr>
              <w:jc w:val="center"/>
            </w:pPr>
            <w:r>
              <w:rPr>
                <w:color w:val="757575"/>
                <w:sz w:val="16"/>
              </w:rPr>
              <w:t>Training Hours per FTE</w:t>
            </w:r>
          </w:p>
        </w:tc>
        <w:tc>
          <w:tcPr>
            <w:tcW w:type="dxa" w:w="2257"/>
            <w:shd w:fill="F2F6FA" w:val="clear"/>
          </w:tcPr>
          <w:p>
            <w:pPr>
              <w:jc w:val="center"/>
            </w:pPr>
            <w:r>
              <w:rPr>
                <w:color w:val="757575"/>
                <w:sz w:val="16"/>
              </w:rPr>
              <w:t>Voluntary Turnover</w:t>
            </w:r>
          </w:p>
        </w:tc>
        <w:tc>
          <w:tcPr>
            <w:tcW w:type="dxa" w:w="2257"/>
            <w:shd w:fill="F2F6FA" w:val="clear"/>
          </w:tcPr>
          <w:p>
            <w:pPr>
              <w:jc w:val="center"/>
            </w:pPr>
            <w:r>
              <w:rPr>
                <w:color w:val="757575"/>
                <w:sz w:val="16"/>
              </w:rPr>
              <w:t>Female Management</w:t>
            </w:r>
          </w:p>
        </w:tc>
        <w:tc>
          <w:tcPr>
            <w:tcW w:type="dxa" w:w="2257"/>
            <w:shd w:fill="F2F6FA" w:val="clear"/>
          </w:tcPr>
          <w:p>
            <w:pPr>
              <w:jc w:val="center"/>
            </w:pPr>
            <w:r>
              <w:rPr>
                <w:color w:val="757575"/>
                <w:sz w:val="16"/>
              </w:rPr>
              <w:t>Training Gap vs BRI</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Training hours 21% below peer average while turnover improved 41% — retention gains at risk without L&amp;D investment</w:t>
            </w:r>
          </w:p>
          <w:p>
            <w:r>
              <w:rPr>
                <w:sz w:val="20"/>
              </w:rPr>
              <w:t>The institution achieved strong retention improvement (8.45% turnover vs 14.24% prior year) but training investment declined 23% to 49.3 hours per FTE, significantly below BRI's 62.4 hours and OCBC's 62.6 hours. Sustained retention requires continuous skill development. Female representation declined 3.88pp to 42.32%, widening gap versus BCA's 61.6% management diversity benchmark.</w:t>
            </w:r>
          </w:p>
        </w:tc>
      </w:tr>
    </w:tbl>
    <w:p/>
    <w:p>
      <w:pPr>
        <w:pStyle w:val="Heading3"/>
        <w:keepNext/>
      </w:pPr>
      <w:r>
        <w:rPr>
          <w:rFonts w:ascii="Arial" w:hAnsi="Arial"/>
          <w:b/>
          <w:color w:val="4A7AB5"/>
          <w:sz w:val="24"/>
        </w:rPr>
        <w:t>1. Workforce Overview (GRI 2-7)</w:t>
      </w:r>
    </w:p>
    <w:p>
      <w:pPr>
        <w:spacing w:after="160" w:line="276" w:lineRule="auto"/>
      </w:pPr>
      <w:r>
        <w:rPr>
          <w:rFonts w:ascii="Arial" w:hAnsi="Arial"/>
          <w:sz w:val="22"/>
        </w:rPr>
        <w:t>As of December 31, 2024, the institution employed 24,997 full-time equivalent (FTE) employees, representing a 2.03% increase from 24,500 employees in 2023. The workforce comprised 10,579 female employees (42.32%) and 14,418 male employees (57.68%). This headcount growth reflects the institution's continued expansion of operations and service delivery capacity across its branch network and digital channels.</w:t>
      </w:r>
    </w:p>
    <w:p>
      <w:pPr>
        <w:spacing w:after="160" w:line="276" w:lineRule="auto"/>
      </w:pPr>
      <w:r>
        <w:rPr>
          <w:rFonts w:ascii="Arial" w:hAnsi="Arial"/>
          <w:sz w:val="22"/>
        </w:rPr>
        <w:t>The year-over-year decline in female representation of 3.88 percentage points (from 46.2% in 2023 to 42.32% in 2024) indicates a shift in workforce composition that warrants attention in the context of the institution's diversity and inclusion commitments. While absolute female headcount decreased from 11,319 to 10,579, male headcount increased from 13,181 to 14,418, suggesting differential hiring or retention patterns across gender categories during the reporting period.</w:t>
      </w:r>
    </w:p>
    <w:p>
      <w:pPr>
        <w:pStyle w:val="Heading3"/>
        <w:keepNext/>
      </w:pPr>
      <w:r>
        <w:rPr>
          <w:rFonts w:ascii="Arial" w:hAnsi="Arial"/>
          <w:b/>
          <w:color w:val="4A7AB5"/>
          <w:sz w:val="24"/>
        </w:rPr>
        <w:t>2. Employment (GRI 401-1)</w:t>
      </w:r>
    </w:p>
    <w:p>
      <w:pPr>
        <w:spacing w:after="160" w:line="276" w:lineRule="auto"/>
      </w:pPr>
      <w:r>
        <w:rPr>
          <w:rFonts w:ascii="Arial" w:hAnsi="Arial"/>
          <w:sz w:val="22"/>
        </w:rPr>
        <w:t>The institution hired 2,595 new employees during 2024, representing a hiring rate of 10.38% relative to total workforce. This reflects a decrease from 3,169 new hires (12.93% hiring rate) in 2023. The voluntary turnover rate improved significantly to 8.45% in 2024, down from 14.24% in 2023, representing a 40.66% reduction in turnover rate year-over-year. This improvement in retention indicates enhanced employee satisfaction and effectiveness of retention strategies implemented during the reporting period.</w:t>
      </w:r>
    </w:p>
    <w:p>
      <w:pPr>
        <w:pStyle w:val="Heading3"/>
        <w:keepNext/>
      </w:pPr>
      <w:r>
        <w:rPr>
          <w:rFonts w:ascii="Arial" w:hAnsi="Arial"/>
          <w:b/>
          <w:color w:val="4A7AB5"/>
          <w:sz w:val="24"/>
        </w:rPr>
        <w:t>3. Training &amp; Education (GRI 404-1)</w:t>
      </w:r>
    </w:p>
    <w:p>
      <w:pPr>
        <w:spacing w:after="160" w:line="276" w:lineRule="auto"/>
      </w:pPr>
      <w:r>
        <w:rPr>
          <w:rFonts w:ascii="Arial" w:hAnsi="Arial"/>
          <w:sz w:val="22"/>
        </w:rPr>
        <w:t>The institution provided an average of 49.3 training hours per FTE during 2024, compared to 64.14 hours per FTE in 2023. This represents a 23.14% decrease in training hours year-over-year. The reduction in training intensity occurred during a period of workforce expansion and may reflect resource allocation priorities or shifts in training delivery modalities. Total training investment across the workforce amounted to approximately 1,231,682 training hours (24,997 FTE × 49.3 hours).</w:t>
      </w:r>
    </w:p>
    <w:p>
      <w:pPr>
        <w:pStyle w:val="Heading3"/>
        <w:keepNext/>
      </w:pPr>
      <w:r>
        <w:rPr>
          <w:rFonts w:ascii="Arial" w:hAnsi="Arial"/>
          <w:b/>
          <w:color w:val="4A7AB5"/>
          <w:sz w:val="24"/>
        </w:rPr>
        <w:t>4. Diversity &amp; Equal Opportunity (GRI 405-1)</w:t>
      </w:r>
    </w:p>
    <w:p>
      <w:pPr>
        <w:spacing w:after="160" w:line="276" w:lineRule="auto"/>
      </w:pPr>
      <w:r>
        <w:rPr>
          <w:rFonts w:ascii="Arial" w:hAnsi="Arial"/>
          <w:sz w:val="22"/>
        </w:rPr>
        <w:t>Female representation in management positions stood at 26.67% as of December 31, 2024, a decrease of 1.78 percentage points from 28.45% in 2023. This decline in women's representation at management levels, combined with the overall decrease in female workforce participation, indicates challenges in maintaining gender diversity across organizational levels. The institution's current management diversity metrics fall below leading peer benchmarks in the Indonesian banking sector, where institutions such as BCA have achieved 61.6% female representation in management and DBS Group reports 38% female representation in management globally.</w:t>
      </w:r>
    </w:p>
    <w:p>
      <w:pPr>
        <w:pStyle w:val="Heading3"/>
        <w:keepNext/>
      </w:pPr>
      <w:r>
        <w:rPr>
          <w:rFonts w:ascii="Arial" w:hAnsi="Arial"/>
          <w:b/>
          <w:color w:val="4A7AB5"/>
          <w:sz w:val="24"/>
        </w:rPr>
        <w:t>5. Non-Discrimination (GRI 406-1)</w:t>
      </w:r>
    </w:p>
    <w:p>
      <w:pPr>
        <w:spacing w:after="160" w:line="276" w:lineRule="auto"/>
      </w:pPr>
      <w:r>
        <w:rPr>
          <w:rFonts w:ascii="Arial" w:hAnsi="Arial"/>
          <w:sz w:val="22"/>
        </w:rPr>
        <w:t>The institution recorded 2 incidents of discrimination during the 2024 reporting period, compared to 3 incidents in 2023. All reported cases were investigated through the institution's established grievance mechanisms and appropriate remedial actions were implemented in accordance with internal policies and applicable labor regulations. The institution maintains zero-tolerance policies for discrimination and harassment, with mandatory training on workplace conduct and ethics provided to all employees. Ongoing monitoring and strengthening of reporting channels remain priorities to ensure a respectful and inclusive workplace environment.</w:t>
      </w:r>
    </w:p>
    <w:p>
      <w:pPr>
        <w:spacing w:after="160" w:line="276" w:lineRule="auto"/>
      </w:pPr>
      <w:r>
        <w:rPr>
          <w:rFonts w:ascii="Arial" w:hAnsi="Arial"/>
          <w:sz w:val="22"/>
        </w:rPr>
        <w:t>The workforce metrics disclosed in this section address GRI 2-7 (Employees), GRI 401-1 (New employee hires and employee turnover), GRI 404-1 (Average hours of training per year per employee), GRI 405-1 (Diversity of governance bodies and employees), and GRI 406-1 (Incidents of discrimination and corrective actions taken). These disclosures also align with ESRS S1 (Own Workforce) requirements under the Corporate Sustainability Reporting Directive and OJK POJK 51/2017 social pillar requirements for Indonesian financial institutions.</w:t>
      </w:r>
    </w:p>
    <w:p>
      <w:r>
        <w:rPr>
          <w:rFonts w:ascii="Arial" w:hAnsi="Arial"/>
          <w:b/>
          <w:sz w:val="20"/>
        </w:rPr>
        <w:t>Table 44: Table 2.1.1: Workforce Composition by Gender (GRI 2-7)</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Total FTE Employees</w:t>
            </w:r>
          </w:p>
        </w:tc>
        <w:tc>
          <w:tcPr>
            <w:tcW w:type="dxa" w:w="2257"/>
          </w:tcPr>
          <w:p>
            <w:pPr>
              <w:jc w:val="right"/>
            </w:pPr>
            <w:r>
              <w:rPr>
                <w:rFonts w:ascii="Arial" w:hAnsi="Arial"/>
                <w:sz w:val="18"/>
              </w:rPr>
              <w:t>24,997</w:t>
            </w:r>
          </w:p>
        </w:tc>
        <w:tc>
          <w:tcPr>
            <w:tcW w:type="dxa" w:w="2257"/>
          </w:tcPr>
          <w:p>
            <w:pPr>
              <w:jc w:val="right"/>
            </w:pPr>
            <w:r>
              <w:rPr>
                <w:rFonts w:ascii="Arial" w:hAnsi="Arial"/>
                <w:sz w:val="18"/>
              </w:rPr>
              <w:t>24,500</w:t>
            </w:r>
          </w:p>
        </w:tc>
        <w:tc>
          <w:tcPr>
            <w:tcW w:type="dxa" w:w="2257"/>
          </w:tcPr>
          <w:p>
            <w:r>
              <w:rPr>
                <w:rFonts w:ascii="Arial" w:hAnsi="Arial"/>
                <w:sz w:val="18"/>
              </w:rPr>
              <w:t>+497 (+2.03%)</w:t>
            </w:r>
          </w:p>
        </w:tc>
      </w:tr>
      <w:tr>
        <w:tc>
          <w:tcPr>
            <w:tcW w:type="dxa" w:w="2257"/>
            <w:shd w:fill="F2F6FC" w:val="clear"/>
          </w:tcPr>
          <w:p>
            <w:r>
              <w:rPr>
                <w:rFonts w:ascii="Arial" w:hAnsi="Arial"/>
                <w:sz w:val="18"/>
              </w:rPr>
              <w:t>Female Employees (headcount)</w:t>
            </w:r>
          </w:p>
        </w:tc>
        <w:tc>
          <w:tcPr>
            <w:tcW w:type="dxa" w:w="2257"/>
            <w:shd w:fill="F2F6FC" w:val="clear"/>
          </w:tcPr>
          <w:p>
            <w:pPr>
              <w:jc w:val="right"/>
            </w:pPr>
            <w:r>
              <w:rPr>
                <w:rFonts w:ascii="Arial" w:hAnsi="Arial"/>
                <w:sz w:val="18"/>
              </w:rPr>
              <w:t>10,579</w:t>
            </w:r>
          </w:p>
        </w:tc>
        <w:tc>
          <w:tcPr>
            <w:tcW w:type="dxa" w:w="2257"/>
            <w:shd w:fill="F2F6FC" w:val="clear"/>
          </w:tcPr>
          <w:p>
            <w:pPr>
              <w:jc w:val="right"/>
            </w:pPr>
            <w:r>
              <w:rPr>
                <w:rFonts w:ascii="Arial" w:hAnsi="Arial"/>
                <w:sz w:val="18"/>
              </w:rPr>
              <w:t>11,319</w:t>
            </w:r>
          </w:p>
        </w:tc>
        <w:tc>
          <w:tcPr>
            <w:tcW w:type="dxa" w:w="2257"/>
            <w:shd w:fill="F2F6FC" w:val="clear"/>
          </w:tcPr>
          <w:p>
            <w:r>
              <w:rPr>
                <w:rFonts w:ascii="Arial" w:hAnsi="Arial"/>
                <w:sz w:val="18"/>
              </w:rPr>
              <w:t>-740 (-6.53%)</w:t>
            </w:r>
          </w:p>
        </w:tc>
      </w:tr>
      <w:tr>
        <w:tc>
          <w:tcPr>
            <w:tcW w:type="dxa" w:w="2257"/>
          </w:tcPr>
          <w:p>
            <w:r>
              <w:rPr>
                <w:rFonts w:ascii="Arial" w:hAnsi="Arial"/>
                <w:sz w:val="18"/>
              </w:rPr>
              <w:t>Male Employees (headcount)</w:t>
            </w:r>
          </w:p>
        </w:tc>
        <w:tc>
          <w:tcPr>
            <w:tcW w:type="dxa" w:w="2257"/>
          </w:tcPr>
          <w:p>
            <w:pPr>
              <w:jc w:val="right"/>
            </w:pPr>
            <w:r>
              <w:rPr>
                <w:rFonts w:ascii="Arial" w:hAnsi="Arial"/>
                <w:sz w:val="18"/>
              </w:rPr>
              <w:t>14,418</w:t>
            </w:r>
          </w:p>
        </w:tc>
        <w:tc>
          <w:tcPr>
            <w:tcW w:type="dxa" w:w="2257"/>
          </w:tcPr>
          <w:p>
            <w:pPr>
              <w:jc w:val="right"/>
            </w:pPr>
            <w:r>
              <w:rPr>
                <w:rFonts w:ascii="Arial" w:hAnsi="Arial"/>
                <w:sz w:val="18"/>
              </w:rPr>
              <w:t>13,181</w:t>
            </w:r>
          </w:p>
        </w:tc>
        <w:tc>
          <w:tcPr>
            <w:tcW w:type="dxa" w:w="2257"/>
          </w:tcPr>
          <w:p>
            <w:r>
              <w:rPr>
                <w:rFonts w:ascii="Arial" w:hAnsi="Arial"/>
                <w:sz w:val="18"/>
              </w:rPr>
              <w:t>+1,237 (+9.38%)</w:t>
            </w:r>
          </w:p>
        </w:tc>
      </w:tr>
      <w:tr>
        <w:tc>
          <w:tcPr>
            <w:tcW w:type="dxa" w:w="2257"/>
            <w:shd w:fill="F2F6FC" w:val="clear"/>
          </w:tcPr>
          <w:p>
            <w:r>
              <w:rPr>
                <w:rFonts w:ascii="Arial" w:hAnsi="Arial"/>
                <w:sz w:val="18"/>
              </w:rPr>
              <w:t>Female Representation (%)</w:t>
            </w:r>
          </w:p>
        </w:tc>
        <w:tc>
          <w:tcPr>
            <w:tcW w:type="dxa" w:w="2257"/>
            <w:shd w:fill="F2F6FC" w:val="clear"/>
          </w:tcPr>
          <w:p>
            <w:pPr>
              <w:jc w:val="right"/>
            </w:pPr>
            <w:r>
              <w:rPr>
                <w:rFonts w:ascii="Arial" w:hAnsi="Arial"/>
                <w:sz w:val="18"/>
              </w:rPr>
              <w:t>42.32%</w:t>
            </w:r>
          </w:p>
        </w:tc>
        <w:tc>
          <w:tcPr>
            <w:tcW w:type="dxa" w:w="2257"/>
            <w:shd w:fill="F2F6FC" w:val="clear"/>
          </w:tcPr>
          <w:p>
            <w:pPr>
              <w:jc w:val="right"/>
            </w:pPr>
            <w:r>
              <w:rPr>
                <w:rFonts w:ascii="Arial" w:hAnsi="Arial"/>
                <w:sz w:val="18"/>
              </w:rPr>
              <w:t>46.2%</w:t>
            </w:r>
          </w:p>
        </w:tc>
        <w:tc>
          <w:tcPr>
            <w:tcW w:type="dxa" w:w="2257"/>
            <w:shd w:fill="F2F6FC" w:val="clear"/>
          </w:tcPr>
          <w:p>
            <w:r>
              <w:rPr>
                <w:rFonts w:ascii="Arial" w:hAnsi="Arial"/>
                <w:sz w:val="18"/>
              </w:rPr>
              <w:t>-3.88pp</w:t>
            </w:r>
          </w:p>
        </w:tc>
      </w:tr>
      <w:tr>
        <w:tc>
          <w:tcPr>
            <w:tcW w:type="dxa" w:w="2257"/>
          </w:tcPr>
          <w:p>
            <w:r>
              <w:rPr>
                <w:rFonts w:ascii="Arial" w:hAnsi="Arial"/>
                <w:sz w:val="18"/>
              </w:rPr>
              <w:t>Male Representation (%)</w:t>
            </w:r>
          </w:p>
        </w:tc>
        <w:tc>
          <w:tcPr>
            <w:tcW w:type="dxa" w:w="2257"/>
          </w:tcPr>
          <w:p>
            <w:pPr>
              <w:jc w:val="right"/>
            </w:pPr>
            <w:r>
              <w:rPr>
                <w:rFonts w:ascii="Arial" w:hAnsi="Arial"/>
                <w:sz w:val="18"/>
              </w:rPr>
              <w:t>57.68%</w:t>
            </w:r>
          </w:p>
        </w:tc>
        <w:tc>
          <w:tcPr>
            <w:tcW w:type="dxa" w:w="2257"/>
          </w:tcPr>
          <w:p>
            <w:pPr>
              <w:jc w:val="right"/>
            </w:pPr>
            <w:r>
              <w:rPr>
                <w:rFonts w:ascii="Arial" w:hAnsi="Arial"/>
                <w:sz w:val="18"/>
              </w:rPr>
              <w:t>53.8%</w:t>
            </w:r>
          </w:p>
        </w:tc>
        <w:tc>
          <w:tcPr>
            <w:tcW w:type="dxa" w:w="2257"/>
          </w:tcPr>
          <w:p>
            <w:r>
              <w:rPr>
                <w:rFonts w:ascii="Arial" w:hAnsi="Arial"/>
                <w:sz w:val="18"/>
              </w:rPr>
              <w:t>+3.88pp</w:t>
            </w:r>
          </w:p>
        </w:tc>
      </w:tr>
    </w:tbl>
    <w:p>
      <w:r>
        <w:rPr>
          <w:rFonts w:ascii="Arial" w:hAnsi="Arial"/>
          <w:i/>
          <w:sz w:val="16"/>
        </w:rPr>
        <w:t>Source: Source: Institution HR systems. FTE = Full-Time Equivalent. pp = percentage points.</w:t>
      </w:r>
    </w:p>
    <w:p/>
    <w:p>
      <w:r>
        <w:rPr>
          <w:rFonts w:ascii="Arial" w:hAnsi="Arial"/>
          <w:b/>
          <w:sz w:val="20"/>
        </w:rPr>
        <w:t>Table 46: Table 2.1.2: Employment Indicators (GRI 401-1)</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New Hires (count)</w:t>
            </w:r>
          </w:p>
        </w:tc>
        <w:tc>
          <w:tcPr>
            <w:tcW w:type="dxa" w:w="2257"/>
          </w:tcPr>
          <w:p>
            <w:pPr>
              <w:jc w:val="right"/>
            </w:pPr>
            <w:r>
              <w:rPr>
                <w:rFonts w:ascii="Arial" w:hAnsi="Arial"/>
                <w:sz w:val="18"/>
              </w:rPr>
              <w:t>2,595</w:t>
            </w:r>
          </w:p>
        </w:tc>
        <w:tc>
          <w:tcPr>
            <w:tcW w:type="dxa" w:w="2257"/>
          </w:tcPr>
          <w:p>
            <w:pPr>
              <w:jc w:val="right"/>
            </w:pPr>
            <w:r>
              <w:rPr>
                <w:rFonts w:ascii="Arial" w:hAnsi="Arial"/>
                <w:sz w:val="18"/>
              </w:rPr>
              <w:t>3,169</w:t>
            </w:r>
          </w:p>
        </w:tc>
        <w:tc>
          <w:tcPr>
            <w:tcW w:type="dxa" w:w="2257"/>
          </w:tcPr>
          <w:p>
            <w:r>
              <w:rPr>
                <w:rFonts w:ascii="Arial" w:hAnsi="Arial"/>
                <w:sz w:val="18"/>
              </w:rPr>
              <w:t>-574 (-18.11%)</w:t>
            </w:r>
          </w:p>
        </w:tc>
      </w:tr>
      <w:tr>
        <w:tc>
          <w:tcPr>
            <w:tcW w:type="dxa" w:w="2257"/>
            <w:shd w:fill="F2F6FC" w:val="clear"/>
          </w:tcPr>
          <w:p>
            <w:r>
              <w:rPr>
                <w:rFonts w:ascii="Arial" w:hAnsi="Arial"/>
                <w:sz w:val="18"/>
              </w:rPr>
              <w:t>Hiring Rate (%)</w:t>
            </w:r>
          </w:p>
        </w:tc>
        <w:tc>
          <w:tcPr>
            <w:tcW w:type="dxa" w:w="2257"/>
            <w:shd w:fill="F2F6FC" w:val="clear"/>
          </w:tcPr>
          <w:p>
            <w:pPr>
              <w:jc w:val="right"/>
            </w:pPr>
            <w:r>
              <w:rPr>
                <w:rFonts w:ascii="Arial" w:hAnsi="Arial"/>
                <w:sz w:val="18"/>
              </w:rPr>
              <w:t>10.38%</w:t>
            </w:r>
          </w:p>
        </w:tc>
        <w:tc>
          <w:tcPr>
            <w:tcW w:type="dxa" w:w="2257"/>
            <w:shd w:fill="F2F6FC" w:val="clear"/>
          </w:tcPr>
          <w:p>
            <w:pPr>
              <w:jc w:val="right"/>
            </w:pPr>
            <w:r>
              <w:rPr>
                <w:rFonts w:ascii="Arial" w:hAnsi="Arial"/>
                <w:sz w:val="18"/>
              </w:rPr>
              <w:t>12.93%</w:t>
            </w:r>
          </w:p>
        </w:tc>
        <w:tc>
          <w:tcPr>
            <w:tcW w:type="dxa" w:w="2257"/>
            <w:shd w:fill="F2F6FC" w:val="clear"/>
          </w:tcPr>
          <w:p>
            <w:r>
              <w:rPr>
                <w:rFonts w:ascii="Arial" w:hAnsi="Arial"/>
                <w:sz w:val="18"/>
              </w:rPr>
              <w:t>-2.55pp</w:t>
            </w:r>
          </w:p>
        </w:tc>
      </w:tr>
      <w:tr>
        <w:tc>
          <w:tcPr>
            <w:tcW w:type="dxa" w:w="2257"/>
          </w:tcPr>
          <w:p>
            <w:r>
              <w:rPr>
                <w:rFonts w:ascii="Arial" w:hAnsi="Arial"/>
                <w:sz w:val="18"/>
              </w:rPr>
              <w:t>Voluntary Turnover Rate (%)</w:t>
            </w:r>
          </w:p>
        </w:tc>
        <w:tc>
          <w:tcPr>
            <w:tcW w:type="dxa" w:w="2257"/>
          </w:tcPr>
          <w:p>
            <w:pPr>
              <w:jc w:val="right"/>
            </w:pPr>
            <w:r>
              <w:rPr>
                <w:rFonts w:ascii="Arial" w:hAnsi="Arial"/>
                <w:sz w:val="18"/>
              </w:rPr>
              <w:t>8.45%</w:t>
            </w:r>
          </w:p>
        </w:tc>
        <w:tc>
          <w:tcPr>
            <w:tcW w:type="dxa" w:w="2257"/>
          </w:tcPr>
          <w:p>
            <w:pPr>
              <w:jc w:val="right"/>
            </w:pPr>
            <w:r>
              <w:rPr>
                <w:rFonts w:ascii="Arial" w:hAnsi="Arial"/>
                <w:sz w:val="18"/>
              </w:rPr>
              <w:t>14.24%</w:t>
            </w:r>
          </w:p>
        </w:tc>
        <w:tc>
          <w:tcPr>
            <w:tcW w:type="dxa" w:w="2257"/>
          </w:tcPr>
          <w:p>
            <w:r>
              <w:rPr>
                <w:rFonts w:ascii="Arial" w:hAnsi="Arial"/>
                <w:sz w:val="18"/>
              </w:rPr>
              <w:t>-5.79pp (-40.66%)</w:t>
            </w:r>
          </w:p>
        </w:tc>
      </w:tr>
      <w:tr>
        <w:tc>
          <w:tcPr>
            <w:tcW w:type="dxa" w:w="2257"/>
            <w:shd w:fill="F2F6FC" w:val="clear"/>
          </w:tcPr>
          <w:p>
            <w:r>
              <w:rPr>
                <w:rFonts w:ascii="Arial" w:hAnsi="Arial"/>
                <w:sz w:val="18"/>
              </w:rPr>
              <w:t>Net Headcount Change</w:t>
            </w:r>
          </w:p>
        </w:tc>
        <w:tc>
          <w:tcPr>
            <w:tcW w:type="dxa" w:w="2257"/>
            <w:shd w:fill="F2F6FC" w:val="clear"/>
          </w:tcPr>
          <w:p>
            <w:pPr>
              <w:jc w:val="right"/>
            </w:pPr>
            <w:r>
              <w:rPr>
                <w:rFonts w:ascii="Arial" w:hAnsi="Arial"/>
                <w:sz w:val="18"/>
              </w:rPr>
              <w:t>+497</w:t>
            </w:r>
          </w:p>
        </w:tc>
        <w:tc>
          <w:tcPr>
            <w:tcW w:type="dxa" w:w="2257"/>
            <w:shd w:fill="F2F6FC" w:val="clear"/>
          </w:tcPr>
          <w:p>
            <w:r>
              <w:rPr>
                <w:rFonts w:ascii="Arial" w:hAnsi="Arial"/>
                <w:sz w:val="18"/>
              </w:rPr>
              <w:t>—</w:t>
            </w:r>
          </w:p>
        </w:tc>
        <w:tc>
          <w:tcPr>
            <w:tcW w:type="dxa" w:w="2257"/>
            <w:shd w:fill="F2F6FC" w:val="clear"/>
          </w:tcPr>
          <w:p>
            <w:r>
              <w:rPr>
                <w:rFonts w:ascii="Arial" w:hAnsi="Arial"/>
                <w:sz w:val="18"/>
              </w:rPr>
              <w:t>—</w:t>
            </w:r>
          </w:p>
        </w:tc>
      </w:tr>
    </w:tbl>
    <w:p>
      <w:r>
        <w:rPr>
          <w:rFonts w:ascii="Arial" w:hAnsi="Arial"/>
          <w:i/>
          <w:sz w:val="16"/>
        </w:rPr>
        <w:t>Source: Source: Institution HR systems. Hiring rate = new hires / total FTE. Voluntary turnover excludes retirements and involuntary separations.</w:t>
      </w:r>
    </w:p>
    <w:p/>
    <w:p>
      <w:r>
        <w:rPr>
          <w:rFonts w:ascii="Arial" w:hAnsi="Arial"/>
          <w:b/>
          <w:sz w:val="20"/>
        </w:rPr>
        <w:t>Table 48: Table 2.1.3: Training &amp; Development Metrics (GRI 404-1)</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Average Training Hours per FTE</w:t>
            </w:r>
          </w:p>
        </w:tc>
        <w:tc>
          <w:tcPr>
            <w:tcW w:type="dxa" w:w="2257"/>
          </w:tcPr>
          <w:p>
            <w:pPr>
              <w:jc w:val="right"/>
            </w:pPr>
            <w:r>
              <w:rPr>
                <w:rFonts w:ascii="Arial" w:hAnsi="Arial"/>
                <w:sz w:val="18"/>
              </w:rPr>
              <w:t>49.3</w:t>
            </w:r>
          </w:p>
        </w:tc>
        <w:tc>
          <w:tcPr>
            <w:tcW w:type="dxa" w:w="2257"/>
          </w:tcPr>
          <w:p>
            <w:pPr>
              <w:jc w:val="right"/>
            </w:pPr>
            <w:r>
              <w:rPr>
                <w:rFonts w:ascii="Arial" w:hAnsi="Arial"/>
                <w:sz w:val="18"/>
              </w:rPr>
              <w:t>64.14</w:t>
            </w:r>
          </w:p>
        </w:tc>
        <w:tc>
          <w:tcPr>
            <w:tcW w:type="dxa" w:w="2257"/>
          </w:tcPr>
          <w:p>
            <w:r>
              <w:rPr>
                <w:rFonts w:ascii="Arial" w:hAnsi="Arial"/>
                <w:sz w:val="18"/>
              </w:rPr>
              <w:t>-14.84 (-23.14%)</w:t>
            </w:r>
          </w:p>
        </w:tc>
      </w:tr>
      <w:tr>
        <w:tc>
          <w:tcPr>
            <w:tcW w:type="dxa" w:w="2257"/>
            <w:shd w:fill="F2F6FC" w:val="clear"/>
          </w:tcPr>
          <w:p>
            <w:r>
              <w:rPr>
                <w:rFonts w:ascii="Arial" w:hAnsi="Arial"/>
                <w:sz w:val="18"/>
              </w:rPr>
              <w:t>Total Training Hours (estimated)</w:t>
            </w:r>
          </w:p>
        </w:tc>
        <w:tc>
          <w:tcPr>
            <w:tcW w:type="dxa" w:w="2257"/>
            <w:shd w:fill="F2F6FC" w:val="clear"/>
          </w:tcPr>
          <w:p>
            <w:pPr>
              <w:jc w:val="right"/>
            </w:pPr>
            <w:r>
              <w:rPr>
                <w:rFonts w:ascii="Arial" w:hAnsi="Arial"/>
                <w:sz w:val="18"/>
              </w:rPr>
              <w:t>1,231,682</w:t>
            </w:r>
          </w:p>
        </w:tc>
        <w:tc>
          <w:tcPr>
            <w:tcW w:type="dxa" w:w="2257"/>
            <w:shd w:fill="F2F6FC" w:val="clear"/>
          </w:tcPr>
          <w:p>
            <w:pPr>
              <w:jc w:val="right"/>
            </w:pPr>
            <w:r>
              <w:rPr>
                <w:rFonts w:ascii="Arial" w:hAnsi="Arial"/>
                <w:sz w:val="18"/>
              </w:rPr>
              <w:t>1,571,430</w:t>
            </w:r>
          </w:p>
        </w:tc>
        <w:tc>
          <w:tcPr>
            <w:tcW w:type="dxa" w:w="2257"/>
            <w:shd w:fill="F2F6FC" w:val="clear"/>
          </w:tcPr>
          <w:p>
            <w:r>
              <w:rPr>
                <w:rFonts w:ascii="Arial" w:hAnsi="Arial"/>
                <w:sz w:val="18"/>
              </w:rPr>
              <w:t>-339,748 (-21.62%)</w:t>
            </w:r>
          </w:p>
        </w:tc>
      </w:tr>
    </w:tbl>
    <w:p>
      <w:r>
        <w:rPr>
          <w:rFonts w:ascii="Arial" w:hAnsi="Arial"/>
          <w:i/>
          <w:sz w:val="16"/>
        </w:rPr>
        <w:t>Source: Source: Institution Learning &amp; Development systems. Total training hours calculated as FTE × average hours.</w:t>
      </w:r>
    </w:p>
    <w:p/>
    <w:p>
      <w:r>
        <w:rPr>
          <w:rFonts w:ascii="Arial" w:hAnsi="Arial"/>
          <w:b/>
          <w:sz w:val="20"/>
        </w:rPr>
        <w:t>Table 50: Table 2.1.4: Diversity Indicators (GRI 405-1)</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Female Representation - Overall (%)</w:t>
            </w:r>
          </w:p>
        </w:tc>
        <w:tc>
          <w:tcPr>
            <w:tcW w:type="dxa" w:w="2257"/>
          </w:tcPr>
          <w:p>
            <w:pPr>
              <w:jc w:val="right"/>
            </w:pPr>
            <w:r>
              <w:rPr>
                <w:rFonts w:ascii="Arial" w:hAnsi="Arial"/>
                <w:sz w:val="18"/>
              </w:rPr>
              <w:t>42.32%</w:t>
            </w:r>
          </w:p>
        </w:tc>
        <w:tc>
          <w:tcPr>
            <w:tcW w:type="dxa" w:w="2257"/>
          </w:tcPr>
          <w:p>
            <w:pPr>
              <w:jc w:val="right"/>
            </w:pPr>
            <w:r>
              <w:rPr>
                <w:rFonts w:ascii="Arial" w:hAnsi="Arial"/>
                <w:sz w:val="18"/>
              </w:rPr>
              <w:t>46.2%</w:t>
            </w:r>
          </w:p>
        </w:tc>
        <w:tc>
          <w:tcPr>
            <w:tcW w:type="dxa" w:w="2257"/>
          </w:tcPr>
          <w:p>
            <w:r>
              <w:rPr>
                <w:rFonts w:ascii="Arial" w:hAnsi="Arial"/>
                <w:sz w:val="18"/>
              </w:rPr>
              <w:t>-3.88pp</w:t>
            </w:r>
          </w:p>
        </w:tc>
      </w:tr>
      <w:tr>
        <w:tc>
          <w:tcPr>
            <w:tcW w:type="dxa" w:w="2257"/>
            <w:shd w:fill="F2F6FC" w:val="clear"/>
          </w:tcPr>
          <w:p>
            <w:r>
              <w:rPr>
                <w:rFonts w:ascii="Arial" w:hAnsi="Arial"/>
                <w:sz w:val="18"/>
              </w:rPr>
              <w:t>Female Representation - Management (%)</w:t>
            </w:r>
          </w:p>
        </w:tc>
        <w:tc>
          <w:tcPr>
            <w:tcW w:type="dxa" w:w="2257"/>
            <w:shd w:fill="F2F6FC" w:val="clear"/>
          </w:tcPr>
          <w:p>
            <w:pPr>
              <w:jc w:val="right"/>
            </w:pPr>
            <w:r>
              <w:rPr>
                <w:rFonts w:ascii="Arial" w:hAnsi="Arial"/>
                <w:sz w:val="18"/>
              </w:rPr>
              <w:t>26.67%</w:t>
            </w:r>
          </w:p>
        </w:tc>
        <w:tc>
          <w:tcPr>
            <w:tcW w:type="dxa" w:w="2257"/>
            <w:shd w:fill="F2F6FC" w:val="clear"/>
          </w:tcPr>
          <w:p>
            <w:pPr>
              <w:jc w:val="right"/>
            </w:pPr>
            <w:r>
              <w:rPr>
                <w:rFonts w:ascii="Arial" w:hAnsi="Arial"/>
                <w:sz w:val="18"/>
              </w:rPr>
              <w:t>28.45%</w:t>
            </w:r>
          </w:p>
        </w:tc>
        <w:tc>
          <w:tcPr>
            <w:tcW w:type="dxa" w:w="2257"/>
            <w:shd w:fill="F2F6FC" w:val="clear"/>
          </w:tcPr>
          <w:p>
            <w:r>
              <w:rPr>
                <w:rFonts w:ascii="Arial" w:hAnsi="Arial"/>
                <w:sz w:val="18"/>
              </w:rPr>
              <w:t>-1.78pp</w:t>
            </w:r>
          </w:p>
        </w:tc>
      </w:tr>
      <w:tr>
        <w:tc>
          <w:tcPr>
            <w:tcW w:type="dxa" w:w="2257"/>
          </w:tcPr>
          <w:p>
            <w:r>
              <w:rPr>
                <w:rFonts w:ascii="Arial" w:hAnsi="Arial"/>
                <w:sz w:val="18"/>
              </w:rPr>
              <w:t>Male Representation - Management (%)</w:t>
            </w:r>
          </w:p>
        </w:tc>
        <w:tc>
          <w:tcPr>
            <w:tcW w:type="dxa" w:w="2257"/>
          </w:tcPr>
          <w:p>
            <w:pPr>
              <w:jc w:val="right"/>
            </w:pPr>
            <w:r>
              <w:rPr>
                <w:rFonts w:ascii="Arial" w:hAnsi="Arial"/>
                <w:sz w:val="18"/>
              </w:rPr>
              <w:t>73.33%</w:t>
            </w:r>
          </w:p>
        </w:tc>
        <w:tc>
          <w:tcPr>
            <w:tcW w:type="dxa" w:w="2257"/>
          </w:tcPr>
          <w:p>
            <w:pPr>
              <w:jc w:val="right"/>
            </w:pPr>
            <w:r>
              <w:rPr>
                <w:rFonts w:ascii="Arial" w:hAnsi="Arial"/>
                <w:sz w:val="18"/>
              </w:rPr>
              <w:t>71.55%</w:t>
            </w:r>
          </w:p>
        </w:tc>
        <w:tc>
          <w:tcPr>
            <w:tcW w:type="dxa" w:w="2257"/>
          </w:tcPr>
          <w:p>
            <w:r>
              <w:rPr>
                <w:rFonts w:ascii="Arial" w:hAnsi="Arial"/>
                <w:sz w:val="18"/>
              </w:rPr>
              <w:t>+1.78pp</w:t>
            </w:r>
          </w:p>
        </w:tc>
      </w:tr>
    </w:tbl>
    <w:p>
      <w:r>
        <w:rPr>
          <w:rFonts w:ascii="Arial" w:hAnsi="Arial"/>
          <w:i/>
          <w:sz w:val="16"/>
        </w:rPr>
        <w:t>Source: Source: Institution HR systems. Management includes all supervisory and leadership positions from team lead to executive level.</w:t>
      </w:r>
    </w:p>
    <w:p/>
    <w:p>
      <w:r>
        <w:rPr>
          <w:rFonts w:ascii="Arial" w:hAnsi="Arial"/>
          <w:b/>
          <w:sz w:val="20"/>
        </w:rPr>
        <w:t>Table 52: Table 2.1.5: Non-Discrimination Incidents (GRI 406-1)</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2024</w:t>
            </w:r>
          </w:p>
        </w:tc>
        <w:tc>
          <w:tcPr>
            <w:tcW w:type="dxa" w:w="3010"/>
            <w:shd w:fill="1B3A6B" w:val="clear"/>
          </w:tcPr>
          <w:p>
            <w:r>
              <w:rPr>
                <w:rFonts w:ascii="Arial" w:hAnsi="Arial"/>
                <w:b/>
                <w:color w:val="FFFFFF"/>
                <w:sz w:val="18"/>
              </w:rPr>
              <w:t>2023</w:t>
            </w:r>
          </w:p>
        </w:tc>
      </w:tr>
      <w:tr>
        <w:tc>
          <w:tcPr>
            <w:tcW w:type="dxa" w:w="3010"/>
          </w:tcPr>
          <w:p>
            <w:r>
              <w:rPr>
                <w:rFonts w:ascii="Arial" w:hAnsi="Arial"/>
                <w:sz w:val="18"/>
              </w:rPr>
              <w:t>Discrimination Cases Reported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Cases Investigated</w:t>
            </w:r>
          </w:p>
        </w:tc>
        <w:tc>
          <w:tcPr>
            <w:tcW w:type="dxa" w:w="3010"/>
            <w:shd w:fill="F2F6FC" w:val="clear"/>
          </w:tcPr>
          <w:p>
            <w:pPr>
              <w:jc w:val="right"/>
            </w:pPr>
            <w:r>
              <w:rPr>
                <w:rFonts w:ascii="Arial" w:hAnsi="Arial"/>
                <w:sz w:val="18"/>
              </w:rPr>
              <w:t>2</w:t>
            </w:r>
          </w:p>
        </w:tc>
        <w:tc>
          <w:tcPr>
            <w:tcW w:type="dxa" w:w="3010"/>
            <w:shd w:fill="F2F6FC" w:val="clear"/>
          </w:tcPr>
          <w:p>
            <w:pPr>
              <w:jc w:val="right"/>
            </w:pPr>
            <w:r>
              <w:rPr>
                <w:rFonts w:ascii="Arial" w:hAnsi="Arial"/>
                <w:sz w:val="18"/>
              </w:rPr>
              <w:t>3</w:t>
            </w:r>
          </w:p>
        </w:tc>
      </w:tr>
      <w:tr>
        <w:tc>
          <w:tcPr>
            <w:tcW w:type="dxa" w:w="3010"/>
          </w:tcPr>
          <w:p>
            <w:r>
              <w:rPr>
                <w:rFonts w:ascii="Arial" w:hAnsi="Arial"/>
                <w:sz w:val="18"/>
              </w:rPr>
              <w:t>Cases with Remedial Action</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Cases Pending Resolution</w:t>
            </w:r>
          </w:p>
        </w:tc>
        <w:tc>
          <w:tcPr>
            <w:tcW w:type="dxa" w:w="3010"/>
            <w:shd w:fill="F2F6FC" w:val="clear"/>
          </w:tcPr>
          <w:p>
            <w:pPr>
              <w:jc w:val="right"/>
            </w:pPr>
            <w:r>
              <w:rPr>
                <w:rFonts w:ascii="Arial" w:hAnsi="Arial"/>
                <w:sz w:val="18"/>
              </w:rPr>
              <w:t>0</w:t>
            </w:r>
          </w:p>
        </w:tc>
        <w:tc>
          <w:tcPr>
            <w:tcW w:type="dxa" w:w="3010"/>
            <w:shd w:fill="F2F6FC" w:val="clear"/>
          </w:tcPr>
          <w:p>
            <w:pPr>
              <w:jc w:val="right"/>
            </w:pPr>
            <w:r>
              <w:rPr>
                <w:rFonts w:ascii="Arial" w:hAnsi="Arial"/>
                <w:sz w:val="18"/>
              </w:rPr>
              <w:t>0</w:t>
            </w:r>
          </w:p>
        </w:tc>
      </w:tr>
    </w:tbl>
    <w:p>
      <w:r>
        <w:rPr>
          <w:rFonts w:ascii="Arial" w:hAnsi="Arial"/>
          <w:i/>
          <w:sz w:val="16"/>
        </w:rPr>
        <w:t>Source: Source: Institution Ethics &amp; Compliance systems. All cases resolved within reporting period.</w:t>
      </w:r>
    </w:p>
    <w:p/>
    <w:p/>
    <w:p>
      <w:r>
        <w:drawing>
          <wp:inline xmlns:a="http://schemas.openxmlformats.org/drawingml/2006/main" xmlns:pic="http://schemas.openxmlformats.org/drawingml/2006/picture">
            <wp:extent cx="5029200" cy="3332057"/>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332057"/>
                    </a:xfrm>
                    <a:prstGeom prst="rect"/>
                  </pic:spPr>
                </pic:pic>
              </a:graphicData>
            </a:graphic>
          </wp:inline>
        </w:drawing>
      </w:r>
    </w:p>
    <w:p>
      <w:pPr>
        <w:jc w:val="center"/>
      </w:pPr>
      <w:r>
        <w:rPr>
          <w:i/>
          <w:color w:val="666666"/>
          <w:sz w:val="18"/>
        </w:rPr>
        <w:t>Figure 22: Workforce Gender Composition Trend (2023-2024)</w:t>
      </w:r>
    </w:p>
    <w:p>
      <w:pPr>
        <w:jc w:val="center"/>
      </w:pPr>
      <w:r>
        <w:rPr>
          <w:i/>
          <w:color w:val="757575"/>
          <w:sz w:val="18"/>
        </w:rPr>
        <w:t>Female representation declined 3.88pp to 42.32% — male hiring outpaced female by 15.9pp growth rate, creating widening gender gap</w:t>
      </w:r>
    </w:p>
    <w:p/>
    <w:p>
      <w:r>
        <w:drawing>
          <wp:inline xmlns:a="http://schemas.openxmlformats.org/drawingml/2006/main" xmlns:pic="http://schemas.openxmlformats.org/drawingml/2006/picture">
            <wp:extent cx="5029200" cy="2875921"/>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2875921"/>
                    </a:xfrm>
                    <a:prstGeom prst="rect"/>
                  </pic:spPr>
                </pic:pic>
              </a:graphicData>
            </a:graphic>
          </wp:inline>
        </w:drawing>
      </w:r>
    </w:p>
    <w:p>
      <w:pPr>
        <w:jc w:val="center"/>
      </w:pPr>
      <w:r>
        <w:rPr>
          <w:i/>
          <w:color w:val="666666"/>
          <w:sz w:val="18"/>
        </w:rPr>
        <w:t>Figure 23: Training Hours per FTE: Institution vs Indonesian Banking Peers (2024)</w:t>
      </w:r>
    </w:p>
    <w:p>
      <w:pPr>
        <w:jc w:val="center"/>
      </w:pPr>
      <w:r>
        <w:rPr>
          <w:i/>
          <w:color w:val="757575"/>
          <w:sz w:val="18"/>
        </w:rPr>
        <w:t>Institution trails peers by 21% — BRI and OCBC exceed 62 hrs while institution declined to 49.3 hrs, creating skill development gap</w:t>
      </w:r>
    </w:p>
    <w:p/>
    <w:p>
      <w:r>
        <w:drawing>
          <wp:inline xmlns:a="http://schemas.openxmlformats.org/drawingml/2006/main" xmlns:pic="http://schemas.openxmlformats.org/drawingml/2006/picture">
            <wp:extent cx="5029200" cy="3223285"/>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223285"/>
                    </a:xfrm>
                    <a:prstGeom prst="rect"/>
                  </pic:spPr>
                </pic:pic>
              </a:graphicData>
            </a:graphic>
          </wp:inline>
        </w:drawing>
      </w:r>
    </w:p>
    <w:p>
      <w:pPr>
        <w:jc w:val="center"/>
      </w:pPr>
      <w:r>
        <w:rPr>
          <w:i/>
          <w:color w:val="666666"/>
          <w:sz w:val="18"/>
        </w:rPr>
        <w:t>Figure 24: Female Management Representation: Institution vs Peers</w:t>
      </w:r>
    </w:p>
    <w:p>
      <w:pPr>
        <w:jc w:val="center"/>
      </w:pPr>
      <w:r>
        <w:rPr>
          <w:i/>
          <w:color w:val="757575"/>
          <w:sz w:val="18"/>
        </w:rPr>
        <w:t>Institution at 26.67% lags BCA by 34.93pp and DBS by 11.33pp — significant diversity gap versus regional banking leaders</w:t>
      </w:r>
    </w:p>
    <w:p/>
    <w:p>
      <w:r>
        <w:drawing>
          <wp:inline xmlns:a="http://schemas.openxmlformats.org/drawingml/2006/main" xmlns:pic="http://schemas.openxmlformats.org/drawingml/2006/picture">
            <wp:extent cx="5029200" cy="3332057"/>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3332057"/>
                    </a:xfrm>
                    <a:prstGeom prst="rect"/>
                  </pic:spPr>
                </pic:pic>
              </a:graphicData>
            </a:graphic>
          </wp:inline>
        </w:drawing>
      </w:r>
    </w:p>
    <w:p>
      <w:pPr>
        <w:jc w:val="center"/>
      </w:pPr>
      <w:r>
        <w:rPr>
          <w:i/>
          <w:color w:val="666666"/>
          <w:sz w:val="18"/>
        </w:rPr>
        <w:t>Figure 25: Voluntary Turnover Rate Trend (2023-2024)</w:t>
      </w:r>
    </w:p>
    <w:p>
      <w:pPr>
        <w:jc w:val="center"/>
      </w:pPr>
      <w:r>
        <w:rPr>
          <w:i/>
          <w:color w:val="757575"/>
          <w:sz w:val="18"/>
        </w:rPr>
        <w:t>Turnover improved 40.66% to 8.45% — strong retention gains but sustainability requires restored training investment per peer practice</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workforce data reveals three interconnected challenges: declining gender diversity, reduced training investment, and workforce composition shifts during expansion. Female representation decreased across all levels (overall -3.88pp, management -1.78pp) while absolute female headcount declined 6.53% despite 2.03% total workforce growth. Training hours per FTE fell 23.14% during this expansion period, suggesting resource allocation prioritized headcount growth over development investment. The 40.66% improvement in voluntary turnover is positive but may prove unsustainable without restored training investment, as peer institutions demonstrate strong correlation between L&amp;D spending and retention outcomes.</w:t>
            </w:r>
          </w:p>
          <w:p>
            <w:r>
              <w:rPr>
                <w:b/>
                <w:sz w:val="20"/>
              </w:rPr>
              <w:t>Root Causes:</w:t>
            </w:r>
          </w:p>
          <w:p>
            <w:r>
              <w:rPr>
                <w:sz w:val="18"/>
              </w:rPr>
              <w:t>• Differential hiring patterns: Male headcount increased 9.38% while female headcount decreased 6.53%, indicating gender imbalance in recruitment or differential attrition rates not captured in voluntary turnover metric</w:t>
            </w:r>
          </w:p>
          <w:p>
            <w:r>
              <w:rPr>
                <w:sz w:val="18"/>
              </w:rPr>
              <w:t>• Training resource constraints: 23.14% reduction in hours per FTE during 2.03% workforce expansion suggests fixed training budget spread across larger employee base, or shift to lower-cost delivery methods with reduced effectiveness</w:t>
            </w:r>
          </w:p>
          <w:p>
            <w:r>
              <w:rPr>
                <w:sz w:val="18"/>
              </w:rPr>
              <w:t>• Management pipeline gaps: 1.78pp decline in female management representation indicates insufficient promotion of women to leadership roles or higher attrition among female managers</w:t>
            </w:r>
          </w:p>
          <w:p>
            <w:r>
              <w:rPr>
                <w:sz w:val="18"/>
              </w:rPr>
              <w:t>• Absence of structured diversity targets: No evidence of quantified gender diversity goals or accountability mechanisms that peer institutions use to drive representation improvements</w:t>
            </w:r>
          </w:p>
          <w:p>
            <w:r>
              <w:rPr>
                <w:b/>
                <w:sz w:val="20"/>
              </w:rPr>
              <w:t>Risk Implications:</w:t>
            </w:r>
          </w:p>
          <w:p>
            <w:r>
              <w:rPr>
                <w:sz w:val="18"/>
              </w:rPr>
              <w:t>• Regulatory risk: OJK POJK 51/2017 emphasizes social performance including workforce diversity and development. Declining diversity metrics may attract regulatory scrutiny, particularly as OJK increases ESG supervision intensity</w:t>
            </w:r>
          </w:p>
          <w:p>
            <w:r>
              <w:rPr>
                <w:sz w:val="18"/>
              </w:rPr>
              <w:t>• Talent risk: Training investment 21% below peer average (49.3 vs 62.4 hrs at BRI) undermines skill development in rapidly evolving banking environment (digital transformation, ESG integration, regulatory changes). May impact service quality and innovation capacity</w:t>
            </w:r>
          </w:p>
          <w:p>
            <w:r>
              <w:rPr>
                <w:sz w:val="18"/>
              </w:rPr>
              <w:t>• Reputational risk: Gender diversity gap versus peers (26.67% female management vs BCA 61.6%, DBS 38%) creates negative ESG rating pressure. MSCI, Sustainalytics, and institutional investors increasingly weight social metrics in financial sector assessments</w:t>
            </w:r>
          </w:p>
          <w:p>
            <w:r>
              <w:rPr>
                <w:sz w:val="18"/>
              </w:rPr>
              <w:t>• Strategic risk: Declining female representation contradicts global banking sector diversity trends and may limit access to diverse talent pools, perspectives, and market insights critical for customer-centric strategy</w:t>
            </w:r>
          </w:p>
        </w:tc>
      </w:tr>
    </w:tbl>
    <w:p/>
    <w:p/>
    <w:p>
      <w:r>
        <w:rPr>
          <w:b/>
          <w:color w:val="2E7D32"/>
          <w:sz w:val="24"/>
        </w:rPr>
        <w:t>⚡ Priority Actions</w:t>
      </w:r>
    </w:p>
    <w:p>
      <w:r>
        <w:rPr>
          <w:b/>
          <w:sz w:val="22"/>
        </w:rPr>
        <w:t>🔴 1. Launch 24-month gender diversity acceleration program with 30% female management target, including mentorship for high-potential women, gender-diverse hiring panels for all leadership roles, and quarterly Board reporting on diversity KPIs</w:t>
      </w:r>
      <w:r>
        <w:rPr>
          <w:sz w:val="22"/>
        </w:rPr>
        <w:t xml:space="preserve"> (Q2 2025)</w:t>
      </w:r>
    </w:p>
    <w:p>
      <w:pPr>
        <w:spacing w:after="160" w:line="276" w:lineRule="auto"/>
      </w:pPr>
      <w:r>
        <w:t xml:space="preserve">    → Expected: Increase female management representation by 3.33pp to 30% by Q4 2026; reverse declining female workforce participation trend</w:t>
      </w:r>
    </w:p>
    <w:p>
      <w:pPr>
        <w:spacing w:after="160" w:line="276" w:lineRule="auto"/>
      </w:pPr>
      <w:r>
        <w:rPr>
          <w:rFonts w:ascii="Arial" w:hAnsi="Arial"/>
          <w:i/>
          <w:color w:val="646464"/>
          <w:sz w:val="18"/>
        </w:rPr>
        <w:t xml:space="preserve">    → Ref: BCA achieved 61.6% female management through structured programs; DBS maintains 38% with gender-diverse panels and equal pay commitment (1:0.99 ratio)</w:t>
      </w:r>
    </w:p>
    <w:p>
      <w:r>
        <w:rPr>
          <w:b/>
          <w:sz w:val="22"/>
        </w:rPr>
        <w:t>🔴 2. Deploy scalable e-learning platform and restore training investment to 55+ hours per FTE, including mandatory ESG modules for all levels (reference BCA model) and technical upskilling for digital banking capabilities</w:t>
      </w:r>
      <w:r>
        <w:rPr>
          <w:sz w:val="22"/>
        </w:rPr>
        <w:t xml:space="preserve"> (Q3 2025)</w:t>
      </w:r>
    </w:p>
    <w:p>
      <w:pPr>
        <w:spacing w:after="160" w:line="276" w:lineRule="auto"/>
      </w:pPr>
      <w:r>
        <w:t xml:space="preserve">    → Expected: Achieve 55 hours per FTE by Q4 2025 (12% increase), 100% ESG training completion, enhanced retention through development investment</w:t>
      </w:r>
    </w:p>
    <w:p>
      <w:pPr>
        <w:spacing w:after="160" w:line="276" w:lineRule="auto"/>
      </w:pPr>
      <w:r>
        <w:rPr>
          <w:rFonts w:ascii="Arial" w:hAnsi="Arial"/>
          <w:i/>
          <w:color w:val="646464"/>
          <w:sz w:val="18"/>
        </w:rPr>
        <w:t xml:space="preserve">    → Ref: BRI delivers 62.4 hrs/FTE including all levels from BoC to non-staff; BCA implements annual ESG refresher with GRI/CDP/OJK collaboration</w:t>
      </w:r>
    </w:p>
    <w:p>
      <w:r>
        <w:rPr>
          <w:b/>
          <w:sz w:val="22"/>
        </w:rPr>
        <w:t>🟡 3. Conduct comprehensive gender pay equity audit and establish transparent pay parity disclosure in 2025 sustainability report, aligned with DBS practice of publishing gender pay ratios</w:t>
      </w:r>
      <w:r>
        <w:rPr>
          <w:sz w:val="22"/>
        </w:rPr>
        <w:t xml:space="preserve"> (Q4 2025)</w:t>
      </w:r>
    </w:p>
    <w:p>
      <w:pPr>
        <w:spacing w:after="160" w:line="276" w:lineRule="auto"/>
      </w:pPr>
      <w:r>
        <w:t xml:space="preserve">    → Expected: Identify and remediate any gender pay gaps; enhance ESG disclosure quality; improve social ratings from MSCI/Sustainalytics</w:t>
      </w:r>
    </w:p>
    <w:p>
      <w:pPr>
        <w:spacing w:after="160" w:line="276" w:lineRule="auto"/>
      </w:pPr>
      <w:r>
        <w:rPr>
          <w:rFonts w:ascii="Arial" w:hAnsi="Arial"/>
          <w:i/>
          <w:color w:val="646464"/>
          <w:sz w:val="18"/>
        </w:rPr>
        <w:t xml:space="preserve">    → Ref: DBS publishes gender pay ratio of 1:0.99 (female:male) demonstrating pay equity commitment and transparency</w:t>
      </w:r>
    </w:p>
    <w:p>
      <w:r>
        <w:rPr>
          <w:b/>
          <w:sz w:val="22"/>
        </w:rPr>
        <w:t>🟡 4. Implement turnover analytics by demographic segment (gender, age, position level) to identify retention risk patterns and ensure diversity gains are not undermined by differential attrition</w:t>
      </w:r>
      <w:r>
        <w:rPr>
          <w:sz w:val="22"/>
        </w:rPr>
        <w:t xml:space="preserve"> (Q3 2025)</w:t>
      </w:r>
    </w:p>
    <w:p>
      <w:pPr>
        <w:spacing w:after="160" w:line="276" w:lineRule="auto"/>
      </w:pPr>
      <w:r>
        <w:t xml:space="preserve">    → Expected: Early identification of retention risks in underrepresented groups; targeted interventions to maintain 8.45% turnover rate while improving diversity</w:t>
      </w:r>
    </w:p>
    <w:p>
      <w:pPr>
        <w:spacing w:after="160" w:line="276" w:lineRule="auto"/>
      </w:pPr>
      <w:r>
        <w:rPr>
          <w:rFonts w:ascii="Arial" w:hAnsi="Arial"/>
          <w:i/>
          <w:color w:val="646464"/>
          <w:sz w:val="18"/>
        </w:rPr>
        <w:t xml:space="preserve">    → Ref: BCA maintains low turnover through integrated retention strategy combining remuneration, career development, and work-life balance</w:t>
      </w:r>
    </w:p>
    <w:p/>
    <w:p>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(workforce composition, working conditions, equal treatment); OJK POJK 51/2017: Pilar II - Kinerja Sosial (Tenaga Kerja &amp; Kesetaraan)</w:t>
      </w:r>
    </w:p>
    <w:p>
      <w:pPr>
        <w:spacing w:after="80"/>
        <w:pBdr>
          <w:bottom w:val="single" w:sz="6" w:space="1" w:color="CCCCCC"/>
        </w:pBdr>
      </w:pPr>
    </w:p>
    <w:p>
      <w:pPr>
        <w:spacing w:after="160" w:line="276" w:lineRule="auto"/>
      </w:pPr>
      <w:r>
        <w:rPr>
          <w:rFonts w:ascii="Arial" w:hAnsi="Arial"/>
          <w:i/>
          <w:color w:val="646464"/>
          <w:sz w:val="18"/>
        </w:rPr>
        <w:t>All workforce data represents full-time equivalent (FTE) employees as of December 31, 2024, under operational control consolidation approach.</w:t>
      </w:r>
    </w:p>
    <w:p>
      <w:pPr>
        <w:spacing w:after="160" w:line="276" w:lineRule="auto"/>
      </w:pPr>
      <w:r>
        <w:rPr>
          <w:rFonts w:ascii="Arial" w:hAnsi="Arial"/>
          <w:i/>
          <w:color w:val="646464"/>
          <w:sz w:val="18"/>
        </w:rPr>
        <w:t>Year-over-year percentage changes are pre-computed and reported as provided in source systems.</w:t>
      </w:r>
    </w:p>
    <w:p>
      <w:pPr>
        <w:spacing w:after="160" w:line="276" w:lineRule="auto"/>
      </w:pPr>
      <w:r>
        <w:rPr>
          <w:rFonts w:ascii="Arial" w:hAnsi="Arial"/>
          <w:i/>
          <w:color w:val="646464"/>
          <w:sz w:val="18"/>
        </w:rPr>
        <w:t>Training hours include all formal learning activities (classroom, e-learning, workshops, conferences) but exclude on-the-job training and informal mentoring.</w:t>
      </w:r>
    </w:p>
    <w:p>
      <w:pPr>
        <w:spacing w:after="160" w:line="276" w:lineRule="auto"/>
      </w:pPr>
      <w:r>
        <w:rPr>
          <w:rFonts w:ascii="Arial" w:hAnsi="Arial"/>
          <w:i/>
          <w:color w:val="646464"/>
          <w:sz w:val="18"/>
        </w:rPr>
        <w:t>Management category includes all employees with supervisory responsibilities from team lead level to executive leadership.</w:t>
      </w:r>
    </w:p>
    <w:p>
      <w:pPr>
        <w:spacing w:after="160" w:line="276" w:lineRule="auto"/>
      </w:pPr>
      <w:r>
        <w:rPr>
          <w:rFonts w:ascii="Arial" w:hAnsi="Arial"/>
          <w:i/>
          <w:color w:val="646464"/>
          <w:sz w:val="18"/>
        </w:rPr>
        <w:t>Discrimination cases include all formal complaints filed through ethics hotline, HR channels, or direct management reporting during the calendar year.</w:t>
      </w:r>
    </w:p>
    <w:p>
      <w:r>
        <w:br w:type="page"/>
      </w:r>
    </w:p>
    <w:p>
      <w:pPr>
        <w:pStyle w:val="Heading1"/>
        <w:keepNext/>
        <w:spacing w:before="480" w:after="240"/>
      </w:pPr>
      <w:r>
        <w:rPr>
          <w:rFonts w:ascii="Arial" w:hAnsi="Arial"/>
          <w:b/>
          <w:color w:val="1B3A6B"/>
          <w:sz w:val="36"/>
        </w:rPr>
        <w:t>Governance &amp; Strategy</w:t>
      </w:r>
    </w:p>
    <w:p>
      <w:pPr>
        <w:pStyle w:val="Heading2"/>
        <w:keepNext/>
        <w:spacing w:before="360" w:after="160"/>
      </w:pPr>
      <w:r>
        <w:rPr>
          <w:rFonts w:ascii="Arial" w:hAnsi="Arial"/>
          <w:b/>
          <w:color w:val="3D6094"/>
          <w:sz w:val="28"/>
        </w:rPr>
        <w:t>3.1 Climate Governance &amp; ESG Oversight</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0</w:t>
            </w:r>
            <w:r>
              <w:rPr>
                <w:color w:val="757575"/>
                <w:sz w:val="18"/>
              </w:rPr>
              <w:t xml:space="preserve"> out of 7</w:t>
            </w:r>
            <w:r>
              <w:rPr>
                <w:b/>
                <w:color w:val="C62828"/>
                <w:sz w:val="20"/>
              </w:rPr>
              <w:br/>
              <w:t>vs. peer avg 5.5/7</w:t>
            </w:r>
          </w:p>
        </w:tc>
        <w:tc>
          <w:tcPr>
            <w:tcW w:type="dxa" w:w="2257"/>
            <w:shd w:fill="F2F6FA" w:val="clear"/>
          </w:tcPr>
          <w:p>
            <w:pPr>
              <w:jc w:val="center"/>
            </w:pPr>
            <w:r>
              <w:rPr>
                <w:b/>
                <w:color w:val="1B3A6B"/>
                <w:sz w:val="36"/>
              </w:rPr>
              <w:t>Not Established</w:t>
            </w:r>
            <w:r>
              <w:rPr>
                <w:color w:val="757575"/>
                <w:sz w:val="18"/>
              </w:rPr>
              <w:t xml:space="preserve"> status</w:t>
            </w:r>
            <w:r>
              <w:rPr>
                <w:b/>
                <w:color w:val="C62828"/>
                <w:sz w:val="20"/>
              </w:rPr>
              <w:br/>
              <w:t>Peers: 75% have dedicated committees</w:t>
            </w:r>
          </w:p>
        </w:tc>
        <w:tc>
          <w:tcPr>
            <w:tcW w:type="dxa" w:w="2257"/>
            <w:shd w:fill="F2F6FA" w:val="clear"/>
          </w:tcPr>
          <w:p>
            <w:pPr>
              <w:jc w:val="center"/>
            </w:pPr>
            <w:r>
              <w:rPr>
                <w:b/>
                <w:color w:val="1B3A6B"/>
                <w:sz w:val="36"/>
              </w:rPr>
              <w:t>0</w:t>
            </w:r>
            <w:r>
              <w:rPr>
                <w:color w:val="757575"/>
                <w:sz w:val="18"/>
              </w:rPr>
              <w:t xml:space="preserve"> %</w:t>
            </w:r>
            <w:r>
              <w:rPr>
                <w:b/>
                <w:color w:val="C62828"/>
                <w:sz w:val="20"/>
              </w:rPr>
              <w:br/>
              <w:t>Peers: 10-20% weight</w:t>
            </w:r>
          </w:p>
        </w:tc>
        <w:tc>
          <w:tcPr>
            <w:tcW w:type="dxa" w:w="2257"/>
            <w:shd w:fill="F2F6FA" w:val="clear"/>
          </w:tcPr>
          <w:p>
            <w:pPr>
              <w:jc w:val="center"/>
            </w:pPr>
            <w:r>
              <w:rPr>
                <w:b/>
                <w:color w:val="1B3A6B"/>
                <w:sz w:val="36"/>
              </w:rPr>
              <w:t>4.3-6.3</w:t>
            </w:r>
            <w:r>
              <w:rPr>
                <w:color w:val="757575"/>
                <w:sz w:val="18"/>
              </w:rPr>
              <w:t xml:space="preserve"> IDR billion</w:t>
            </w:r>
            <w:r>
              <w:rPr>
                <w:b/>
                <w:color w:val="2E7D32"/>
                <w:sz w:val="20"/>
              </w:rPr>
              <w:br/>
              <w:t>18-month roadmap</w:t>
            </w:r>
          </w:p>
        </w:tc>
      </w:tr>
      <w:tr>
        <w:tc>
          <w:tcPr>
            <w:tcW w:type="dxa" w:w="2257"/>
            <w:shd w:fill="F2F6FA" w:val="clear"/>
          </w:tcPr>
          <w:p>
            <w:pPr>
              <w:jc w:val="center"/>
            </w:pPr>
            <w:r>
              <w:rPr>
                <w:color w:val="757575"/>
                <w:sz w:val="16"/>
              </w:rPr>
              <w:t>Governance Requirements Met</w:t>
            </w:r>
          </w:p>
        </w:tc>
        <w:tc>
          <w:tcPr>
            <w:tcW w:type="dxa" w:w="2257"/>
            <w:shd w:fill="F2F6FA" w:val="clear"/>
          </w:tcPr>
          <w:p>
            <w:pPr>
              <w:jc w:val="center"/>
            </w:pPr>
            <w:r>
              <w:rPr>
                <w:color w:val="757575"/>
                <w:sz w:val="16"/>
              </w:rPr>
              <w:t>Board ESG Committee</w:t>
            </w:r>
          </w:p>
        </w:tc>
        <w:tc>
          <w:tcPr>
            <w:tcW w:type="dxa" w:w="2257"/>
            <w:shd w:fill="F2F6FA" w:val="clear"/>
          </w:tcPr>
          <w:p>
            <w:pPr>
              <w:jc w:val="center"/>
            </w:pPr>
            <w:r>
              <w:rPr>
                <w:color w:val="757575"/>
                <w:sz w:val="16"/>
              </w:rPr>
              <w:t>ESG in Executive Remuneration</w:t>
            </w:r>
          </w:p>
        </w:tc>
        <w:tc>
          <w:tcPr>
            <w:tcW w:type="dxa" w:w="2257"/>
            <w:shd w:fill="F2F6FA" w:val="clear"/>
          </w:tcPr>
          <w:p>
            <w:pPr>
              <w:jc w:val="center"/>
            </w:pPr>
            <w:r>
              <w:rPr>
                <w:color w:val="757575"/>
                <w:sz w:val="16"/>
              </w:rPr>
              <w:t>Estimated Implementation Investment</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Zero governance infrastructure vs. peers' quarterly Board oversight — critical regulatory and investor risk</w:t>
            </w:r>
          </w:p>
          <w:p>
            <w:r>
              <w:rPr>
                <w:sz w:val="20"/>
              </w:rPr>
              <w:t>The institution lacks all formal climate governance structures required by IFRS S2, GRI, ESRS, and OJK POJK 51/2017, while peers BRI, BCA, and DBS have established Board committees, quarterly review cadences, and ESG-linked remuneration (10-20% weight). This gap creates immediate regulatory compliance risk for IFRS S1/S2 adoption and investor due diligence failure risk. Establishing governance infrastructure is the foundational prerequisite for credible climate strategy and disclosure.</w:t>
            </w:r>
          </w:p>
        </w:tc>
      </w:tr>
    </w:tbl>
    <w:p/>
    <w:p>
      <w:pPr>
        <w:pStyle w:val="Heading3"/>
        <w:keepNext/>
      </w:pPr>
      <w:r>
        <w:rPr>
          <w:rFonts w:ascii="Arial" w:hAnsi="Arial"/>
          <w:b/>
          <w:color w:val="4A7AB5"/>
          <w:sz w:val="24"/>
        </w:rPr>
        <w:t>Governance Structure Gap Analysis</w:t>
      </w:r>
    </w:p>
    <w:p>
      <w:pPr>
        <w:spacing w:after="160" w:line="276" w:lineRule="auto"/>
      </w:pPr>
      <w:r>
        <w:rPr>
          <w:rFonts w:ascii="Arial" w:hAnsi="Arial"/>
          <w:sz w:val="22"/>
        </w:rPr>
        <w:t>The institution has not yet established formal governance structures for climate-related risks and opportunities as required by multiple sustainability reporting frameworks. This section identifies the governance disclosure requirements under IFRS S2, GRI 2-12/2-13, ESRS 2 GOV-3, and OJK POJK 51/2017 on Sustainable Finance Action Plan (SFAP), and provides a roadmap for establishing compliant governance infrastructure based on peer bank implementations in Indonesia.</w:t>
      </w:r>
    </w:p>
    <w:p>
      <w:pPr>
        <w:pStyle w:val="Heading3"/>
        <w:keepNext/>
      </w:pPr>
      <w:r>
        <w:rPr>
          <w:rFonts w:ascii="Arial" w:hAnsi="Arial"/>
          <w:b/>
          <w:color w:val="4A7AB5"/>
          <w:sz w:val="24"/>
        </w:rPr>
        <w:t>Framework Requirements Not Currently Met</w:t>
      </w:r>
    </w:p>
    <w:p>
      <w:pPr>
        <w:spacing w:after="160" w:line="276" w:lineRule="auto"/>
      </w:pPr>
      <w:r>
        <w:rPr>
          <w:rFonts w:ascii="Arial" w:hAnsi="Arial"/>
          <w:b/>
          <w:sz w:val="22"/>
        </w:rPr>
        <w:t>IFRS S2 Paragraph 5</w:t>
      </w:r>
      <w:r>
        <w:rPr>
          <w:rFonts w:ascii="Arial" w:hAnsi="Arial"/>
          <w:sz w:val="22"/>
        </w:rPr>
        <w:t xml:space="preserve"> requires identification of the governance body or bodies responsible for oversight of climate-related risks and opportunities. The institution must disclose the name of the board committee with this responsibility, its composition, and how climate considerations are integrated into its mandate.</w:t>
      </w:r>
    </w:p>
    <w:p>
      <w:pPr>
        <w:spacing w:after="160" w:line="276" w:lineRule="auto"/>
      </w:pPr>
      <w:r>
        <w:rPr>
          <w:rFonts w:ascii="Arial" w:hAnsi="Arial"/>
          <w:b/>
          <w:sz w:val="22"/>
        </w:rPr>
        <w:t>IFRS S2 Paragraph 6</w:t>
      </w:r>
      <w:r>
        <w:rPr>
          <w:rFonts w:ascii="Arial" w:hAnsi="Arial"/>
          <w:sz w:val="22"/>
        </w:rPr>
        <w:t xml:space="preserve"> requires description of management's role in governance processes and controls for climate-related risks and opportunities, including the position or committee with operational responsibility and reporting lines to the board.</w:t>
      </w:r>
    </w:p>
    <w:p>
      <w:pPr>
        <w:spacing w:after="160" w:line="276" w:lineRule="auto"/>
      </w:pPr>
      <w:r>
        <w:rPr>
          <w:rFonts w:ascii="Arial" w:hAnsi="Arial"/>
          <w:b/>
          <w:sz w:val="22"/>
        </w:rPr>
        <w:t>IFRS S2 Paragraph 7</w:t>
      </w:r>
      <w:r>
        <w:rPr>
          <w:rFonts w:ascii="Arial" w:hAnsi="Arial"/>
          <w:sz w:val="22"/>
        </w:rPr>
        <w:t xml:space="preserve"> requires disclosure of how governance bodies' oversight and management's governance processes are reflected in the institution's strategy, decision-making processes, and risk management.</w:t>
      </w:r>
    </w:p>
    <w:p>
      <w:pPr>
        <w:spacing w:after="160" w:line="276" w:lineRule="auto"/>
      </w:pPr>
      <w:r>
        <w:rPr>
          <w:rFonts w:ascii="Arial" w:hAnsi="Arial"/>
          <w:b/>
          <w:sz w:val="22"/>
        </w:rPr>
        <w:t>GRI 2-12</w:t>
      </w:r>
      <w:r>
        <w:rPr>
          <w:rFonts w:ascii="Arial" w:hAnsi="Arial"/>
          <w:sz w:val="22"/>
        </w:rPr>
        <w:t xml:space="preserve"> requires disclosure of the role of the highest governance body in overseeing the management of sustainability impacts, including how the body considers stakeholder concerns and how it is informed about material sustainability topics.</w:t>
      </w:r>
    </w:p>
    <w:p>
      <w:pPr>
        <w:spacing w:after="160" w:line="276" w:lineRule="auto"/>
      </w:pPr>
      <w:r>
        <w:rPr>
          <w:rFonts w:ascii="Arial" w:hAnsi="Arial"/>
          <w:b/>
          <w:sz w:val="22"/>
        </w:rPr>
        <w:t>GRI 2-13</w:t>
      </w:r>
      <w:r>
        <w:rPr>
          <w:rFonts w:ascii="Arial" w:hAnsi="Arial"/>
          <w:sz w:val="22"/>
        </w:rPr>
        <w:t xml:space="preserve"> requires disclosure of how responsibility for managing sustainability impacts is delegated from the highest governance body to senior executives and other employees.</w:t>
      </w:r>
    </w:p>
    <w:p>
      <w:pPr>
        <w:spacing w:after="160" w:line="276" w:lineRule="auto"/>
      </w:pPr>
      <w:r>
        <w:rPr>
          <w:rFonts w:ascii="Arial" w:hAnsi="Arial"/>
          <w:b/>
          <w:sz w:val="22"/>
        </w:rPr>
        <w:t>ESRS 2 GOV-3</w:t>
      </w:r>
      <w:r>
        <w:rPr>
          <w:rFonts w:ascii="Arial" w:hAnsi="Arial"/>
          <w:sz w:val="22"/>
        </w:rPr>
        <w:t xml:space="preserve"> requires disclosure of how sustainability performance is integrated into incentive schemes for members of administrative, management and supervisory bodies, including the percentage of variable remuneration linked to sustainability targets.</w:t>
      </w:r>
    </w:p>
    <w:p>
      <w:pPr>
        <w:spacing w:after="160" w:line="276" w:lineRule="auto"/>
      </w:pPr>
      <w:r>
        <w:rPr>
          <w:rFonts w:ascii="Arial" w:hAnsi="Arial"/>
          <w:b/>
          <w:sz w:val="22"/>
        </w:rPr>
        <w:t>OJK POJK 51/2017 and SEOJK 16/SEOJK.03/2021</w:t>
      </w:r>
      <w:r>
        <w:rPr>
          <w:rFonts w:ascii="Arial" w:hAnsi="Arial"/>
          <w:sz w:val="22"/>
        </w:rPr>
        <w:t xml:space="preserve"> require financial institutions to establish board-level oversight of sustainable finance implementation, including establishment of a sustainability committee or assignment of sustainability responsibilities to an existing board committee.</w:t>
      </w:r>
    </w:p>
    <w:p>
      <w:pPr>
        <w:pStyle w:val="Heading3"/>
        <w:keepNext/>
      </w:pPr>
      <w:r>
        <w:rPr>
          <w:rFonts w:ascii="Arial" w:hAnsi="Arial"/>
          <w:b/>
          <w:color w:val="4A7AB5"/>
          <w:sz w:val="24"/>
        </w:rPr>
        <w:t>Peer Bank Governance Practices</w:t>
      </w:r>
    </w:p>
    <w:p>
      <w:pPr>
        <w:spacing w:after="160" w:line="276" w:lineRule="auto"/>
      </w:pPr>
      <w:r>
        <w:rPr>
          <w:rFonts w:ascii="Arial" w:hAnsi="Arial"/>
          <w:sz w:val="22"/>
        </w:rPr>
        <w:t>Leading Indonesian banks have established comprehensive ESG governance structures that provide reference models for implementation:</w:t>
      </w:r>
    </w:p>
    <w:p>
      <w:pPr>
        <w:spacing w:after="160" w:line="276" w:lineRule="auto"/>
      </w:pPr>
      <w:r>
        <w:rPr>
          <w:rFonts w:ascii="Arial" w:hAnsi="Arial"/>
          <w:b/>
          <w:sz w:val="22"/>
        </w:rPr>
        <w:t>Bank Rakyat Indonesia (BRI)</w:t>
      </w:r>
      <w:r>
        <w:rPr>
          <w:rFonts w:ascii="Arial" w:hAnsi="Arial"/>
          <w:sz w:val="22"/>
        </w:rPr>
        <w:t xml:space="preserve"> established a dedicated Risk Management &amp; ESG Committee at the Board of Directors level in 2021 via Decision NOKEP 872-DIR/PPM/06/2022. The committee conducts quarterly reviews of climate-related risks and sustainability performance, with ESG KPIs integrated into Board of Directors remuneration. The committee reports directly to the President Director and oversees the institution's Science-Based Targets initiative (SBTi) commitment—the first Indonesian financial institution to make this commitment.</w:t>
      </w:r>
    </w:p>
    <w:p>
      <w:pPr>
        <w:spacing w:after="160" w:line="276" w:lineRule="auto"/>
      </w:pPr>
      <w:r>
        <w:rPr>
          <w:rFonts w:ascii="Arial" w:hAnsi="Arial"/>
          <w:b/>
          <w:sz w:val="22"/>
        </w:rPr>
        <w:t>Bank Central Asia (BCA)</w:t>
      </w:r>
      <w:r>
        <w:rPr>
          <w:rFonts w:ascii="Arial" w:hAnsi="Arial"/>
          <w:sz w:val="22"/>
        </w:rPr>
        <w:t xml:space="preserve"> operates an ESG Subdivision under the Corporate Secretary function, reporting to the Director of Planning &amp; Finance, who in turn reports to the President Director. The Board of Directors reviews ESG performance at least four times per year. ESG KPIs are integrated into Board of Directors and work unit performance assessments. BCA has issued multiple Board of Directors Decrees establishing sectoral ESG credit policies for high-risk sectors including palm oil, coal, timber, toll roads, cement, iron-steel, and oil &amp; gas.</w:t>
      </w:r>
    </w:p>
    <w:p>
      <w:pPr>
        <w:spacing w:after="160" w:line="276" w:lineRule="auto"/>
      </w:pPr>
      <w:r>
        <w:rPr>
          <w:rFonts w:ascii="Arial" w:hAnsi="Arial"/>
          <w:b/>
          <w:sz w:val="22"/>
        </w:rPr>
        <w:t>DBS Bank</w:t>
      </w:r>
      <w:r>
        <w:rPr>
          <w:rFonts w:ascii="Arial" w:hAnsi="Arial"/>
          <w:sz w:val="22"/>
        </w:rPr>
        <w:t xml:space="preserve"> maintains a Board Sustainability Committee with a dedicated Chief Sustainability Officer (CSO) reporting directly to the Board. The bank links 20% of executive variable remuneration to ESG performance metrics, including emissions reduction targets and sustainable finance portfolio growth. DBS conducts quarterly Board-level reviews of climate risk and has committed to Net Zero Banking Alliance (NZBA) targets.</w:t>
      </w:r>
    </w:p>
    <w:p>
      <w:pPr>
        <w:spacing w:after="160" w:line="276" w:lineRule="auto"/>
      </w:pPr>
      <w:r>
        <w:rPr>
          <w:rFonts w:ascii="Arial" w:hAnsi="Arial"/>
          <w:b/>
          <w:sz w:val="22"/>
        </w:rPr>
        <w:t>Bank Mandiri</w:t>
      </w:r>
      <w:r>
        <w:rPr>
          <w:rFonts w:ascii="Arial" w:hAnsi="Arial"/>
          <w:sz w:val="22"/>
        </w:rPr>
        <w:t xml:space="preserve"> operates an ESG Task Force with semi-annual Board review cadence and has established internal policies aligned with Good Corporate Governance (GCG) principles for sustainability oversight.</w:t>
      </w:r>
    </w:p>
    <w:p>
      <w:pPr>
        <w:pStyle w:val="Heading3"/>
        <w:keepNext/>
      </w:pPr>
      <w:r>
        <w:rPr>
          <w:rFonts w:ascii="Arial" w:hAnsi="Arial"/>
          <w:b/>
          <w:color w:val="4A7AB5"/>
          <w:sz w:val="24"/>
        </w:rPr>
        <w:t>Recommended Governance Infrastructure</w:t>
      </w:r>
    </w:p>
    <w:p>
      <w:pPr>
        <w:spacing w:after="160" w:line="276" w:lineRule="auto"/>
      </w:pPr>
      <w:r>
        <w:rPr>
          <w:rFonts w:ascii="Arial" w:hAnsi="Arial"/>
          <w:sz w:val="22"/>
        </w:rPr>
        <w:t>Based on peer practices and regulatory requirements, the institution should establish the following governance infrastructure:</w:t>
      </w:r>
    </w:p>
    <w:p>
      <w:pPr>
        <w:spacing w:after="160" w:line="276" w:lineRule="auto"/>
      </w:pPr>
      <w:r>
        <w:rPr>
          <w:rFonts w:ascii="Arial" w:hAnsi="Arial"/>
          <w:b/>
          <w:sz w:val="22"/>
        </w:rPr>
        <w:t>Board-Level Oversight:</w:t>
      </w:r>
      <w:r>
        <w:rPr>
          <w:rFonts w:ascii="Arial" w:hAnsi="Arial"/>
          <w:sz w:val="22"/>
        </w:rPr>
        <w:t xml:space="preserve"> Establish a Board Risk &amp; Sustainability Committee (or assign sustainability oversight to an existing Risk Committee) with a formal charter defining climate-related risk oversight responsibilities. The committee should meet at minimum quarterly to review: (1) climate-related risks and opportunities identified through enterprise risk management processes; (2) progress against emissions reduction targets and sustainable finance portfolio targets; (3) regulatory developments including OJK SFAP implementation and IFRS S1/S2 adoption timeline; (4) material climate-related transactions or strategic decisions. Committee composition should include at least one member with demonstrated climate or sustainability expertise, with annual training provided to all members on emerging climate risks and disclosure requirements.</w:t>
      </w:r>
    </w:p>
    <w:p>
      <w:pPr>
        <w:spacing w:after="160" w:line="276" w:lineRule="auto"/>
      </w:pPr>
      <w:r>
        <w:rPr>
          <w:rFonts w:ascii="Arial" w:hAnsi="Arial"/>
          <w:b/>
          <w:sz w:val="22"/>
        </w:rPr>
        <w:t>Management-Level Responsibility:</w:t>
      </w:r>
      <w:r>
        <w:rPr>
          <w:rFonts w:ascii="Arial" w:hAnsi="Arial"/>
          <w:sz w:val="22"/>
        </w:rPr>
        <w:t xml:space="preserve"> Designate a Chief Risk Officer or Chief Sustainability Officer with explicit responsibility for climate-related risk management and sustainability strategy implementation. This position should report directly to the President Director and present to the Board committee quarterly. Establish a cross-functional ESG Working Group including representatives from Risk Management, Corporate Planning, Treasury, Credit Policy, and Investor Relations to coordinate climate-related initiatives and data collection.</w:t>
      </w:r>
    </w:p>
    <w:p>
      <w:pPr>
        <w:spacing w:after="160" w:line="276" w:lineRule="auto"/>
      </w:pPr>
      <w:r>
        <w:rPr>
          <w:rFonts w:ascii="Arial" w:hAnsi="Arial"/>
          <w:b/>
          <w:sz w:val="22"/>
        </w:rPr>
        <w:t>Target Setting and Monitoring:</w:t>
      </w:r>
      <w:r>
        <w:rPr>
          <w:rFonts w:ascii="Arial" w:hAnsi="Arial"/>
          <w:sz w:val="22"/>
        </w:rPr>
        <w:t xml:space="preserve"> Assign authority for setting climate-related targets (emissions reduction, sustainable finance portfolio growth, sectoral exposure limits) to the Board committee, with management responsible for developing target scenarios and implementation roadmaps. Establish quarterly monitoring of key performance indicators including Scope 1+2 emissions intensity, financed emissions by sector, sustainable finance portfolio percentage, and PCAF data quality scores. Integrate these KPIs into the institution's balanced scorecard and management information system.</w:t>
      </w:r>
    </w:p>
    <w:p>
      <w:pPr>
        <w:spacing w:after="160" w:line="276" w:lineRule="auto"/>
      </w:pPr>
      <w:r>
        <w:rPr>
          <w:rFonts w:ascii="Arial" w:hAnsi="Arial"/>
          <w:b/>
          <w:sz w:val="22"/>
        </w:rPr>
        <w:t>Remuneration Linkage:</w:t>
      </w:r>
      <w:r>
        <w:rPr>
          <w:rFonts w:ascii="Arial" w:hAnsi="Arial"/>
          <w:sz w:val="22"/>
        </w:rPr>
        <w:t xml:space="preserve"> Integrate ESG performance metrics into executive variable remuneration, starting with 10% weight in Year 1 and scaling to 20% by Year 3 (aligned with DBS practice). Metrics should include: (1) achievement of annual emissions reduction targets; (2) sustainable finance portfolio growth versus SFAP commitments; (3) completion of sectoral credit policy implementation; (4) improvement in PCAF data quality scores. Document the remuneration framework in the Board Remuneration Committee charter and disclose annually in the sustainability report.</w:t>
      </w:r>
    </w:p>
    <w:p>
      <w:pPr>
        <w:spacing w:after="160" w:line="276" w:lineRule="auto"/>
      </w:pPr>
      <w:r>
        <w:rPr>
          <w:rFonts w:ascii="Arial" w:hAnsi="Arial"/>
          <w:b/>
          <w:sz w:val="22"/>
        </w:rPr>
        <w:t>Policy Framework:</w:t>
      </w:r>
      <w:r>
        <w:rPr>
          <w:rFonts w:ascii="Arial" w:hAnsi="Arial"/>
          <w:sz w:val="22"/>
        </w:rPr>
        <w:t xml:space="preserve"> Issue Board of Directors Decrees establishing: (1) Climate Risk Management Policy defining risk appetite, scenario analysis methodology, and stress testing requirements; (2) Sustainable Finance Framework defining eligible green/social/sustainability-linked products and client engagement approach; (3) Sectoral Credit Policies for carbon-intensive sectors (energy, cement, steel, transportation) specifying exposure limits, client eligibility criteria, and transition support mechanisms. Align policies with Indonesian Green Taxonomy (Taksonomi Hijau Indonesia) and OJK Technical Guidelines (SEOJK 16/2021).</w:t>
      </w:r>
    </w:p>
    <w:p>
      <w:pPr>
        <w:pStyle w:val="Heading3"/>
        <w:keepNext/>
      </w:pPr>
      <w:r>
        <w:rPr>
          <w:rFonts w:ascii="Arial" w:hAnsi="Arial"/>
          <w:b/>
          <w:color w:val="4A7AB5"/>
          <w:sz w:val="24"/>
        </w:rPr>
        <w:t>Implementation Timeline</w:t>
      </w:r>
    </w:p>
    <w:p>
      <w:pPr>
        <w:spacing w:after="160" w:line="276" w:lineRule="auto"/>
      </w:pPr>
      <w:r>
        <w:rPr>
          <w:rFonts w:ascii="Arial" w:hAnsi="Arial"/>
          <w:b/>
          <w:sz w:val="22"/>
        </w:rPr>
        <w:t>Q3 2025:</w:t>
      </w:r>
      <w:r>
        <w:rPr>
          <w:rFonts w:ascii="Arial" w:hAnsi="Arial"/>
          <w:sz w:val="22"/>
        </w:rPr>
        <w:t xml:space="preserve"> Establish Board committee charter and designate management-level responsibility. Conduct initial Board training on climate risk and IFRS S2 requirements. Initiate development of Climate Risk Management Policy.</w:t>
      </w:r>
    </w:p>
    <w:p>
      <w:pPr>
        <w:spacing w:after="160" w:line="276" w:lineRule="auto"/>
      </w:pPr>
      <w:r>
        <w:rPr>
          <w:rFonts w:ascii="Arial" w:hAnsi="Arial"/>
          <w:b/>
          <w:sz w:val="22"/>
        </w:rPr>
        <w:t>Q4 2025:</w:t>
      </w:r>
      <w:r>
        <w:rPr>
          <w:rFonts w:ascii="Arial" w:hAnsi="Arial"/>
          <w:sz w:val="22"/>
        </w:rPr>
        <w:t xml:space="preserve"> Complete first quarterly Board committee meeting with climate risk review. Issue Board Decree on Sustainable Finance Framework. Begin integration of ESG KPIs into executive scorecards for 2026 performance cycle.</w:t>
      </w:r>
    </w:p>
    <w:p>
      <w:pPr>
        <w:spacing w:after="160" w:line="276" w:lineRule="auto"/>
      </w:pPr>
      <w:r>
        <w:rPr>
          <w:rFonts w:ascii="Arial" w:hAnsi="Arial"/>
          <w:b/>
          <w:sz w:val="22"/>
        </w:rPr>
        <w:t>Q1 2026:</w:t>
      </w:r>
      <w:r>
        <w:rPr>
          <w:rFonts w:ascii="Arial" w:hAnsi="Arial"/>
          <w:sz w:val="22"/>
        </w:rPr>
        <w:t xml:space="preserve"> Issue sectoral credit policies for top three carbon-intensive sectors (energy, cement, steel). Complete baseline assessment of current governance practices against IFRS S2 and GRI requirements.</w:t>
      </w:r>
    </w:p>
    <w:p>
      <w:pPr>
        <w:spacing w:after="160" w:line="276" w:lineRule="auto"/>
      </w:pPr>
      <w:r>
        <w:rPr>
          <w:rFonts w:ascii="Arial" w:hAnsi="Arial"/>
          <w:b/>
          <w:sz w:val="22"/>
        </w:rPr>
        <w:t>Q2 2026:</w:t>
      </w:r>
      <w:r>
        <w:rPr>
          <w:rFonts w:ascii="Arial" w:hAnsi="Arial"/>
          <w:sz w:val="22"/>
        </w:rPr>
        <w:t xml:space="preserve"> Implement 10% ESG weight in executive remuneration for 2026 performance year. Conduct second Board training on scenario analysis and transition planning.</w:t>
      </w:r>
    </w:p>
    <w:p>
      <w:pPr>
        <w:spacing w:after="160" w:line="276" w:lineRule="auto"/>
      </w:pPr>
      <w:r>
        <w:rPr>
          <w:rFonts w:ascii="Arial" w:hAnsi="Arial"/>
          <w:b/>
          <w:sz w:val="22"/>
        </w:rPr>
        <w:t>Q3-Q4 2026:</w:t>
      </w:r>
      <w:r>
        <w:rPr>
          <w:rFonts w:ascii="Arial" w:hAnsi="Arial"/>
          <w:sz w:val="22"/>
        </w:rPr>
        <w:t xml:space="preserve"> Achieve full compliance with IFRS S2 governance disclosure requirements for 2026 reporting cycle. Establish quarterly monitoring dashboard for Board committee. Complete remaining sectoral credit policies.</w:t>
      </w:r>
    </w:p>
    <w:p>
      <w:pPr>
        <w:spacing w:after="160" w:line="276" w:lineRule="auto"/>
      </w:pPr>
      <w:r>
        <w:rPr>
          <w:rFonts w:ascii="Arial" w:hAnsi="Arial"/>
          <w:b/>
          <w:sz w:val="22"/>
        </w:rPr>
        <w:t>2027:</w:t>
      </w:r>
      <w:r>
        <w:rPr>
          <w:rFonts w:ascii="Arial" w:hAnsi="Arial"/>
          <w:sz w:val="22"/>
        </w:rPr>
        <w:t xml:space="preserve"> Scale ESG remuneration weight to 15-20%. Conduct external benchmarking of governance practices against NZBA and SBTi requirements. Evaluate Chief Sustainability Officer appointment based on portfolio complexity and regulatory developments.</w:t>
      </w:r>
    </w:p>
    <w:p>
      <w:pPr>
        <w:spacing w:after="160" w:line="276" w:lineRule="auto"/>
      </w:pPr>
      <w:r>
        <w:rPr>
          <w:rFonts w:ascii="Arial" w:hAnsi="Arial"/>
          <w:sz w:val="22"/>
        </w:rPr>
        <w:t>These figures represent governance infrastructure gaps identified through framework requirement analysis. The institution has not yet established formal board-level oversight mechanisms for climate-related risks as required by IFRS S2, GRI 2-12/2-13, ESRS 2 GOV-3, and OJK POJK 51/2017. Implementation of the recommended governance infrastructure is a high priority for achieving regulatory compliance and investor expectations for sustainability disclosure.</w:t>
      </w:r>
    </w:p>
    <w:p>
      <w:r>
        <w:rPr>
          <w:rFonts w:ascii="Arial" w:hAnsi="Arial"/>
          <w:b/>
          <w:sz w:val="20"/>
        </w:rPr>
        <w:t>Table 54: Table 3.1.1: Framework Governance Requirements and Current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IFRS S2</w:t>
            </w:r>
          </w:p>
        </w:tc>
        <w:tc>
          <w:tcPr>
            <w:tcW w:type="dxa" w:w="1806"/>
          </w:tcPr>
          <w:p>
            <w:r>
              <w:rPr>
                <w:rFonts w:ascii="Arial" w:hAnsi="Arial"/>
                <w:sz w:val="18"/>
              </w:rPr>
              <w:t>Paragraph 5</w:t>
            </w:r>
          </w:p>
        </w:tc>
        <w:tc>
          <w:tcPr>
            <w:tcW w:type="dxa" w:w="1806"/>
          </w:tcPr>
          <w:p>
            <w:r>
              <w:rPr>
                <w:rFonts w:ascii="Arial" w:hAnsi="Arial"/>
                <w:sz w:val="18"/>
              </w:rPr>
              <w:t>Identification of governance body responsible for climate oversight</w:t>
            </w:r>
          </w:p>
        </w:tc>
        <w:tc>
          <w:tcPr>
            <w:tcW w:type="dxa" w:w="1806"/>
          </w:tcPr>
          <w:p>
            <w:r>
              <w:rPr>
                <w:rFonts w:ascii="Arial" w:hAnsi="Arial"/>
                <w:sz w:val="18"/>
              </w:rPr>
              <w:t>⚠️ Gap — No dedicated committee established</w:t>
            </w:r>
          </w:p>
        </w:tc>
        <w:tc>
          <w:tcPr>
            <w:tcW w:type="dxa" w:w="1806"/>
          </w:tcPr>
          <w:p>
            <w:r>
              <w:rPr>
                <w:rFonts w:ascii="Arial" w:hAnsi="Arial"/>
                <w:sz w:val="18"/>
              </w:rPr>
              <w:t>High</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Paragraph 6</w:t>
            </w:r>
          </w:p>
        </w:tc>
        <w:tc>
          <w:tcPr>
            <w:tcW w:type="dxa" w:w="1806"/>
            <w:shd w:fill="F2F6FC" w:val="clear"/>
          </w:tcPr>
          <w:p>
            <w:r>
              <w:rPr>
                <w:rFonts w:ascii="Arial" w:hAnsi="Arial"/>
                <w:sz w:val="18"/>
              </w:rPr>
              <w:t>Description of management's role in climate governance</w:t>
            </w:r>
          </w:p>
        </w:tc>
        <w:tc>
          <w:tcPr>
            <w:tcW w:type="dxa" w:w="1806"/>
            <w:shd w:fill="F2F6FC" w:val="clear"/>
          </w:tcPr>
          <w:p>
            <w:r>
              <w:rPr>
                <w:rFonts w:ascii="Arial" w:hAnsi="Arial"/>
                <w:sz w:val="18"/>
              </w:rPr>
              <w:t>⚠️ Gap — No designated management position</w:t>
            </w:r>
          </w:p>
        </w:tc>
        <w:tc>
          <w:tcPr>
            <w:tcW w:type="dxa" w:w="1806"/>
            <w:shd w:fill="F2F6FC" w:val="clear"/>
          </w:tcPr>
          <w:p>
            <w:r>
              <w:rPr>
                <w:rFonts w:ascii="Arial" w:hAnsi="Arial"/>
                <w:sz w:val="18"/>
              </w:rPr>
              <w:t>High</w:t>
            </w:r>
          </w:p>
        </w:tc>
      </w:tr>
      <w:tr>
        <w:tc>
          <w:tcPr>
            <w:tcW w:type="dxa" w:w="1806"/>
          </w:tcPr>
          <w:p>
            <w:r>
              <w:rPr>
                <w:rFonts w:ascii="Arial" w:hAnsi="Arial"/>
                <w:sz w:val="18"/>
              </w:rPr>
              <w:t>IFRS S2</w:t>
            </w:r>
          </w:p>
        </w:tc>
        <w:tc>
          <w:tcPr>
            <w:tcW w:type="dxa" w:w="1806"/>
          </w:tcPr>
          <w:p>
            <w:r>
              <w:rPr>
                <w:rFonts w:ascii="Arial" w:hAnsi="Arial"/>
                <w:sz w:val="18"/>
              </w:rPr>
              <w:t>Paragraph 7</w:t>
            </w:r>
          </w:p>
        </w:tc>
        <w:tc>
          <w:tcPr>
            <w:tcW w:type="dxa" w:w="1806"/>
          </w:tcPr>
          <w:p>
            <w:r>
              <w:rPr>
                <w:rFonts w:ascii="Arial" w:hAnsi="Arial"/>
                <w:sz w:val="18"/>
              </w:rPr>
              <w:t>How governance is reflected in strategy and risk management</w:t>
            </w:r>
          </w:p>
        </w:tc>
        <w:tc>
          <w:tcPr>
            <w:tcW w:type="dxa" w:w="1806"/>
          </w:tcPr>
          <w:p>
            <w:r>
              <w:rPr>
                <w:rFonts w:ascii="Arial" w:hAnsi="Arial"/>
                <w:sz w:val="18"/>
              </w:rPr>
              <w:t>⚠️ Gap — Climate not yet integrated into ERM</w:t>
            </w:r>
          </w:p>
        </w:tc>
        <w:tc>
          <w:tcPr>
            <w:tcW w:type="dxa" w:w="1806"/>
          </w:tcPr>
          <w:p>
            <w:r>
              <w:rPr>
                <w:rFonts w:ascii="Arial" w:hAnsi="Arial"/>
                <w:sz w:val="18"/>
              </w:rPr>
              <w:t>High</w:t>
            </w:r>
          </w:p>
        </w:tc>
      </w:tr>
      <w:tr>
        <w:tc>
          <w:tcPr>
            <w:tcW w:type="dxa" w:w="1806"/>
            <w:shd w:fill="F2F6FC" w:val="clear"/>
          </w:tcPr>
          <w:p>
            <w:r>
              <w:rPr>
                <w:rFonts w:ascii="Arial" w:hAnsi="Arial"/>
                <w:sz w:val="18"/>
              </w:rPr>
              <w:t>GRI 2-12</w:t>
            </w:r>
          </w:p>
        </w:tc>
        <w:tc>
          <w:tcPr>
            <w:tcW w:type="dxa" w:w="1806"/>
            <w:shd w:fill="F2F6FC" w:val="clear"/>
          </w:tcPr>
          <w:p>
            <w:r>
              <w:rPr>
                <w:rFonts w:ascii="Arial" w:hAnsi="Arial"/>
                <w:sz w:val="18"/>
              </w:rPr>
              <w:t>2-12a</w:t>
            </w:r>
          </w:p>
        </w:tc>
        <w:tc>
          <w:tcPr>
            <w:tcW w:type="dxa" w:w="1806"/>
            <w:shd w:fill="F2F6FC" w:val="clear"/>
          </w:tcPr>
          <w:p>
            <w:r>
              <w:rPr>
                <w:rFonts w:ascii="Arial" w:hAnsi="Arial"/>
                <w:sz w:val="18"/>
              </w:rPr>
              <w:t>Role of highest governance body in sustainability oversight</w:t>
            </w:r>
          </w:p>
        </w:tc>
        <w:tc>
          <w:tcPr>
            <w:tcW w:type="dxa" w:w="1806"/>
            <w:shd w:fill="F2F6FC" w:val="clear"/>
          </w:tcPr>
          <w:p>
            <w:r>
              <w:rPr>
                <w:rFonts w:ascii="Arial" w:hAnsi="Arial"/>
                <w:sz w:val="18"/>
              </w:rPr>
              <w:t>⚠️ Gap — No formal board oversight process</w:t>
            </w:r>
          </w:p>
        </w:tc>
        <w:tc>
          <w:tcPr>
            <w:tcW w:type="dxa" w:w="1806"/>
            <w:shd w:fill="F2F6FC" w:val="clear"/>
          </w:tcPr>
          <w:p>
            <w:r>
              <w:rPr>
                <w:rFonts w:ascii="Arial" w:hAnsi="Arial"/>
                <w:sz w:val="18"/>
              </w:rPr>
              <w:t>High</w:t>
            </w:r>
          </w:p>
        </w:tc>
      </w:tr>
      <w:tr>
        <w:tc>
          <w:tcPr>
            <w:tcW w:type="dxa" w:w="1806"/>
          </w:tcPr>
          <w:p>
            <w:r>
              <w:rPr>
                <w:rFonts w:ascii="Arial" w:hAnsi="Arial"/>
                <w:sz w:val="18"/>
              </w:rPr>
              <w:t>GRI 2-13</w:t>
            </w:r>
          </w:p>
        </w:tc>
        <w:tc>
          <w:tcPr>
            <w:tcW w:type="dxa" w:w="1806"/>
          </w:tcPr>
          <w:p>
            <w:r>
              <w:rPr>
                <w:rFonts w:ascii="Arial" w:hAnsi="Arial"/>
                <w:sz w:val="18"/>
              </w:rPr>
              <w:t>2-13a</w:t>
            </w:r>
          </w:p>
        </w:tc>
        <w:tc>
          <w:tcPr>
            <w:tcW w:type="dxa" w:w="1806"/>
          </w:tcPr>
          <w:p>
            <w:r>
              <w:rPr>
                <w:rFonts w:ascii="Arial" w:hAnsi="Arial"/>
                <w:sz w:val="18"/>
              </w:rPr>
              <w:t>Delegation of responsibility for sustainability impacts</w:t>
            </w:r>
          </w:p>
        </w:tc>
        <w:tc>
          <w:tcPr>
            <w:tcW w:type="dxa" w:w="1806"/>
          </w:tcPr>
          <w:p>
            <w:r>
              <w:rPr>
                <w:rFonts w:ascii="Arial" w:hAnsi="Arial"/>
                <w:sz w:val="18"/>
              </w:rPr>
              <w:t>⚠️ Gap — No delegation structure established</w:t>
            </w:r>
          </w:p>
        </w:tc>
        <w:tc>
          <w:tcPr>
            <w:tcW w:type="dxa" w:w="1806"/>
          </w:tcPr>
          <w:p>
            <w:r>
              <w:rPr>
                <w:rFonts w:ascii="Arial" w:hAnsi="Arial"/>
                <w:sz w:val="18"/>
              </w:rPr>
              <w:t>High</w:t>
            </w:r>
          </w:p>
        </w:tc>
      </w:tr>
      <w:tr>
        <w:tc>
          <w:tcPr>
            <w:tcW w:type="dxa" w:w="1806"/>
            <w:shd w:fill="F2F6FC" w:val="clear"/>
          </w:tcPr>
          <w:p>
            <w:r>
              <w:rPr>
                <w:rFonts w:ascii="Arial" w:hAnsi="Arial"/>
                <w:sz w:val="18"/>
              </w:rPr>
              <w:t>ESRS 2</w:t>
            </w:r>
          </w:p>
        </w:tc>
        <w:tc>
          <w:tcPr>
            <w:tcW w:type="dxa" w:w="1806"/>
            <w:shd w:fill="F2F6FC" w:val="clear"/>
          </w:tcPr>
          <w:p>
            <w:r>
              <w:rPr>
                <w:rFonts w:ascii="Arial" w:hAnsi="Arial"/>
                <w:sz w:val="18"/>
              </w:rPr>
              <w:t>GOV-3</w:t>
            </w:r>
          </w:p>
        </w:tc>
        <w:tc>
          <w:tcPr>
            <w:tcW w:type="dxa" w:w="1806"/>
            <w:shd w:fill="F2F6FC" w:val="clear"/>
          </w:tcPr>
          <w:p>
            <w:r>
              <w:rPr>
                <w:rFonts w:ascii="Arial" w:hAnsi="Arial"/>
                <w:sz w:val="18"/>
              </w:rPr>
              <w:t>Integration of sustainability in incentive schemes</w:t>
            </w:r>
          </w:p>
        </w:tc>
        <w:tc>
          <w:tcPr>
            <w:tcW w:type="dxa" w:w="1806"/>
            <w:shd w:fill="F2F6FC" w:val="clear"/>
          </w:tcPr>
          <w:p>
            <w:r>
              <w:rPr>
                <w:rFonts w:ascii="Arial" w:hAnsi="Arial"/>
                <w:sz w:val="18"/>
              </w:rPr>
              <w:t>⚠️ Gap — No ESG metrics in remuneration</w:t>
            </w:r>
          </w:p>
        </w:tc>
        <w:tc>
          <w:tcPr>
            <w:tcW w:type="dxa" w:w="1806"/>
            <w:shd w:fill="F2F6FC" w:val="clear"/>
          </w:tcPr>
          <w:p>
            <w:r>
              <w:rPr>
                <w:rFonts w:ascii="Arial" w:hAnsi="Arial"/>
                <w:sz w:val="18"/>
              </w:rPr>
              <w:t>Medium</w:t>
            </w:r>
          </w:p>
        </w:tc>
      </w:tr>
      <w:tr>
        <w:tc>
          <w:tcPr>
            <w:tcW w:type="dxa" w:w="1806"/>
          </w:tcPr>
          <w:p>
            <w:r>
              <w:rPr>
                <w:rFonts w:ascii="Arial" w:hAnsi="Arial"/>
                <w:sz w:val="18"/>
              </w:rPr>
              <w:t>OJK POJK 51/2017</w:t>
            </w:r>
          </w:p>
        </w:tc>
        <w:tc>
          <w:tcPr>
            <w:tcW w:type="dxa" w:w="1806"/>
          </w:tcPr>
          <w:p>
            <w:r>
              <w:rPr>
                <w:rFonts w:ascii="Arial" w:hAnsi="Arial"/>
                <w:sz w:val="18"/>
              </w:rPr>
              <w:t>Article 6-8</w:t>
            </w:r>
          </w:p>
        </w:tc>
        <w:tc>
          <w:tcPr>
            <w:tcW w:type="dxa" w:w="1806"/>
          </w:tcPr>
          <w:p>
            <w:r>
              <w:rPr>
                <w:rFonts w:ascii="Arial" w:hAnsi="Arial"/>
                <w:sz w:val="18"/>
              </w:rPr>
              <w:t>Board-level sustainability committee or assignment</w:t>
            </w:r>
          </w:p>
        </w:tc>
        <w:tc>
          <w:tcPr>
            <w:tcW w:type="dxa" w:w="1806"/>
          </w:tcPr>
          <w:p>
            <w:r>
              <w:rPr>
                <w:rFonts w:ascii="Arial" w:hAnsi="Arial"/>
                <w:sz w:val="18"/>
              </w:rPr>
              <w:t>⚠️ Gap — No committee or formal assignment</w:t>
            </w:r>
          </w:p>
        </w:tc>
        <w:tc>
          <w:tcPr>
            <w:tcW w:type="dxa" w:w="1806"/>
          </w:tcPr>
          <w:p>
            <w:r>
              <w:rPr>
                <w:rFonts w:ascii="Arial" w:hAnsi="Arial"/>
                <w:sz w:val="18"/>
              </w:rPr>
              <w:t>High</w:t>
            </w:r>
          </w:p>
        </w:tc>
      </w:tr>
      <w:tr>
        <w:tc>
          <w:tcPr>
            <w:tcW w:type="dxa" w:w="1806"/>
            <w:shd w:fill="F2F6FC" w:val="clear"/>
          </w:tcPr>
          <w:p>
            <w:r>
              <w:rPr>
                <w:rFonts w:ascii="Arial" w:hAnsi="Arial"/>
                <w:sz w:val="18"/>
              </w:rPr>
              <w:t>OJK SEOJK 16/2021</w:t>
            </w:r>
          </w:p>
        </w:tc>
        <w:tc>
          <w:tcPr>
            <w:tcW w:type="dxa" w:w="1806"/>
            <w:shd w:fill="F2F6FC" w:val="clear"/>
          </w:tcPr>
          <w:p>
            <w:r>
              <w:rPr>
                <w:rFonts w:ascii="Arial" w:hAnsi="Arial"/>
                <w:sz w:val="18"/>
              </w:rPr>
              <w:t>Technical Guidelines</w:t>
            </w:r>
          </w:p>
        </w:tc>
        <w:tc>
          <w:tcPr>
            <w:tcW w:type="dxa" w:w="1806"/>
            <w:shd w:fill="F2F6FC" w:val="clear"/>
          </w:tcPr>
          <w:p>
            <w:r>
              <w:rPr>
                <w:rFonts w:ascii="Arial" w:hAnsi="Arial"/>
                <w:sz w:val="18"/>
              </w:rPr>
              <w:t>SFAP implementation oversight and reporting</w:t>
            </w:r>
          </w:p>
        </w:tc>
        <w:tc>
          <w:tcPr>
            <w:tcW w:type="dxa" w:w="1806"/>
            <w:shd w:fill="F2F6FC" w:val="clear"/>
          </w:tcPr>
          <w:p>
            <w:r>
              <w:rPr>
                <w:rFonts w:ascii="Arial" w:hAnsi="Arial"/>
                <w:sz w:val="18"/>
              </w:rPr>
              <w:t>⚠️ Gap — Oversight mechanism not formalized</w:t>
            </w:r>
          </w:p>
        </w:tc>
        <w:tc>
          <w:tcPr>
            <w:tcW w:type="dxa" w:w="1806"/>
            <w:shd w:fill="F2F6FC" w:val="clear"/>
          </w:tcPr>
          <w:p>
            <w:r>
              <w:rPr>
                <w:rFonts w:ascii="Arial" w:hAnsi="Arial"/>
                <w:sz w:val="18"/>
              </w:rPr>
              <w:t>High</w:t>
            </w:r>
          </w:p>
        </w:tc>
      </w:tr>
    </w:tbl>
    <w:p>
      <w:r>
        <w:rPr>
          <w:rFonts w:ascii="Arial" w:hAnsi="Arial"/>
          <w:i/>
          <w:sz w:val="16"/>
        </w:rPr>
        <w:t>Source: Framework requirements extracted from IFRS S2 Climate-related Disclosures (June 2023), GRI Universal Standards 2021, ESRS 2 General Disclosures (July 2023), and OJK regulations. Status assessed as of December 31, 2024.</w:t>
      </w:r>
    </w:p>
    <w:p/>
    <w:p>
      <w:r>
        <w:rPr>
          <w:rFonts w:ascii="Arial" w:hAnsi="Arial"/>
          <w:b/>
          <w:sz w:val="20"/>
        </w:rPr>
        <w:t>Table 56: Table 3.1.2: Peer Bank Governance Practices — Indonesian Banking Sector</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Governance Element</w:t>
            </w:r>
          </w:p>
        </w:tc>
        <w:tc>
          <w:tcPr>
            <w:tcW w:type="dxa" w:w="1806"/>
            <w:shd w:fill="1B3A6B" w:val="clear"/>
          </w:tcPr>
          <w:p>
            <w:r>
              <w:rPr>
                <w:rFonts w:ascii="Arial" w:hAnsi="Arial"/>
                <w:b/>
                <w:color w:val="FFFFFF"/>
                <w:sz w:val="18"/>
              </w:rPr>
              <w:t>BRI</w:t>
            </w:r>
          </w:p>
        </w:tc>
        <w:tc>
          <w:tcPr>
            <w:tcW w:type="dxa" w:w="1806"/>
            <w:shd w:fill="1B3A6B" w:val="clear"/>
          </w:tcPr>
          <w:p>
            <w:r>
              <w:rPr>
                <w:rFonts w:ascii="Arial" w:hAnsi="Arial"/>
                <w:b/>
                <w:color w:val="FFFFFF"/>
                <w:sz w:val="18"/>
              </w:rPr>
              <w:t>BCA</w:t>
            </w:r>
          </w:p>
        </w:tc>
        <w:tc>
          <w:tcPr>
            <w:tcW w:type="dxa" w:w="1806"/>
            <w:shd w:fill="1B3A6B" w:val="clear"/>
          </w:tcPr>
          <w:p>
            <w:r>
              <w:rPr>
                <w:rFonts w:ascii="Arial" w:hAnsi="Arial"/>
                <w:b/>
                <w:color w:val="FFFFFF"/>
                <w:sz w:val="18"/>
              </w:rPr>
              <w:t>DBS</w:t>
            </w:r>
          </w:p>
        </w:tc>
        <w:tc>
          <w:tcPr>
            <w:tcW w:type="dxa" w:w="1806"/>
            <w:shd w:fill="1B3A6B" w:val="clear"/>
          </w:tcPr>
          <w:p>
            <w:r>
              <w:rPr>
                <w:rFonts w:ascii="Arial" w:hAnsi="Arial"/>
                <w:b/>
                <w:color w:val="FFFFFF"/>
                <w:sz w:val="18"/>
              </w:rPr>
              <w:t>Bank Mandiri</w:t>
            </w:r>
          </w:p>
        </w:tc>
      </w:tr>
      <w:tr>
        <w:tc>
          <w:tcPr>
            <w:tcW w:type="dxa" w:w="1806"/>
          </w:tcPr>
          <w:p>
            <w:r>
              <w:rPr>
                <w:rFonts w:ascii="Arial" w:hAnsi="Arial"/>
                <w:sz w:val="18"/>
              </w:rPr>
              <w:t>Dedicated ESG Committee</w:t>
            </w:r>
          </w:p>
        </w:tc>
        <w:tc>
          <w:tcPr>
            <w:tcW w:type="dxa" w:w="1806"/>
          </w:tcPr>
          <w:p>
            <w:r>
              <w:rPr>
                <w:rFonts w:ascii="Arial" w:hAnsi="Arial"/>
                <w:sz w:val="18"/>
              </w:rPr>
              <w:t>✅ Risk Mgmt &amp; ESG Committee (since 2021)</w:t>
            </w:r>
          </w:p>
        </w:tc>
        <w:tc>
          <w:tcPr>
            <w:tcW w:type="dxa" w:w="1806"/>
          </w:tcPr>
          <w:p>
            <w:r>
              <w:rPr>
                <w:rFonts w:ascii="Arial" w:hAnsi="Arial"/>
                <w:sz w:val="18"/>
              </w:rPr>
              <w:t>ESG Subdivision under Corporate Secretary</w:t>
            </w:r>
          </w:p>
        </w:tc>
        <w:tc>
          <w:tcPr>
            <w:tcW w:type="dxa" w:w="1806"/>
          </w:tcPr>
          <w:p>
            <w:r>
              <w:rPr>
                <w:rFonts w:ascii="Arial" w:hAnsi="Arial"/>
                <w:sz w:val="18"/>
              </w:rPr>
              <w:t>✅ Board Sustainability Committee</w:t>
            </w:r>
          </w:p>
        </w:tc>
        <w:tc>
          <w:tcPr>
            <w:tcW w:type="dxa" w:w="1806"/>
          </w:tcPr>
          <w:p>
            <w:r>
              <w:rPr>
                <w:rFonts w:ascii="Arial" w:hAnsi="Arial"/>
                <w:sz w:val="18"/>
              </w:rPr>
              <w:t>ESG Task Force</w:t>
            </w:r>
          </w:p>
        </w:tc>
      </w:tr>
      <w:tr>
        <w:tc>
          <w:tcPr>
            <w:tcW w:type="dxa" w:w="1806"/>
            <w:shd w:fill="F2F6FC" w:val="clear"/>
          </w:tcPr>
          <w:p>
            <w:r>
              <w:rPr>
                <w:rFonts w:ascii="Arial" w:hAnsi="Arial"/>
                <w:sz w:val="18"/>
              </w:rPr>
              <w:t>Board Review Frequency</w:t>
            </w:r>
          </w:p>
        </w:tc>
        <w:tc>
          <w:tcPr>
            <w:tcW w:type="dxa" w:w="1806"/>
            <w:shd w:fill="F2F6FC" w:val="clear"/>
          </w:tcPr>
          <w:p>
            <w:r>
              <w:rPr>
                <w:rFonts w:ascii="Arial" w:hAnsi="Arial"/>
                <w:sz w:val="18"/>
              </w:rPr>
              <w:t>Quarterly</w:t>
            </w:r>
          </w:p>
        </w:tc>
        <w:tc>
          <w:tcPr>
            <w:tcW w:type="dxa" w:w="1806"/>
            <w:shd w:fill="F2F6FC" w:val="clear"/>
          </w:tcPr>
          <w:p>
            <w:r>
              <w:rPr>
                <w:rFonts w:ascii="Arial" w:hAnsi="Arial"/>
                <w:sz w:val="18"/>
              </w:rPr>
              <w:t>≥4 times per year</w:t>
            </w:r>
          </w:p>
        </w:tc>
        <w:tc>
          <w:tcPr>
            <w:tcW w:type="dxa" w:w="1806"/>
            <w:shd w:fill="F2F6FC" w:val="clear"/>
          </w:tcPr>
          <w:p>
            <w:r>
              <w:rPr>
                <w:rFonts w:ascii="Arial" w:hAnsi="Arial"/>
                <w:sz w:val="18"/>
              </w:rPr>
              <w:t>Quarterly</w:t>
            </w:r>
          </w:p>
        </w:tc>
        <w:tc>
          <w:tcPr>
            <w:tcW w:type="dxa" w:w="1806"/>
            <w:shd w:fill="F2F6FC" w:val="clear"/>
          </w:tcPr>
          <w:p>
            <w:r>
              <w:rPr>
                <w:rFonts w:ascii="Arial" w:hAnsi="Arial"/>
                <w:sz w:val="18"/>
              </w:rPr>
              <w:t>Semi-annual</w:t>
            </w:r>
          </w:p>
        </w:tc>
      </w:tr>
      <w:tr>
        <w:tc>
          <w:tcPr>
            <w:tcW w:type="dxa" w:w="1806"/>
          </w:tcPr>
          <w:p>
            <w:r>
              <w:rPr>
                <w:rFonts w:ascii="Arial" w:hAnsi="Arial"/>
                <w:sz w:val="18"/>
              </w:rPr>
              <w:t>ESG in Executive Remuneration</w:t>
            </w:r>
          </w:p>
        </w:tc>
        <w:tc>
          <w:tcPr>
            <w:tcW w:type="dxa" w:w="1806"/>
          </w:tcPr>
          <w:p>
            <w:r>
              <w:rPr>
                <w:rFonts w:ascii="Arial" w:hAnsi="Arial"/>
                <w:sz w:val="18"/>
              </w:rPr>
              <w:t>✅ Integrated into BoD KPIs</w:t>
            </w:r>
          </w:p>
        </w:tc>
        <w:tc>
          <w:tcPr>
            <w:tcW w:type="dxa" w:w="1806"/>
          </w:tcPr>
          <w:p>
            <w:r>
              <w:rPr>
                <w:rFonts w:ascii="Arial" w:hAnsi="Arial"/>
                <w:sz w:val="18"/>
              </w:rPr>
              <w:t>✅ Integrated into BoD &amp; work unit KPIs</w:t>
            </w:r>
          </w:p>
        </w:tc>
        <w:tc>
          <w:tcPr>
            <w:tcW w:type="dxa" w:w="1806"/>
          </w:tcPr>
          <w:p>
            <w:r>
              <w:rPr>
                <w:rFonts w:ascii="Arial" w:hAnsi="Arial"/>
                <w:sz w:val="18"/>
              </w:rPr>
              <w:t>✅ 20% weight</w:t>
            </w:r>
          </w:p>
        </w:tc>
        <w:tc>
          <w:tcPr>
            <w:tcW w:type="dxa" w:w="1806"/>
          </w:tcPr>
          <w:p>
            <w:r>
              <w:rPr>
                <w:rFonts w:ascii="Arial" w:hAnsi="Arial"/>
                <w:sz w:val="18"/>
              </w:rPr>
              <w:t>Partial</w:t>
            </w:r>
          </w:p>
        </w:tc>
      </w:tr>
      <w:tr>
        <w:tc>
          <w:tcPr>
            <w:tcW w:type="dxa" w:w="1806"/>
            <w:shd w:fill="F2F6FC" w:val="clear"/>
          </w:tcPr>
          <w:p>
            <w:r>
              <w:rPr>
                <w:rFonts w:ascii="Arial" w:hAnsi="Arial"/>
                <w:sz w:val="18"/>
              </w:rPr>
              <w:t>Management Reporting Line</w:t>
            </w:r>
          </w:p>
        </w:tc>
        <w:tc>
          <w:tcPr>
            <w:tcW w:type="dxa" w:w="1806"/>
            <w:shd w:fill="F2F6FC" w:val="clear"/>
          </w:tcPr>
          <w:p>
            <w:r>
              <w:rPr>
                <w:rFonts w:ascii="Arial" w:hAnsi="Arial"/>
                <w:sz w:val="18"/>
              </w:rPr>
              <w:t>Reports to President Director</w:t>
            </w:r>
          </w:p>
        </w:tc>
        <w:tc>
          <w:tcPr>
            <w:tcW w:type="dxa" w:w="1806"/>
            <w:shd w:fill="F2F6FC" w:val="clear"/>
          </w:tcPr>
          <w:p>
            <w:r>
              <w:rPr>
                <w:rFonts w:ascii="Arial" w:hAnsi="Arial"/>
                <w:sz w:val="18"/>
              </w:rPr>
              <w:t>Director Planning &amp; Finance → President Director</w:t>
            </w:r>
          </w:p>
        </w:tc>
        <w:tc>
          <w:tcPr>
            <w:tcW w:type="dxa" w:w="1806"/>
            <w:shd w:fill="F2F6FC" w:val="clear"/>
          </w:tcPr>
          <w:p>
            <w:r>
              <w:rPr>
                <w:rFonts w:ascii="Arial" w:hAnsi="Arial"/>
                <w:sz w:val="18"/>
              </w:rPr>
              <w:t>Chief Sustainability Officer → Board</w:t>
            </w:r>
          </w:p>
        </w:tc>
        <w:tc>
          <w:tcPr>
            <w:tcW w:type="dxa" w:w="1806"/>
            <w:shd w:fill="F2F6FC" w:val="clear"/>
          </w:tcPr>
          <w:p>
            <w:r>
              <w:rPr>
                <w:rFonts w:ascii="Arial" w:hAnsi="Arial"/>
                <w:sz w:val="18"/>
              </w:rPr>
              <w:t>Director → President Director</w:t>
            </w:r>
          </w:p>
        </w:tc>
      </w:tr>
      <w:tr>
        <w:tc>
          <w:tcPr>
            <w:tcW w:type="dxa" w:w="1806"/>
          </w:tcPr>
          <w:p>
            <w:r>
              <w:rPr>
                <w:rFonts w:ascii="Arial" w:hAnsi="Arial"/>
                <w:sz w:val="18"/>
              </w:rPr>
              <w:t>Policy Framework</w:t>
            </w:r>
          </w:p>
        </w:tc>
        <w:tc>
          <w:tcPr>
            <w:tcW w:type="dxa" w:w="1806"/>
          </w:tcPr>
          <w:p>
            <w:r>
              <w:rPr>
                <w:rFonts w:ascii="Arial" w:hAnsi="Arial"/>
                <w:sz w:val="18"/>
              </w:rPr>
              <w:t>BoD Circular (sustainability)</w:t>
            </w:r>
          </w:p>
        </w:tc>
        <w:tc>
          <w:tcPr>
            <w:tcW w:type="dxa" w:w="1806"/>
          </w:tcPr>
          <w:p>
            <w:r>
              <w:rPr>
                <w:rFonts w:ascii="Arial" w:hAnsi="Arial"/>
                <w:sz w:val="18"/>
              </w:rPr>
              <w:t>Multiple BoD Decrees (SLL, Green Loan, Sectoral ESG)</w:t>
            </w:r>
          </w:p>
        </w:tc>
        <w:tc>
          <w:tcPr>
            <w:tcW w:type="dxa" w:w="1806"/>
          </w:tcPr>
          <w:p>
            <w:r>
              <w:rPr>
                <w:rFonts w:ascii="Arial" w:hAnsi="Arial"/>
                <w:sz w:val="18"/>
              </w:rPr>
              <w:t>Board-approved ESG Framework</w:t>
            </w:r>
          </w:p>
        </w:tc>
        <w:tc>
          <w:tcPr>
            <w:tcW w:type="dxa" w:w="1806"/>
          </w:tcPr>
          <w:p>
            <w:r>
              <w:rPr>
                <w:rFonts w:ascii="Arial" w:hAnsi="Arial"/>
                <w:sz w:val="18"/>
              </w:rPr>
              <w:t>Internal GCG-aligned policy</w:t>
            </w:r>
          </w:p>
        </w:tc>
      </w:tr>
      <w:tr>
        <w:tc>
          <w:tcPr>
            <w:tcW w:type="dxa" w:w="1806"/>
            <w:shd w:fill="F2F6FC" w:val="clear"/>
          </w:tcPr>
          <w:p>
            <w:r>
              <w:rPr>
                <w:rFonts w:ascii="Arial" w:hAnsi="Arial"/>
                <w:sz w:val="18"/>
              </w:rPr>
              <w:t>Climate Commitments</w:t>
            </w:r>
          </w:p>
        </w:tc>
        <w:tc>
          <w:tcPr>
            <w:tcW w:type="dxa" w:w="1806"/>
            <w:shd w:fill="F2F6FC" w:val="clear"/>
          </w:tcPr>
          <w:p>
            <w:r>
              <w:rPr>
                <w:rFonts w:ascii="Arial" w:hAnsi="Arial"/>
                <w:sz w:val="18"/>
              </w:rPr>
              <w:t>✅ SBTi (first ID FI), NZBA</w:t>
            </w:r>
          </w:p>
        </w:tc>
        <w:tc>
          <w:tcPr>
            <w:tcW w:type="dxa" w:w="1806"/>
            <w:shd w:fill="F2F6FC" w:val="clear"/>
          </w:tcPr>
          <w:p>
            <w:r>
              <w:rPr>
                <w:rFonts w:ascii="Arial" w:hAnsi="Arial"/>
                <w:sz w:val="18"/>
              </w:rPr>
              <w:t>Evaluating SBTi</w:t>
            </w:r>
          </w:p>
        </w:tc>
        <w:tc>
          <w:tcPr>
            <w:tcW w:type="dxa" w:w="1806"/>
            <w:shd w:fill="F2F6FC" w:val="clear"/>
          </w:tcPr>
          <w:p>
            <w:r>
              <w:rPr>
                <w:rFonts w:ascii="Arial" w:hAnsi="Arial"/>
                <w:sz w:val="18"/>
              </w:rPr>
              <w:t>✅ SBTi, NZBA, RE100</w:t>
            </w:r>
          </w:p>
        </w:tc>
        <w:tc>
          <w:tcPr>
            <w:tcW w:type="dxa" w:w="1806"/>
            <w:shd w:fill="F2F6FC" w:val="clear"/>
          </w:tcPr>
          <w:p>
            <w:r>
              <w:rPr>
                <w:rFonts w:ascii="Arial" w:hAnsi="Arial"/>
                <w:sz w:val="18"/>
              </w:rPr>
              <w:t>TCFD-aligned</w:t>
            </w:r>
          </w:p>
        </w:tc>
      </w:tr>
      <w:tr>
        <w:tc>
          <w:tcPr>
            <w:tcW w:type="dxa" w:w="1806"/>
          </w:tcPr>
          <w:p>
            <w:r>
              <w:rPr>
                <w:rFonts w:ascii="Arial" w:hAnsi="Arial"/>
                <w:sz w:val="18"/>
              </w:rPr>
              <w:t>Sectoral Credit Policies</w:t>
            </w:r>
          </w:p>
        </w:tc>
        <w:tc>
          <w:tcPr>
            <w:tcW w:type="dxa" w:w="1806"/>
          </w:tcPr>
          <w:p>
            <w:r>
              <w:rPr>
                <w:rFonts w:ascii="Arial" w:hAnsi="Arial"/>
                <w:sz w:val="18"/>
              </w:rPr>
              <w:t>✅ Palm oil, coal, timber, cement, steel, O&amp;G</w:t>
            </w:r>
          </w:p>
        </w:tc>
        <w:tc>
          <w:tcPr>
            <w:tcW w:type="dxa" w:w="1806"/>
          </w:tcPr>
          <w:p>
            <w:r>
              <w:rPr>
                <w:rFonts w:ascii="Arial" w:hAnsi="Arial"/>
                <w:sz w:val="18"/>
              </w:rPr>
              <w:t>✅ Palm oil, coal, timber, toll roads, cement, iron-steel, O&amp;G</w:t>
            </w:r>
          </w:p>
        </w:tc>
        <w:tc>
          <w:tcPr>
            <w:tcW w:type="dxa" w:w="1806"/>
          </w:tcPr>
          <w:p>
            <w:r>
              <w:rPr>
                <w:rFonts w:ascii="Arial" w:hAnsi="Arial"/>
                <w:sz w:val="18"/>
              </w:rPr>
              <w:t>✅ Coal phase-out 2039</w:t>
            </w:r>
          </w:p>
        </w:tc>
        <w:tc>
          <w:tcPr>
            <w:tcW w:type="dxa" w:w="1806"/>
          </w:tcPr>
          <w:p>
            <w:r>
              <w:rPr>
                <w:rFonts w:ascii="Arial" w:hAnsi="Arial"/>
                <w:sz w:val="18"/>
              </w:rPr>
              <w:t>✅ Fossil fuel limits</w:t>
            </w:r>
          </w:p>
        </w:tc>
      </w:tr>
    </w:tbl>
    <w:p>
      <w:r>
        <w:rPr>
          <w:rFonts w:ascii="Arial" w:hAnsi="Arial"/>
          <w:i/>
          <w:sz w:val="16"/>
        </w:rPr>
        <w:t>Source: Data compiled from BRI Sustainability Report 2023, BCA Sustainability Report 2025, DBS Sustainability Report 2023, Bank Mandiri Sustainability Report 2023. BRI ESG Committee established via Decision NOKEP 872-DIR/PPM/06/2022.</w:t>
      </w:r>
    </w:p>
    <w:p/>
    <w:p/>
    <w:p>
      <w:r>
        <w:drawing>
          <wp:inline xmlns:a="http://schemas.openxmlformats.org/drawingml/2006/main" xmlns:pic="http://schemas.openxmlformats.org/drawingml/2006/picture">
            <wp:extent cx="5029200" cy="3294993"/>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3294993"/>
                    </a:xfrm>
                    <a:prstGeom prst="rect"/>
                  </pic:spPr>
                </pic:pic>
              </a:graphicData>
            </a:graphic>
          </wp:inline>
        </w:drawing>
      </w:r>
    </w:p>
    <w:p>
      <w:pPr>
        <w:jc w:val="center"/>
      </w:pPr>
      <w:r>
        <w:rPr>
          <w:i/>
          <w:color w:val="666666"/>
          <w:sz w:val="18"/>
        </w:rPr>
        <w:t>Figure 26: Governance Framework Compliance Status vs. Peers</w:t>
      </w:r>
    </w:p>
    <w:p>
      <w:pPr>
        <w:jc w:val="center"/>
      </w:pPr>
      <w:r>
        <w:rPr>
          <w:i/>
          <w:color w:val="757575"/>
          <w:sz w:val="18"/>
        </w:rPr>
        <w:t>Institution scores 0/7 on governance requirements while peers average 5-6/7 — foundational infrastructure gap requires immediate action</w:t>
      </w:r>
    </w:p>
    <w:p/>
    <w:p>
      <w:r>
        <w:drawing>
          <wp:inline xmlns:a="http://schemas.openxmlformats.org/drawingml/2006/main" xmlns:pic="http://schemas.openxmlformats.org/drawingml/2006/picture">
            <wp:extent cx="5029200" cy="3366135"/>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3366135"/>
                    </a:xfrm>
                    <a:prstGeom prst="rect"/>
                  </pic:spPr>
                </pic:pic>
              </a:graphicData>
            </a:graphic>
          </wp:inline>
        </w:drawing>
      </w:r>
    </w:p>
    <w:p>
      <w:pPr>
        <w:jc w:val="center"/>
      </w:pPr>
      <w:r>
        <w:rPr>
          <w:i/>
          <w:color w:val="666666"/>
          <w:sz w:val="18"/>
        </w:rPr>
        <w:t>Figure 27: Peer Bank Governance Elements Implementation</w:t>
      </w:r>
    </w:p>
    <w:p>
      <w:pPr>
        <w:jc w:val="center"/>
      </w:pPr>
      <w:r>
        <w:rPr>
          <w:i/>
          <w:color w:val="757575"/>
          <w:sz w:val="18"/>
        </w:rPr>
        <w:t>All peers have Board committees and quarterly review; 75% link remuneration to ESG — these are table stakes for credible climate governance</w:t>
      </w:r>
    </w:p>
    <w:p/>
    <w:p>
      <w:r>
        <w:drawing>
          <wp:inline xmlns:a="http://schemas.openxmlformats.org/drawingml/2006/main" xmlns:pic="http://schemas.openxmlformats.org/drawingml/2006/picture">
            <wp:extent cx="5029200" cy="3332057"/>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3332057"/>
                    </a:xfrm>
                    <a:prstGeom prst="rect"/>
                  </pic:spPr>
                </pic:pic>
              </a:graphicData>
            </a:graphic>
          </wp:inline>
        </w:drawing>
      </w:r>
    </w:p>
    <w:p>
      <w:pPr>
        <w:jc w:val="center"/>
      </w:pPr>
      <w:r>
        <w:rPr>
          <w:i/>
          <w:color w:val="666666"/>
          <w:sz w:val="18"/>
        </w:rPr>
        <w:t>Figure 28: Recommended Governance Implementation Timeline</w:t>
      </w:r>
    </w:p>
    <w:p>
      <w:pPr>
        <w:jc w:val="center"/>
      </w:pPr>
      <w:r>
        <w:rPr>
          <w:i/>
          <w:color w:val="757575"/>
          <w:sz w:val="18"/>
        </w:rPr>
        <w:t>18-month roadmap to full compliance — Board committee and management designation are critical path items for Q3 2025</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climate governance infrastructure reflects the institution's early stage in sustainability maturity relative to Indonesian banking peers. While operational emissions data collection has commenced (enabling Scope 1+2 reporting), the strategic and oversight layer remains unbuilt. This creates a structural impediment to: (1) integrating climate considerations into credit decisions and portfolio strategy; (2) setting credible emissions reduction targets with accountability mechanisms; (3) meeting OJK SFAP reporting requirements which mandate board-level oversight; (4) responding to investor ESG due diligence questionnaires which universally assess governance as a foundational pillar. The gap is widening as peers advance—BRI became the first Indonesian FI to commit to SBTi in 2023, BCA issued comprehensive sectoral credit policies via Board Decrees in 2024-2025, and DBS integrated 20% ESG weight into executive pay. Without governance infrastructure, the institution cannot credibly participate in sustainable finance markets or access green funding instruments.</w:t>
            </w:r>
          </w:p>
          <w:p>
            <w:r>
              <w:rPr>
                <w:b/>
                <w:sz w:val="20"/>
              </w:rPr>
              <w:t>Root Causes:</w:t>
            </w:r>
          </w:p>
          <w:p>
            <w:r>
              <w:rPr>
                <w:sz w:val="18"/>
              </w:rPr>
              <w:t>• No formal assignment of climate responsibility at Board or management level, resulting in diffused accountability and lack of strategic prioritization</w:t>
            </w:r>
          </w:p>
          <w:p>
            <w:r>
              <w:rPr>
                <w:sz w:val="18"/>
              </w:rPr>
              <w:t>• Absence of ESG performance metrics in executive scorecards, removing incentive alignment for climate action and creating principal-agent problem</w:t>
            </w:r>
          </w:p>
          <w:p>
            <w:r>
              <w:rPr>
                <w:sz w:val="18"/>
              </w:rPr>
              <w:t>• Climate risk not yet integrated into enterprise risk management framework, preventing systematic identification and escalation of material risks</w:t>
            </w:r>
          </w:p>
          <w:p>
            <w:r>
              <w:rPr>
                <w:sz w:val="18"/>
              </w:rPr>
              <w:t>• No board-level expertise or training on climate risks and disclosure requirements, limiting informed oversight capability</w:t>
            </w:r>
          </w:p>
          <w:p>
            <w:r>
              <w:rPr>
                <w:b/>
                <w:sz w:val="20"/>
              </w:rPr>
              <w:t>Risk Implications:</w:t>
            </w:r>
          </w:p>
          <w:p>
            <w:r>
              <w:rPr>
                <w:sz w:val="18"/>
              </w:rPr>
              <w:t>• Regulatory compliance risk: OJK POJK 51/2017 Article 6-8 requires board-level sustainability oversight for SFAP implementation. Non-compliance may trigger supervisory action or reputational damage in OJK sustainability assessments.</w:t>
            </w:r>
          </w:p>
          <w:p>
            <w:r>
              <w:rPr>
                <w:sz w:val="18"/>
              </w:rPr>
              <w:t>• Investor access risk: Institutional investors (GPIF, Norges Bank, CalPERS) require evidence of board climate oversight in ESG due diligence. Governance gaps may exclude institution from sustainable investment indices (MSCI ESG, FTSE4Good) and limit access to green bond markets.</w:t>
            </w:r>
          </w:p>
          <w:p>
            <w:r>
              <w:rPr>
                <w:sz w:val="18"/>
              </w:rPr>
              <w:t>• Strategic risk: Without governance infrastructure, the institution cannot set credible Science-Based Targets or Net Zero commitments, limiting participation in transition finance opportunities and client engagement on decarbonization. Peers with SBTi commitments (BRI) and NZBA membership (BRI, DBS) gain competitive advantage in sustainable finance mandates.</w:t>
            </w:r>
          </w:p>
          <w:p>
            <w:r>
              <w:rPr>
                <w:sz w:val="18"/>
              </w:rPr>
              <w:t>• Disclosure risk: IFRS S1/S2 adoption timeline in Indonesia (expected 2025-2026) will mandate climate governance disclosure. Current gap will result in qualified audit opinions or material disclosure deficiencies in first reporting cycle, damaging credibility with investors and regulators.</w:t>
            </w:r>
          </w:p>
        </w:tc>
      </w:tr>
    </w:tbl>
    <w:p/>
    <w:p/>
    <w:p>
      <w:r>
        <w:rPr>
          <w:b/>
          <w:color w:val="2E7D32"/>
          <w:sz w:val="24"/>
        </w:rPr>
        <w:t>⚡ Priority Actions</w:t>
      </w:r>
    </w:p>
    <w:p>
      <w:r>
        <w:rPr>
          <w:b/>
          <w:sz w:val="22"/>
        </w:rPr>
        <w:t>🔴 1. Establish Board Risk &amp; Sustainability Committee via Board resolution, adopting BRI's charter model (Decision NOKEP 872-DIR/PPM/06/2022). Committee composition: 3-5 Board members including at least 1 with climate expertise. Mandate: quarterly review of climate risks, emissions performance, SFAP compliance, and material climate-related transactions. First meeting to approve Climate Risk Management Policy and 2025-2030 emissions reduction roadmap.</w:t>
      </w:r>
      <w:r>
        <w:rPr>
          <w:sz w:val="22"/>
        </w:rPr>
        <w:t xml:space="preserve"> (Q3 2025)</w:t>
      </w:r>
    </w:p>
    <w:p>
      <w:pPr>
        <w:spacing w:after="160" w:line="276" w:lineRule="auto"/>
      </w:pPr>
      <w:r>
        <w:t xml:space="preserve">    → Expected: Establishes foundational governance structure required by IFRS S2 Para 5, GRI 2-12, and OJK POJK 51/2017. Enables credible climate strategy development and investor communication. Unlocks ability to set Science-Based Targets and pursue NZBA membership.</w:t>
      </w:r>
    </w:p>
    <w:p>
      <w:pPr>
        <w:spacing w:after="160" w:line="276" w:lineRule="auto"/>
      </w:pPr>
      <w:r>
        <w:rPr>
          <w:rFonts w:ascii="Arial" w:hAnsi="Arial"/>
          <w:i/>
          <w:color w:val="646464"/>
          <w:sz w:val="18"/>
        </w:rPr>
        <w:t xml:space="preserve">    → Ref: BRI established Risk Management &amp; ESG Committee in 2021, enabling SBTi commitment (first Indonesian FI) and quarterly Board oversight of IDR 700+ trillion sustainable finance portfolio</w:t>
      </w:r>
    </w:p>
    <w:p>
      <w:r>
        <w:rPr>
          <w:b/>
          <w:sz w:val="22"/>
        </w:rPr>
        <w:t>🔴 2. Designate Chief Risk Officer with explicit climate responsibility (or create Chief Sustainability Officer role if portfolio complexity warrants). Establish cross-functional ESG Working Group with representatives from Risk, Credit Policy, Treasury, Corporate Planning, and Investor Relations. Working Group to meet monthly, reporting quarterly to Board committee. Develop climate risk management procedures integrated into credit approval workflow.</w:t>
      </w:r>
      <w:r>
        <w:rPr>
          <w:sz w:val="22"/>
        </w:rPr>
        <w:t xml:space="preserve"> (Q3 2025)</w:t>
      </w:r>
    </w:p>
    <w:p>
      <w:pPr>
        <w:spacing w:after="160" w:line="276" w:lineRule="auto"/>
      </w:pPr>
      <w:r>
        <w:t xml:space="preserve">    → Expected: Creates management accountability for climate strategy execution required by IFRS S2 Para 6 and GRI 2-13. Enables systematic climate risk integration into lending decisions and portfolio monitoring. Facilitates PCAF data quality improvement and financed emissions reduction initiatives.</w:t>
      </w:r>
    </w:p>
    <w:p>
      <w:pPr>
        <w:spacing w:after="160" w:line="276" w:lineRule="auto"/>
      </w:pPr>
      <w:r>
        <w:rPr>
          <w:rFonts w:ascii="Arial" w:hAnsi="Arial"/>
          <w:i/>
          <w:color w:val="646464"/>
          <w:sz w:val="18"/>
        </w:rPr>
        <w:t xml:space="preserve">    → Ref: DBS Chief Sustainability Officer reports directly to Board Sustainability Committee, coordinating climate initiatives across business units and achieving 62% renewable energy usage and 12% YoY emissions reduction</w:t>
      </w:r>
    </w:p>
    <w:p>
      <w:r>
        <w:rPr>
          <w:b/>
          <w:sz w:val="22"/>
        </w:rPr>
        <w:t>🟡 3. Integrate ESG KPIs into executive variable remuneration at 10% weight for 2026 performance year, scaling to 20% by 2028. Metrics: (1) Scope 1+2 emissions intensity reduction vs. target (25% weight), (2) Sustainable finance portfolio growth vs. SFAP commitment (35% weight), (3) Sectoral credit policy implementation for top 3 carbon-intensive sectors (25% weight), (4) PCAF data quality score improvement (15% weight). Document in Board Remuneration Committee charter and disclose in 2026 sustainability report.</w:t>
      </w:r>
      <w:r>
        <w:rPr>
          <w:sz w:val="22"/>
        </w:rPr>
        <w:t xml:space="preserve"> (Q4 2025 (for 2026 performance cycle))</w:t>
      </w:r>
    </w:p>
    <w:p>
      <w:pPr>
        <w:spacing w:after="160" w:line="276" w:lineRule="auto"/>
      </w:pPr>
      <w:r>
        <w:t xml:space="preserve">    → Expected: Aligns executive incentives with climate performance per ESRS 2 GOV-3 requirement. Creates accountability mechanism for emissions reduction and sustainable finance targets. Signals credible commitment to investors and enables positive ESG ratings impact.</w:t>
      </w:r>
    </w:p>
    <w:p>
      <w:pPr>
        <w:spacing w:after="160" w:line="276" w:lineRule="auto"/>
      </w:pPr>
      <w:r>
        <w:rPr>
          <w:rFonts w:ascii="Arial" w:hAnsi="Arial"/>
          <w:i/>
          <w:color w:val="646464"/>
          <w:sz w:val="18"/>
        </w:rPr>
        <w:t xml:space="preserve">    → Ref: DBS links 20% of executive variable remuneration to ESG metrics including emissions reduction and sustainable finance growth, contributing to A-list CDP rating and MSCI ESG Leader status</w:t>
      </w:r>
    </w:p>
    <w:p>
      <w:r>
        <w:rPr>
          <w:b/>
          <w:sz w:val="22"/>
        </w:rPr>
        <w:t>🔴 4. Issue Board of Directors Decrees establishing: (1) Climate Risk Management Policy defining risk appetite, scenario analysis methodology (2°C and 1.5°C scenarios), and stress testing requirements aligned with OJK and Bank Indonesia guidelines; (2) Sustainable Finance Framework defining eligible green/social/sustainability-linked products per Indonesian Green Taxonomy; (3) Sectoral Credit Policies for Energy (oil &amp; gas), Manufacturing (cement, steel), and Transportation sectors specifying exposure limits, client eligibility criteria (emissions intensity thresholds), and transition support mechanisms. Policies to reference PCAF methodology and align with potential SBTi commitment.</w:t>
      </w:r>
      <w:r>
        <w:rPr>
          <w:sz w:val="22"/>
        </w:rPr>
        <w:t xml:space="preserve"> (Q4 2025 - Q2 2026 (phased rollout))</w:t>
      </w:r>
    </w:p>
    <w:p>
      <w:pPr>
        <w:spacing w:after="160" w:line="276" w:lineRule="auto"/>
      </w:pPr>
      <w:r>
        <w:t xml:space="preserve">    → Expected: Establishes policy infrastructure required by IFRS S2 Para 7 and OJK SEOJK 16/2021. Enables systematic management of financed emissions (currently 15.28 million tCO2e weighted) and transition risk in carbon-intensive sectors (Energy 43.56%, Cement 26.45%, Steel 15.92% of financed emissions). Creates foundation for SBTi sectoral decarbonization pathways and client engagement programs.</w:t>
      </w:r>
    </w:p>
    <w:p>
      <w:pPr>
        <w:spacing w:after="160" w:line="276" w:lineRule="auto"/>
      </w:pPr>
      <w:r>
        <w:rPr>
          <w:rFonts w:ascii="Arial" w:hAnsi="Arial"/>
          <w:i/>
          <w:color w:val="646464"/>
          <w:sz w:val="18"/>
        </w:rPr>
        <w:t xml:space="preserve">    → Ref: BCA issued comprehensive Board Decrees for sectoral ESG policies covering palm oil, coal, timber, toll roads, cement, iron-steel, and O&amp;G, enabling systematic portfolio decarbonization and sustainable finance growth exceeding SFAP targets</w:t>
      </w:r>
    </w:p>
    <w:p/>
    <w:p>
      <w:r>
        <w:rPr>
          <w:i/>
          <w:color w:val="3D6094"/>
          <w:sz w:val="18"/>
        </w:rPr>
        <w:t>Framework references: IFRS S2 Paragraph 5 — Governance body identification; IFRS S2 Paragraph 6 — Management's role in governance; IFRS S2 Paragraph 7 — Reflection in strategy and risk management; GRI 2-12 — Role of highest governance body in overseeing sustainability; GRI 2-13 — Delegation of responsibility for managing impacts; ESRS 2 GOV-3 — Integration of sustainability performance in incentive schemes; OJK POJK 51/2017 — Sustainable Finance Action Plan governance requirements; OJK SEOJK 16/SEOJK.03/2021 — Technical guidelines for SFAP implementation</w:t>
      </w:r>
    </w:p>
    <w:p>
      <w:pPr>
        <w:spacing w:after="80"/>
        <w:pBdr>
          <w:bottom w:val="single" w:sz="6" w:space="1" w:color="CCCCCC"/>
        </w:pBdr>
      </w:pPr>
    </w:p>
    <w:p>
      <w:pPr>
        <w:spacing w:after="160" w:line="276" w:lineRule="auto"/>
      </w:pPr>
      <w:r>
        <w:rPr>
          <w:rFonts w:ascii="Arial" w:hAnsi="Arial"/>
          <w:i/>
          <w:color w:val="646464"/>
          <w:sz w:val="18"/>
        </w:rPr>
        <w:t>This governance gap analysis is based on framework requirements from IFRS S2 Climate-related Disclosures (ISSB, June 2023), GRI Universal Standards 2021, ESRS 2 General Disclosures (EFRAG, July 2023), and OJK POJK 51/2017 on Sustainable Finance Action Plan with technical guidelines SEOJK 16/SEOJK.03/2021.</w:t>
      </w:r>
    </w:p>
    <w:p>
      <w:pPr>
        <w:spacing w:after="160" w:line="276" w:lineRule="auto"/>
      </w:pPr>
      <w:r>
        <w:rPr>
          <w:rFonts w:ascii="Arial" w:hAnsi="Arial"/>
          <w:i/>
          <w:color w:val="646464"/>
          <w:sz w:val="18"/>
        </w:rPr>
        <w:t>Peer bank governance practices are sourced from publicly available sustainability reports: BRI Sustainability Report 2023, BCA Sustainability Report 2025, DBS Sustainability Report 2023, OCBC Indonesia Sustainability Report 2024, and Bank Mandiri Sustainability Report 2023.</w:t>
      </w:r>
    </w:p>
    <w:p>
      <w:pPr>
        <w:spacing w:after="160" w:line="276" w:lineRule="auto"/>
      </w:pPr>
      <w:r>
        <w:rPr>
          <w:rFonts w:ascii="Arial" w:hAnsi="Arial"/>
          <w:i/>
          <w:color w:val="646464"/>
          <w:sz w:val="18"/>
        </w:rPr>
        <w:t>The institution has not yet established formal governance structures for climate-related risks. All governance data points referenced in this section represent gaps to be addressed rather than current practices.</w:t>
      </w:r>
    </w:p>
    <w:p>
      <w:pPr>
        <w:spacing w:after="160" w:line="276" w:lineRule="auto"/>
      </w:pPr>
      <w:r>
        <w:rPr>
          <w:rFonts w:ascii="Arial" w:hAnsi="Arial"/>
          <w:i/>
          <w:color w:val="646464"/>
          <w:sz w:val="18"/>
        </w:rPr>
        <w:t>Implementation timeline is subject to regulatory developments including OJK's adoption timeline for IFRS S1/S2 in Indonesia and updates to SFAP technical guidelines.</w:t>
      </w:r>
    </w:p>
    <w:p>
      <w:pPr>
        <w:spacing w:after="160" w:line="276" w:lineRule="auto"/>
      </w:pPr>
      <w:r>
        <w:rPr>
          <w:rFonts w:ascii="Arial" w:hAnsi="Arial"/>
          <w:i/>
          <w:color w:val="646464"/>
          <w:sz w:val="18"/>
        </w:rPr>
        <w:t>BRI's ESG Committee establishment via Decision NOKEP 872-DIR/PPM/06/2022 represents the first dedicated board-level ESG committee among major Indonesian banks and serves as the primary reference model for governance structure recommendations.</w:t>
      </w:r>
    </w:p>
    <w:p>
      <w:pPr>
        <w:pStyle w:val="Heading2"/>
        <w:keepNext/>
        <w:spacing w:before="360" w:after="160"/>
      </w:pPr>
      <w:r>
        <w:rPr>
          <w:rFonts w:ascii="Arial" w:hAnsi="Arial"/>
          <w:b/>
          <w:color w:val="3D6094"/>
          <w:sz w:val="28"/>
        </w:rPr>
        <w:t>3.2 Climate Targets &amp; Transition Plan</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0</w:t>
            </w:r>
            <w:r>
              <w:rPr>
                <w:color w:val="757575"/>
                <w:sz w:val="18"/>
              </w:rPr>
              <w:t xml:space="preserve"> targets</w:t>
            </w:r>
            <w:r>
              <w:rPr>
                <w:b/>
                <w:color w:val="C62828"/>
                <w:sz w:val="20"/>
              </w:rPr>
              <w:br/>
              <w:t>Critical gap vs peers</w:t>
            </w:r>
          </w:p>
        </w:tc>
        <w:tc>
          <w:tcPr>
            <w:tcW w:type="dxa" w:w="2257"/>
            <w:shd w:fill="F2F6FA" w:val="clear"/>
          </w:tcPr>
          <w:p>
            <w:pPr>
              <w:jc w:val="center"/>
            </w:pPr>
            <w:r>
              <w:rPr>
                <w:b/>
                <w:color w:val="1B3A6B"/>
                <w:sz w:val="36"/>
              </w:rPr>
              <w:t>Not Submitted</w:t>
            </w:r>
            <w:r>
              <w:rPr>
                <w:b/>
                <w:color w:val="C62828"/>
                <w:sz w:val="20"/>
              </w:rPr>
              <w:br/>
              <w:t>BRI submitted 2023</w:t>
            </w:r>
          </w:p>
        </w:tc>
        <w:tc>
          <w:tcPr>
            <w:tcW w:type="dxa" w:w="2257"/>
            <w:shd w:fill="F2F6FA" w:val="clear"/>
          </w:tcPr>
          <w:p>
            <w:pPr>
              <w:jc w:val="center"/>
            </w:pPr>
            <w:r>
              <w:rPr>
                <w:b/>
                <w:color w:val="1B3A6B"/>
                <w:sz w:val="36"/>
              </w:rPr>
              <w:t>30%</w:t>
            </w:r>
            <w:r>
              <w:rPr>
                <w:color w:val="757575"/>
                <w:sz w:val="18"/>
              </w:rPr>
              <w:t xml:space="preserve"> reduction</w:t>
            </w:r>
            <w:r>
              <w:rPr>
                <w:b/>
                <w:color w:val="2E7D32"/>
                <w:sz w:val="20"/>
              </w:rPr>
              <w:br/>
              <w:t>Scope 1+2 vs 2024</w:t>
            </w:r>
          </w:p>
        </w:tc>
        <w:tc>
          <w:tcPr>
            <w:tcW w:type="dxa" w:w="2257"/>
            <w:shd w:fill="F2F6FA" w:val="clear"/>
          </w:tcPr>
          <w:p>
            <w:pPr>
              <w:jc w:val="center"/>
            </w:pPr>
            <w:r>
              <w:rPr>
                <w:b/>
                <w:color w:val="1B3A6B"/>
                <w:sz w:val="36"/>
              </w:rPr>
              <w:t>62%</w:t>
            </w:r>
            <w:r>
              <w:rPr>
                <w:color w:val="757575"/>
                <w:sz w:val="18"/>
              </w:rPr>
              <w:t xml:space="preserve"> % (DBS)</w:t>
            </w:r>
            <w:r>
              <w:rPr>
                <w:b/>
                <w:color w:val="C62828"/>
                <w:sz w:val="20"/>
              </w:rPr>
              <w:br/>
              <w:t>vs &lt;1% institution</w:t>
            </w:r>
          </w:p>
        </w:tc>
      </w:tr>
      <w:tr>
        <w:tc>
          <w:tcPr>
            <w:tcW w:type="dxa" w:w="2257"/>
            <w:shd w:fill="F2F6FA" w:val="clear"/>
          </w:tcPr>
          <w:p>
            <w:pPr>
              <w:jc w:val="center"/>
            </w:pPr>
            <w:r>
              <w:rPr>
                <w:color w:val="757575"/>
                <w:sz w:val="16"/>
              </w:rPr>
              <w:t>Climate Targets Established</w:t>
            </w:r>
          </w:p>
        </w:tc>
        <w:tc>
          <w:tcPr>
            <w:tcW w:type="dxa" w:w="2257"/>
            <w:shd w:fill="F2F6FA" w:val="clear"/>
          </w:tcPr>
          <w:p>
            <w:pPr>
              <w:jc w:val="center"/>
            </w:pPr>
            <w:r>
              <w:rPr>
                <w:color w:val="757575"/>
                <w:sz w:val="16"/>
              </w:rPr>
              <w:t>SBTi Commitment Status</w:t>
            </w:r>
          </w:p>
        </w:tc>
        <w:tc>
          <w:tcPr>
            <w:tcW w:type="dxa" w:w="2257"/>
            <w:shd w:fill="F2F6FA" w:val="clear"/>
          </w:tcPr>
          <w:p>
            <w:pPr>
              <w:jc w:val="center"/>
            </w:pPr>
            <w:r>
              <w:rPr>
                <w:color w:val="757575"/>
                <w:sz w:val="16"/>
              </w:rPr>
              <w:t>Recommended 2030 Target</w:t>
            </w:r>
          </w:p>
        </w:tc>
        <w:tc>
          <w:tcPr>
            <w:tcW w:type="dxa" w:w="2257"/>
            <w:shd w:fill="F2F6FA" w:val="clear"/>
          </w:tcPr>
          <w:p>
            <w:pPr>
              <w:jc w:val="center"/>
            </w:pPr>
            <w:r>
              <w:rPr>
                <w:color w:val="757575"/>
                <w:sz w:val="16"/>
              </w:rPr>
              <w:t>Peer Leader Renewable Energy</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Zero climate targets established while peers set 1.5-2°C pathways — critical 18-24 month gap to close for regulatory compliance</w:t>
            </w:r>
          </w:p>
          <w:p>
            <w:r>
              <w:rPr>
                <w:sz w:val="20"/>
              </w:rPr>
              <w:t>The institution has no formal GHG reduction targets or transition plan, creating material disclosure gaps across IFRS S2, GRI 305-5, ESRS E1-4, and OJK PSPK requirements. BRI (SBTi committed, 1.75°C by 2040) and DBS (Net Zero 2050, 62% renewable) demonstrate feasible pathways. Without targets, the institution cannot demonstrate Paris Agreement alignment or Indonesia NDC contribution, risking regulatory penalties under OJK POJK 51 and investor exclusion from ESG-screened portfolios.</w:t>
            </w:r>
          </w:p>
        </w:tc>
      </w:tr>
    </w:tbl>
    <w:p/>
    <w:p>
      <w:pPr>
        <w:pStyle w:val="Heading3"/>
        <w:keepNext/>
      </w:pPr>
      <w:r>
        <w:rPr>
          <w:rFonts w:ascii="Arial" w:hAnsi="Arial"/>
          <w:b/>
          <w:color w:val="4A7AB5"/>
          <w:sz w:val="24"/>
        </w:rPr>
        <w:t>Framework Requirements for Climate Target-Setting</w:t>
      </w:r>
    </w:p>
    <w:p>
      <w:pPr>
        <w:spacing w:after="160" w:line="276" w:lineRule="auto"/>
      </w:pPr>
      <w:r>
        <w:rPr>
          <w:rFonts w:ascii="Arial" w:hAnsi="Arial"/>
          <w:sz w:val="22"/>
        </w:rPr>
        <w:t>The institution currently does not have formally established greenhouse gas reduction targets or a published transition plan. This represents a material disclosure gap across multiple sustainability reporting frameworks. IFRS S2 Paragraph 33 requires entities to disclose quantitative and qualitative climate-related targets set by management, including metrics used and the objective of the target. GRI 305-5 mandates disclosure of reduction targets for GHG emissions, including the target level, baseline year, and scope coverage. ESRS E1-4 requires disclosure of GHG emission reduction targets, including interim milestones and the decarbonization levers the entity plans to implement. OJK PSPK regulations require financial institutions to establish climate targets aligned with Indonesia's Nationally Determined Contributions (NDC) and demonstrate progress toward national climate goals.</w:t>
      </w:r>
    </w:p>
    <w:p>
      <w:pPr>
        <w:pStyle w:val="Heading3"/>
        <w:keepNext/>
      </w:pPr>
      <w:r>
        <w:rPr>
          <w:rFonts w:ascii="Arial" w:hAnsi="Arial"/>
          <w:b/>
          <w:color w:val="4A7AB5"/>
          <w:sz w:val="24"/>
        </w:rPr>
        <w:t>Why Climate Targets Are Foundational for Credibility</w:t>
      </w:r>
    </w:p>
    <w:p>
      <w:pPr>
        <w:spacing w:after="160" w:line="276" w:lineRule="auto"/>
      </w:pPr>
      <w:r>
        <w:rPr>
          <w:rFonts w:ascii="Arial" w:hAnsi="Arial"/>
          <w:sz w:val="22"/>
        </w:rPr>
        <w:t>The absence of science-based targets undermines the institution's climate credibility in three critical dimensions. First, regulatory compliance: Indonesia's financial sector is subject to increasing climate disclosure requirements under OJK POJK 51/2017 and SEOJK 16/2021, with enforcement mechanisms strengthening annually. Second, investor expectations: institutional investors increasingly screen for Science Based Targets initiative (SBTi) commitments as a minimum threshold for climate leadership, with 68% of global asset managers now incorporating climate targets into investment decisions. Third, competitive positioning: the institution's peer group has established clear decarbonization pathways, creating a widening disclosure gap that may impact credit ratings, cost of capital, and market reputation. Without quantified targets, the institution cannot demonstrate alignment with the Paris Agreement's 1.5°C pathway or Indonesia's NDC commitment to reduce emissions by 29% unconditionally (41% with international support) by 2030.</w:t>
      </w:r>
    </w:p>
    <w:p>
      <w:pPr>
        <w:pStyle w:val="Heading3"/>
        <w:keepNext/>
      </w:pPr>
      <w:r>
        <w:rPr>
          <w:rFonts w:ascii="Arial" w:hAnsi="Arial"/>
          <w:b/>
          <w:color w:val="4A7AB5"/>
          <w:sz w:val="24"/>
        </w:rPr>
        <w:t>Peer Benchmark Analysis: Indonesian Banking Sector Leadership</w:t>
      </w:r>
    </w:p>
    <w:p>
      <w:pPr>
        <w:spacing w:after="160" w:line="276" w:lineRule="auto"/>
      </w:pPr>
      <w:r>
        <w:rPr>
          <w:rFonts w:ascii="Arial" w:hAnsi="Arial"/>
          <w:sz w:val="22"/>
        </w:rPr>
        <w:t>Three peer institutions demonstrate varying levels of target-setting maturity that provide actionable reference points. Bank Rakyat Indonesia (BRI) submitted Indonesia's first SBTi commitment letter from a financial institution in 2023, establishing a portfolio temperature alignment target of 1.75°C by 2040, representing an annual reduction trajectory of 0.0783°C per year for financed emissions Scope 1 and 2. BRI's operational emissions target includes a 7.1% year-over-year reduction in energy intensity per employee, achieved through the Green Network initiative (solar panels, electric vehicle fleet of 118 cars and 150 motorcycles, and automated shutdown systems). DBS Group has committed to Net Zero by 2050 with SBTi-validated targets, achieved 62% renewable energy procurement (RE100 member), and established an internal carbon price of $15 per tCO₂e to guide capital allocation decisions. DBS reported a 12% year-over-year reduction in operational emissions in 2023. Bank Central Asia (BCA) has published a Climate Change Strategy with sectoral credit policies covering coal, palm oil, cement, and oil &amp; gas, and reports exceeding its Sustainable Finance Action Plan (SFAP) targets, though specific quantitative reduction targets have not been publicly disclosed.</w:t>
      </w:r>
    </w:p>
    <w:p>
      <w:pPr>
        <w:pStyle w:val="Heading3"/>
        <w:keepNext/>
      </w:pPr>
      <w:r>
        <w:rPr>
          <w:rFonts w:ascii="Arial" w:hAnsi="Arial"/>
          <w:b/>
          <w:color w:val="4A7AB5"/>
          <w:sz w:val="24"/>
        </w:rPr>
        <w:t>Recommended Target-Setting Roadmap: Three-Year Implementation Path</w:t>
      </w:r>
    </w:p>
    <w:p>
      <w:pPr>
        <w:spacing w:after="160" w:line="276" w:lineRule="auto"/>
      </w:pPr>
      <w:r>
        <w:rPr>
          <w:rFonts w:ascii="Arial" w:hAnsi="Arial"/>
          <w:sz w:val="22"/>
        </w:rPr>
        <w:t xml:space="preserve">The institution should adopt a phased approach to establish credible climate targets aligned with international best practices. </w:t>
      </w:r>
      <w:r>
        <w:rPr>
          <w:rFonts w:ascii="Arial" w:hAnsi="Arial"/>
          <w:b/>
          <w:sz w:val="22"/>
        </w:rPr>
        <w:t>Year 1 (2025):</w:t>
      </w:r>
      <w:r>
        <w:rPr>
          <w:rFonts w:ascii="Arial" w:hAnsi="Arial"/>
          <w:sz w:val="22"/>
        </w:rPr>
        <w:t xml:space="preserve"> Submit an SBTi commitment letter to publicly signal intent, establish 2024 as the baseline year for all target calculations, and conduct a comprehensive emissions inventory covering Scope 1, 2, and material Scope 3 categories beyond Category 15 (financed emissions). This phase should include Board approval of a climate policy framework and allocation of dedicated resources for target implementation. </w:t>
      </w:r>
      <w:r>
        <w:rPr>
          <w:rFonts w:ascii="Arial" w:hAnsi="Arial"/>
          <w:b/>
          <w:sz w:val="22"/>
        </w:rPr>
        <w:t>Year 2 (2026):</w:t>
      </w:r>
      <w:r>
        <w:rPr>
          <w:rFonts w:ascii="Arial" w:hAnsi="Arial"/>
          <w:sz w:val="22"/>
        </w:rPr>
        <w:t xml:space="preserve"> Set interim operational targets for 2025 and 2030, specifically a 30% reduction in Scope 1+2 emissions by 2030 versus the 2024 baseline (aligned with DBS's trajectory), and establish sectoral decarbonization pathways for the top five carbon-intensive sectors in the loan portfolio (Energy - Oil &amp; Gas, Manufacturing - Cement, Manufacturing - Steel, Transportation - Road, Manufacturing - Food &amp; Beverage). This phase should include development of a client engagement program for the top 20 financed emission contributors. </w:t>
      </w:r>
      <w:r>
        <w:rPr>
          <w:rFonts w:ascii="Arial" w:hAnsi="Arial"/>
          <w:b/>
          <w:sz w:val="22"/>
        </w:rPr>
        <w:t>Year 3 (2027):</w:t>
      </w:r>
      <w:r>
        <w:rPr>
          <w:rFonts w:ascii="Arial" w:hAnsi="Arial"/>
          <w:sz w:val="22"/>
        </w:rPr>
        <w:t xml:space="preserve"> Publish a comprehensive transition plan including scenario analysis (aligned with TCFD recommendations), submit targets for SBTi validation, establish an internal carbon price mechanism (recommended starting point: $10-15 per tCO₂e based on DBS precedent), and join the Net-Zero Banking Alliance (NZBA) to formalize commitment to portfolio alignment with 1.5°C pathways.</w:t>
      </w:r>
    </w:p>
    <w:p>
      <w:pPr>
        <w:pStyle w:val="Heading3"/>
        <w:keepNext/>
      </w:pPr>
      <w:r>
        <w:rPr>
          <w:rFonts w:ascii="Arial" w:hAnsi="Arial"/>
          <w:b/>
          <w:color w:val="4A7AB5"/>
          <w:sz w:val="24"/>
        </w:rPr>
        <w:t>Decarbonization Levers: Operational Emissions (Scope 1 &amp; 2)</w:t>
      </w:r>
    </w:p>
    <w:p>
      <w:pPr>
        <w:spacing w:after="160" w:line="276" w:lineRule="auto"/>
      </w:pPr>
      <w:r>
        <w:rPr>
          <w:rFonts w:ascii="Arial" w:hAnsi="Arial"/>
          <w:sz w:val="22"/>
        </w:rPr>
        <w:t xml:space="preserve">For the institution's operational footprint (48,016.873 tCO₂e total Scope 1+2 in 2024), four primary decarbonization levers are available with quantifiable impact potential. </w:t>
      </w:r>
      <w:r>
        <w:rPr>
          <w:rFonts w:ascii="Arial" w:hAnsi="Arial"/>
          <w:b/>
          <w:sz w:val="22"/>
        </w:rPr>
        <w:t>Energy Efficiency:</w:t>
      </w:r>
      <w:r>
        <w:rPr>
          <w:rFonts w:ascii="Arial" w:hAnsi="Arial"/>
          <w:sz w:val="22"/>
        </w:rPr>
        <w:t xml:space="preserve"> Implement automated shutdown systems (reference: BRI's Kaseya program achieved 19.49% electricity savings at BRILiaN Tower), LED retrofitting across all facilities, and building management system optimization. Expected impact: 8-12% reduction in Scope 2 emissions within 18 months, equivalent to approximately 3,569-5,354 tCO₂e annually. </w:t>
      </w:r>
      <w:r>
        <w:rPr>
          <w:rFonts w:ascii="Arial" w:hAnsi="Arial"/>
          <w:b/>
          <w:sz w:val="22"/>
        </w:rPr>
        <w:t>Renewable Energy Procurement:</w:t>
      </w:r>
      <w:r>
        <w:rPr>
          <w:rFonts w:ascii="Arial" w:hAnsi="Arial"/>
          <w:sz w:val="22"/>
        </w:rPr>
        <w:t xml:space="preserve"> Establish power purchase agreements (PPAs) with renewable energy providers or pursue on-site solar installations at the top 10 facilities by Scope 1 emissions (currently dominated by diesel generators at facilities FAC-0197, FAC-0198, FAC-0200, FAC-0196, FAC-0199). Expected impact: 15-25% reduction in Scope 2 emissions by 2030, equivalent to 6,692-11,153 tCO₂e annually. Reference: DBS achieved 62% renewable energy through strategic PPAs. </w:t>
      </w:r>
      <w:r>
        <w:rPr>
          <w:rFonts w:ascii="Arial" w:hAnsi="Arial"/>
          <w:b/>
          <w:sz w:val="22"/>
        </w:rPr>
        <w:t>Fleet Electrification:</w:t>
      </w:r>
      <w:r>
        <w:rPr>
          <w:rFonts w:ascii="Arial" w:hAnsi="Arial"/>
          <w:sz w:val="22"/>
        </w:rPr>
        <w:t xml:space="preserve"> Convert the institution's vehicle fleet to electric vehicles, prioritizing high-utilization vehicles first. Diesel consumption for transportation (2,203.2044 tCO₂e in 2024) represents 64.7% of Scope 1 emissions. Expected impact: 40-60% reduction in Scope 1 by 2030, equivalent to 881-1,322 tCO₂e annually. Reference: BRI deployed 118 electric cars and 150 electric motorcycles. </w:t>
      </w:r>
      <w:r>
        <w:rPr>
          <w:rFonts w:ascii="Arial" w:hAnsi="Arial"/>
          <w:b/>
          <w:sz w:val="22"/>
        </w:rPr>
        <w:t>Fuel Switching:</w:t>
      </w:r>
      <w:r>
        <w:rPr>
          <w:rFonts w:ascii="Arial" w:hAnsi="Arial"/>
          <w:sz w:val="22"/>
        </w:rPr>
        <w:t xml:space="preserve"> Replace diesel generators with biodiesel B35+ or hybrid solar-battery systems at facilities with high generator usage. Expected impact: 20-30% reduction in Scope 1 diesel emissions, equivalent to 441-661 tCO₂e annually.</w:t>
      </w:r>
    </w:p>
    <w:p>
      <w:pPr>
        <w:pStyle w:val="Heading3"/>
        <w:keepNext/>
      </w:pPr>
      <w:r>
        <w:rPr>
          <w:rFonts w:ascii="Arial" w:hAnsi="Arial"/>
          <w:b/>
          <w:color w:val="4A7AB5"/>
          <w:sz w:val="24"/>
        </w:rPr>
        <w:t>Decarbonization Levers: Financed Emissions (Scope 3 Category 15)</w:t>
      </w:r>
    </w:p>
    <w:p>
      <w:pPr>
        <w:spacing w:after="160" w:line="276" w:lineRule="auto"/>
      </w:pPr>
      <w:r>
        <w:rPr>
          <w:rFonts w:ascii="Arial" w:hAnsi="Arial"/>
          <w:sz w:val="22"/>
        </w:rPr>
        <w:t xml:space="preserve">For the institution's financed emissions (15,280,174.14 tCO₂e weighted in 2024), three strategic levers are required to achieve portfolio decarbonization. </w:t>
      </w:r>
      <w:r>
        <w:rPr>
          <w:rFonts w:ascii="Arial" w:hAnsi="Arial"/>
          <w:b/>
          <w:sz w:val="22"/>
        </w:rPr>
        <w:t>Sectoral Credit Policies:</w:t>
      </w:r>
      <w:r>
        <w:rPr>
          <w:rFonts w:ascii="Arial" w:hAnsi="Arial"/>
          <w:sz w:val="22"/>
        </w:rPr>
        <w:t xml:space="preserve"> Establish exclusion criteria and phase-out timelines for carbon-intensive activities, prioritizing the Energy - Oil &amp; Gas sector (43.56% of financed emissions, 6,753,948.71 tCO₂e) and Manufacturing - Cement sector (26.45% of financed emissions, 4,168,058.43 tCO₂e). Reference: BCA has implemented sectoral policies covering coal, palm oil, cement, and oil &amp; gas with specific lending restrictions. Expected impact: 5-8% reduction in financed emissions intensity by 2030 through portfolio reallocation. </w:t>
      </w:r>
      <w:r>
        <w:rPr>
          <w:rFonts w:ascii="Arial" w:hAnsi="Arial"/>
          <w:b/>
          <w:sz w:val="22"/>
        </w:rPr>
        <w:t>Client Engagement Program:</w:t>
      </w:r>
      <w:r>
        <w:rPr>
          <w:rFonts w:ascii="Arial" w:hAnsi="Arial"/>
          <w:sz w:val="22"/>
        </w:rPr>
        <w:t xml:space="preserve"> Develop a structured engagement framework for the top 50 borrowers by financed emissions, requiring annual emissions disclosure, transition plan development, and alignment with sectoral decarbonization pathways. Expected impact: 10-15% reduction in financed emissions through client-level improvements, equivalent to 1,528,017-2,292,026 tCO₂e by 2030. </w:t>
      </w:r>
      <w:r>
        <w:rPr>
          <w:rFonts w:ascii="Arial" w:hAnsi="Arial"/>
          <w:b/>
          <w:sz w:val="22"/>
        </w:rPr>
        <w:t>Green Finance Scaling:</w:t>
      </w:r>
      <w:r>
        <w:rPr>
          <w:rFonts w:ascii="Arial" w:hAnsi="Arial"/>
          <w:sz w:val="22"/>
        </w:rPr>
        <w:t xml:space="preserve"> Increase the proportion of sustainable finance products (green loans, sustainability-linked loans, green bonds) from current levels to 30% of new lending by 2030. Expected impact: Portfolio temperature alignment improvement from current baseline to below 2°C by 2035. Reference: BRI's portfolio temperature target of 1.75°C by 2040 demonstrates feasibility of ambitious alignment goals.</w:t>
      </w:r>
    </w:p>
    <w:p>
      <w:pPr>
        <w:pStyle w:val="Heading3"/>
        <w:keepNext/>
      </w:pPr>
      <w:r>
        <w:rPr>
          <w:rFonts w:ascii="Arial" w:hAnsi="Arial"/>
          <w:b/>
          <w:color w:val="4A7AB5"/>
          <w:sz w:val="24"/>
        </w:rPr>
        <w:t>Implementation Timeline and Resource Requirements</w:t>
      </w:r>
    </w:p>
    <w:p>
      <w:pPr>
        <w:spacing w:after="160" w:line="276" w:lineRule="auto"/>
      </w:pPr>
      <w:r>
        <w:rPr>
          <w:rFonts w:ascii="Arial" w:hAnsi="Arial"/>
          <w:sz w:val="22"/>
        </w:rPr>
        <w:t xml:space="preserve">Successful target implementation requires dedicated organizational resources and clear accountability structures. </w:t>
      </w:r>
      <w:r>
        <w:rPr>
          <w:rFonts w:ascii="Arial" w:hAnsi="Arial"/>
          <w:b/>
          <w:sz w:val="22"/>
        </w:rPr>
        <w:t>Immediate Actions (Q1-Q2 2025):</w:t>
      </w:r>
      <w:r>
        <w:rPr>
          <w:rFonts w:ascii="Arial" w:hAnsi="Arial"/>
          <w:sz w:val="22"/>
        </w:rPr>
        <w:t xml:space="preserve"> Establish a Board-level Climate Risk Committee with quarterly reporting cadence, allocate budget for SBTi commitment process (estimated IDR 500-750 million for consulting support and validation fees), and initiate data quality improvement program for financed emissions (current average PCAF score of 3.36 indicates significant estimation reliance). </w:t>
      </w:r>
      <w:r>
        <w:rPr>
          <w:rFonts w:ascii="Arial" w:hAnsi="Arial"/>
          <w:b/>
          <w:sz w:val="22"/>
        </w:rPr>
        <w:t>Short-Term Actions (Q3 2025-Q4 2025):</w:t>
      </w:r>
      <w:r>
        <w:rPr>
          <w:rFonts w:ascii="Arial" w:hAnsi="Arial"/>
          <w:sz w:val="22"/>
        </w:rPr>
        <w:t xml:space="preserve"> Complete baseline year emissions verification through limited assurance engagement (estimated cost: IDR 800 million-1.2 billion), develop sectoral decarbonization pathways for top five carbon-intensive sectors, and launch pilot client engagement program with 10 high-emission borrowers. </w:t>
      </w:r>
      <w:r>
        <w:rPr>
          <w:rFonts w:ascii="Arial" w:hAnsi="Arial"/>
          <w:b/>
          <w:sz w:val="22"/>
        </w:rPr>
        <w:t>Medium-Term Actions (2026-2027):</w:t>
      </w:r>
      <w:r>
        <w:rPr>
          <w:rFonts w:ascii="Arial" w:hAnsi="Arial"/>
          <w:sz w:val="22"/>
        </w:rPr>
        <w:t xml:space="preserve"> Submit interim targets to SBTi for validation, implement renewable energy procurement strategy (estimated capital expenditure: IDR 15-25 billion for solar installations at priority facilities), and establish internal carbon price mechanism with integration into credit risk pricing models. </w:t>
      </w:r>
      <w:r>
        <w:rPr>
          <w:rFonts w:ascii="Arial" w:hAnsi="Arial"/>
          <w:b/>
          <w:sz w:val="22"/>
        </w:rPr>
        <w:t>Long-Term Actions (2028-2030):</w:t>
      </w:r>
      <w:r>
        <w:rPr>
          <w:rFonts w:ascii="Arial" w:hAnsi="Arial"/>
          <w:sz w:val="22"/>
        </w:rPr>
        <w:t xml:space="preserve"> Achieve 30% operational emissions reduction versus 2024 baseline, demonstrate measurable progress on portfolio temperature alignment (target: below 2.5°C by 2030), and publish annual transition plan progress reports with external assurance.</w:t>
      </w:r>
    </w:p>
    <w:p>
      <w:r>
        <w:rPr>
          <w:rFonts w:ascii="Arial" w:hAnsi="Arial"/>
          <w:b/>
          <w:sz w:val="20"/>
        </w:rPr>
        <w:t>Table 58: Table 3.2.1: Framework Requirements for Climate Target Disclosure — Compliance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IFRS S2</w:t>
            </w:r>
          </w:p>
        </w:tc>
        <w:tc>
          <w:tcPr>
            <w:tcW w:type="dxa" w:w="1806"/>
          </w:tcPr>
          <w:p>
            <w:r>
              <w:rPr>
                <w:rFonts w:ascii="Arial" w:hAnsi="Arial"/>
                <w:sz w:val="18"/>
              </w:rPr>
              <w:t>Para 33</w:t>
            </w:r>
          </w:p>
        </w:tc>
        <w:tc>
          <w:tcPr>
            <w:tcW w:type="dxa" w:w="1806"/>
          </w:tcPr>
          <w:p>
            <w:r>
              <w:rPr>
                <w:rFonts w:ascii="Arial" w:hAnsi="Arial"/>
                <w:sz w:val="18"/>
              </w:rPr>
              <w:t>Quantitative and qualitative climate-related targets</w:t>
            </w:r>
          </w:p>
        </w:tc>
        <w:tc>
          <w:tcPr>
            <w:tcW w:type="dxa" w:w="1806"/>
          </w:tcPr>
          <w:p>
            <w:r>
              <w:rPr>
                <w:rFonts w:ascii="Arial" w:hAnsi="Arial"/>
                <w:sz w:val="18"/>
              </w:rPr>
              <w:t>⚠️ Gap — No targets established</w:t>
            </w:r>
          </w:p>
        </w:tc>
        <w:tc>
          <w:tcPr>
            <w:tcW w:type="dxa" w:w="1806"/>
          </w:tcPr>
          <w:p>
            <w:r>
              <w:rPr>
                <w:rFonts w:ascii="Arial" w:hAnsi="Arial"/>
                <w:sz w:val="18"/>
              </w:rPr>
              <w:t>Critical</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34</w:t>
            </w:r>
          </w:p>
        </w:tc>
        <w:tc>
          <w:tcPr>
            <w:tcW w:type="dxa" w:w="1806"/>
            <w:shd w:fill="F2F6FC" w:val="clear"/>
          </w:tcPr>
          <w:p>
            <w:r>
              <w:rPr>
                <w:rFonts w:ascii="Arial" w:hAnsi="Arial"/>
                <w:sz w:val="18"/>
              </w:rPr>
              <w:t>Target metrics, base period, and scope coverage</w:t>
            </w:r>
          </w:p>
        </w:tc>
        <w:tc>
          <w:tcPr>
            <w:tcW w:type="dxa" w:w="1806"/>
            <w:shd w:fill="F2F6FC" w:val="clear"/>
          </w:tcPr>
          <w:p>
            <w:r>
              <w:rPr>
                <w:rFonts w:ascii="Arial" w:hAnsi="Arial"/>
                <w:sz w:val="18"/>
              </w:rPr>
              <w:t>⚠️ Gap — Baseline year not designated</w:t>
            </w:r>
          </w:p>
        </w:tc>
        <w:tc>
          <w:tcPr>
            <w:tcW w:type="dxa" w:w="1806"/>
            <w:shd w:fill="F2F6FC" w:val="clear"/>
          </w:tcPr>
          <w:p>
            <w:r>
              <w:rPr>
                <w:rFonts w:ascii="Arial" w:hAnsi="Arial"/>
                <w:sz w:val="18"/>
              </w:rPr>
              <w:t>Critical</w:t>
            </w:r>
          </w:p>
        </w:tc>
      </w:tr>
      <w:tr>
        <w:tc>
          <w:tcPr>
            <w:tcW w:type="dxa" w:w="1806"/>
          </w:tcPr>
          <w:p>
            <w:r>
              <w:rPr>
                <w:rFonts w:ascii="Arial" w:hAnsi="Arial"/>
                <w:sz w:val="18"/>
              </w:rPr>
              <w:t>IFRS S2</w:t>
            </w:r>
          </w:p>
        </w:tc>
        <w:tc>
          <w:tcPr>
            <w:tcW w:type="dxa" w:w="1806"/>
          </w:tcPr>
          <w:p>
            <w:r>
              <w:rPr>
                <w:rFonts w:ascii="Arial" w:hAnsi="Arial"/>
                <w:sz w:val="18"/>
              </w:rPr>
              <w:t>Para 35</w:t>
            </w:r>
          </w:p>
        </w:tc>
        <w:tc>
          <w:tcPr>
            <w:tcW w:type="dxa" w:w="1806"/>
          </w:tcPr>
          <w:p>
            <w:r>
              <w:rPr>
                <w:rFonts w:ascii="Arial" w:hAnsi="Arial"/>
                <w:sz w:val="18"/>
              </w:rPr>
              <w:t>Approach to setting and reviewing targets</w:t>
            </w:r>
          </w:p>
        </w:tc>
        <w:tc>
          <w:tcPr>
            <w:tcW w:type="dxa" w:w="1806"/>
          </w:tcPr>
          <w:p>
            <w:r>
              <w:rPr>
                <w:rFonts w:ascii="Arial" w:hAnsi="Arial"/>
                <w:sz w:val="18"/>
              </w:rPr>
              <w:t>⚠️ Gap — No methodology documented</w:t>
            </w:r>
          </w:p>
        </w:tc>
        <w:tc>
          <w:tcPr>
            <w:tcW w:type="dxa" w:w="1806"/>
          </w:tcPr>
          <w:p>
            <w:r>
              <w:rPr>
                <w:rFonts w:ascii="Arial" w:hAnsi="Arial"/>
                <w:sz w:val="18"/>
              </w:rPr>
              <w:t>High</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36</w:t>
            </w:r>
          </w:p>
        </w:tc>
        <w:tc>
          <w:tcPr>
            <w:tcW w:type="dxa" w:w="1806"/>
            <w:shd w:fill="F2F6FC" w:val="clear"/>
          </w:tcPr>
          <w:p>
            <w:r>
              <w:rPr>
                <w:rFonts w:ascii="Arial" w:hAnsi="Arial"/>
                <w:sz w:val="18"/>
              </w:rPr>
              <w:t>Progress toward targets and trend analysis</w:t>
            </w:r>
          </w:p>
        </w:tc>
        <w:tc>
          <w:tcPr>
            <w:tcW w:type="dxa" w:w="1806"/>
            <w:shd w:fill="F2F6FC" w:val="clear"/>
          </w:tcPr>
          <w:p>
            <w:r>
              <w:rPr>
                <w:rFonts w:ascii="Arial" w:hAnsi="Arial"/>
                <w:sz w:val="18"/>
              </w:rPr>
              <w:t>⚠️ Gap — No targets to track</w:t>
            </w:r>
          </w:p>
        </w:tc>
        <w:tc>
          <w:tcPr>
            <w:tcW w:type="dxa" w:w="1806"/>
            <w:shd w:fill="F2F6FC" w:val="clear"/>
          </w:tcPr>
          <w:p>
            <w:r>
              <w:rPr>
                <w:rFonts w:ascii="Arial" w:hAnsi="Arial"/>
                <w:sz w:val="18"/>
              </w:rPr>
              <w:t>Critical</w:t>
            </w:r>
          </w:p>
        </w:tc>
      </w:tr>
      <w:tr>
        <w:tc>
          <w:tcPr>
            <w:tcW w:type="dxa" w:w="1806"/>
          </w:tcPr>
          <w:p>
            <w:r>
              <w:rPr>
                <w:rFonts w:ascii="Arial" w:hAnsi="Arial"/>
                <w:sz w:val="18"/>
              </w:rPr>
              <w:t>IFRS S2</w:t>
            </w:r>
          </w:p>
        </w:tc>
        <w:tc>
          <w:tcPr>
            <w:tcW w:type="dxa" w:w="1806"/>
          </w:tcPr>
          <w:p>
            <w:r>
              <w:rPr>
                <w:rFonts w:ascii="Arial" w:hAnsi="Arial"/>
                <w:sz w:val="18"/>
              </w:rPr>
              <w:t>Para 37</w:t>
            </w:r>
          </w:p>
        </w:tc>
        <w:tc>
          <w:tcPr>
            <w:tcW w:type="dxa" w:w="1806"/>
          </w:tcPr>
          <w:p>
            <w:r>
              <w:rPr>
                <w:rFonts w:ascii="Arial" w:hAnsi="Arial"/>
                <w:sz w:val="18"/>
              </w:rPr>
              <w:t>Transition plan disclosure</w:t>
            </w:r>
          </w:p>
        </w:tc>
        <w:tc>
          <w:tcPr>
            <w:tcW w:type="dxa" w:w="1806"/>
          </w:tcPr>
          <w:p>
            <w:r>
              <w:rPr>
                <w:rFonts w:ascii="Arial" w:hAnsi="Arial"/>
                <w:sz w:val="18"/>
              </w:rPr>
              <w:t>⚠️ Gap — No plan published</w:t>
            </w:r>
          </w:p>
        </w:tc>
        <w:tc>
          <w:tcPr>
            <w:tcW w:type="dxa" w:w="1806"/>
          </w:tcPr>
          <w:p>
            <w:r>
              <w:rPr>
                <w:rFonts w:ascii="Arial" w:hAnsi="Arial"/>
                <w:sz w:val="18"/>
              </w:rPr>
              <w:t>Critical</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305-5a</w:t>
            </w:r>
          </w:p>
        </w:tc>
        <w:tc>
          <w:tcPr>
            <w:tcW w:type="dxa" w:w="1806"/>
            <w:shd w:fill="F2F6FC" w:val="clear"/>
          </w:tcPr>
          <w:p>
            <w:r>
              <w:rPr>
                <w:rFonts w:ascii="Arial" w:hAnsi="Arial"/>
                <w:sz w:val="18"/>
              </w:rPr>
              <w:t>GHG emission reductions achieved (tCO₂e)</w:t>
            </w:r>
          </w:p>
        </w:tc>
        <w:tc>
          <w:tcPr>
            <w:tcW w:type="dxa" w:w="1806"/>
            <w:shd w:fill="F2F6FC" w:val="clear"/>
          </w:tcPr>
          <w:p>
            <w:r>
              <w:rPr>
                <w:rFonts w:ascii="Arial" w:hAnsi="Arial"/>
                <w:sz w:val="18"/>
              </w:rPr>
              <w:t>⚠️ Partial — YoY data available but no target</w:t>
            </w:r>
          </w:p>
        </w:tc>
        <w:tc>
          <w:tcPr>
            <w:tcW w:type="dxa" w:w="1806"/>
            <w:shd w:fill="F2F6FC" w:val="clear"/>
          </w:tcPr>
          <w:p>
            <w:r>
              <w:rPr>
                <w:rFonts w:ascii="Arial" w:hAnsi="Arial"/>
                <w:sz w:val="18"/>
              </w:rPr>
              <w:t>High</w:t>
            </w:r>
          </w:p>
        </w:tc>
      </w:tr>
      <w:tr>
        <w:tc>
          <w:tcPr>
            <w:tcW w:type="dxa" w:w="1806"/>
          </w:tcPr>
          <w:p>
            <w:r>
              <w:rPr>
                <w:rFonts w:ascii="Arial" w:hAnsi="Arial"/>
                <w:sz w:val="18"/>
              </w:rPr>
              <w:t>GRI 305-5</w:t>
            </w:r>
          </w:p>
        </w:tc>
        <w:tc>
          <w:tcPr>
            <w:tcW w:type="dxa" w:w="1806"/>
          </w:tcPr>
          <w:p>
            <w:r>
              <w:rPr>
                <w:rFonts w:ascii="Arial" w:hAnsi="Arial"/>
                <w:sz w:val="18"/>
              </w:rPr>
              <w:t>305-5b</w:t>
            </w:r>
          </w:p>
        </w:tc>
        <w:tc>
          <w:tcPr>
            <w:tcW w:type="dxa" w:w="1806"/>
          </w:tcPr>
          <w:p>
            <w:r>
              <w:rPr>
                <w:rFonts w:ascii="Arial" w:hAnsi="Arial"/>
                <w:sz w:val="18"/>
              </w:rPr>
              <w:t>Gases included and base year</w:t>
            </w:r>
          </w:p>
        </w:tc>
        <w:tc>
          <w:tcPr>
            <w:tcW w:type="dxa" w:w="1806"/>
          </w:tcPr>
          <w:p>
            <w:r>
              <w:rPr>
                <w:rFonts w:ascii="Arial" w:hAnsi="Arial"/>
                <w:sz w:val="18"/>
              </w:rPr>
              <w:t>⚠️ Gap — Base year not formally designated</w:t>
            </w:r>
          </w:p>
        </w:tc>
        <w:tc>
          <w:tcPr>
            <w:tcW w:type="dxa" w:w="1806"/>
          </w:tcPr>
          <w:p>
            <w:r>
              <w:rPr>
                <w:rFonts w:ascii="Arial" w:hAnsi="Arial"/>
                <w:sz w:val="18"/>
              </w:rPr>
              <w:t>High</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305-5c</w:t>
            </w:r>
          </w:p>
        </w:tc>
        <w:tc>
          <w:tcPr>
            <w:tcW w:type="dxa" w:w="1806"/>
            <w:shd w:fill="F2F6FC" w:val="clear"/>
          </w:tcPr>
          <w:p>
            <w:r>
              <w:rPr>
                <w:rFonts w:ascii="Arial" w:hAnsi="Arial"/>
                <w:sz w:val="18"/>
              </w:rPr>
              <w:t>Scopes covered by reduction target</w:t>
            </w:r>
          </w:p>
        </w:tc>
        <w:tc>
          <w:tcPr>
            <w:tcW w:type="dxa" w:w="1806"/>
            <w:shd w:fill="F2F6FC" w:val="clear"/>
          </w:tcPr>
          <w:p>
            <w:r>
              <w:rPr>
                <w:rFonts w:ascii="Arial" w:hAnsi="Arial"/>
                <w:sz w:val="18"/>
              </w:rPr>
              <w:t>⚠️ Gap — No target scope defined</w:t>
            </w:r>
          </w:p>
        </w:tc>
        <w:tc>
          <w:tcPr>
            <w:tcW w:type="dxa" w:w="1806"/>
            <w:shd w:fill="F2F6FC" w:val="clear"/>
          </w:tcPr>
          <w:p>
            <w:r>
              <w:rPr>
                <w:rFonts w:ascii="Arial" w:hAnsi="Arial"/>
                <w:sz w:val="18"/>
              </w:rPr>
              <w:t>High</w:t>
            </w:r>
          </w:p>
        </w:tc>
      </w:tr>
      <w:tr>
        <w:tc>
          <w:tcPr>
            <w:tcW w:type="dxa" w:w="1806"/>
          </w:tcPr>
          <w:p>
            <w:r>
              <w:rPr>
                <w:rFonts w:ascii="Arial" w:hAnsi="Arial"/>
                <w:sz w:val="18"/>
              </w:rPr>
              <w:t>ESRS E1</w:t>
            </w:r>
          </w:p>
        </w:tc>
        <w:tc>
          <w:tcPr>
            <w:tcW w:type="dxa" w:w="1806"/>
          </w:tcPr>
          <w:p>
            <w:r>
              <w:rPr>
                <w:rFonts w:ascii="Arial" w:hAnsi="Arial"/>
                <w:sz w:val="18"/>
              </w:rPr>
              <w:t>DR E1-4</w:t>
            </w:r>
          </w:p>
        </w:tc>
        <w:tc>
          <w:tcPr>
            <w:tcW w:type="dxa" w:w="1806"/>
          </w:tcPr>
          <w:p>
            <w:r>
              <w:rPr>
                <w:rFonts w:ascii="Arial" w:hAnsi="Arial"/>
                <w:sz w:val="18"/>
              </w:rPr>
              <w:t>GHG emission reduction targets with milestones</w:t>
            </w:r>
          </w:p>
        </w:tc>
        <w:tc>
          <w:tcPr>
            <w:tcW w:type="dxa" w:w="1806"/>
          </w:tcPr>
          <w:p>
            <w:r>
              <w:rPr>
                <w:rFonts w:ascii="Arial" w:hAnsi="Arial"/>
                <w:sz w:val="18"/>
              </w:rPr>
              <w:t>⚠️ Gap — No targets or milestones</w:t>
            </w:r>
          </w:p>
        </w:tc>
        <w:tc>
          <w:tcPr>
            <w:tcW w:type="dxa" w:w="1806"/>
          </w:tcPr>
          <w:p>
            <w:r>
              <w:rPr>
                <w:rFonts w:ascii="Arial" w:hAnsi="Arial"/>
                <w:sz w:val="18"/>
              </w:rPr>
              <w:t>Critical</w:t>
            </w:r>
          </w:p>
        </w:tc>
      </w:tr>
      <w:tr>
        <w:tc>
          <w:tcPr>
            <w:tcW w:type="dxa" w:w="1806"/>
            <w:shd w:fill="F2F6FC" w:val="clear"/>
          </w:tcPr>
          <w:p>
            <w:r>
              <w:rPr>
                <w:rFonts w:ascii="Arial" w:hAnsi="Arial"/>
                <w:sz w:val="18"/>
              </w:rPr>
              <w:t>ESRS E1</w:t>
            </w:r>
          </w:p>
        </w:tc>
        <w:tc>
          <w:tcPr>
            <w:tcW w:type="dxa" w:w="1806"/>
            <w:shd w:fill="F2F6FC" w:val="clear"/>
          </w:tcPr>
          <w:p>
            <w:r>
              <w:rPr>
                <w:rFonts w:ascii="Arial" w:hAnsi="Arial"/>
                <w:sz w:val="18"/>
              </w:rPr>
              <w:t>DR E1-4</w:t>
            </w:r>
          </w:p>
        </w:tc>
        <w:tc>
          <w:tcPr>
            <w:tcW w:type="dxa" w:w="1806"/>
            <w:shd w:fill="F2F6FC" w:val="clear"/>
          </w:tcPr>
          <w:p>
            <w:r>
              <w:rPr>
                <w:rFonts w:ascii="Arial" w:hAnsi="Arial"/>
                <w:sz w:val="18"/>
              </w:rPr>
              <w:t>Decarbonization levers and expected contributions</w:t>
            </w:r>
          </w:p>
        </w:tc>
        <w:tc>
          <w:tcPr>
            <w:tcW w:type="dxa" w:w="1806"/>
            <w:shd w:fill="F2F6FC" w:val="clear"/>
          </w:tcPr>
          <w:p>
            <w:r>
              <w:rPr>
                <w:rFonts w:ascii="Arial" w:hAnsi="Arial"/>
                <w:sz w:val="18"/>
              </w:rPr>
              <w:t>⚠️ Gap — Levers not quantified</w:t>
            </w:r>
          </w:p>
        </w:tc>
        <w:tc>
          <w:tcPr>
            <w:tcW w:type="dxa" w:w="1806"/>
            <w:shd w:fill="F2F6FC" w:val="clear"/>
          </w:tcPr>
          <w:p>
            <w:r>
              <w:rPr>
                <w:rFonts w:ascii="Arial" w:hAnsi="Arial"/>
                <w:sz w:val="18"/>
              </w:rPr>
              <w:t>High</w:t>
            </w:r>
          </w:p>
        </w:tc>
      </w:tr>
      <w:tr>
        <w:tc>
          <w:tcPr>
            <w:tcW w:type="dxa" w:w="1806"/>
          </w:tcPr>
          <w:p>
            <w:r>
              <w:rPr>
                <w:rFonts w:ascii="Arial" w:hAnsi="Arial"/>
                <w:sz w:val="18"/>
              </w:rPr>
              <w:t>OJK PSPK</w:t>
            </w:r>
          </w:p>
        </w:tc>
        <w:tc>
          <w:tcPr>
            <w:tcW w:type="dxa" w:w="1806"/>
          </w:tcPr>
          <w:p>
            <w:r>
              <w:rPr>
                <w:rFonts w:ascii="Arial" w:hAnsi="Arial"/>
                <w:sz w:val="18"/>
              </w:rPr>
              <w:t>Target Iklim</w:t>
            </w:r>
          </w:p>
        </w:tc>
        <w:tc>
          <w:tcPr>
            <w:tcW w:type="dxa" w:w="1806"/>
          </w:tcPr>
          <w:p>
            <w:r>
              <w:rPr>
                <w:rFonts w:ascii="Arial" w:hAnsi="Arial"/>
                <w:sz w:val="18"/>
              </w:rPr>
              <w:t>Climate targets aligned with Indonesia NDC</w:t>
            </w:r>
          </w:p>
        </w:tc>
        <w:tc>
          <w:tcPr>
            <w:tcW w:type="dxa" w:w="1806"/>
          </w:tcPr>
          <w:p>
            <w:r>
              <w:rPr>
                <w:rFonts w:ascii="Arial" w:hAnsi="Arial"/>
                <w:sz w:val="18"/>
              </w:rPr>
              <w:t>⚠️ Gap — No NDC alignment demonstrated</w:t>
            </w:r>
          </w:p>
        </w:tc>
        <w:tc>
          <w:tcPr>
            <w:tcW w:type="dxa" w:w="1806"/>
          </w:tcPr>
          <w:p>
            <w:r>
              <w:rPr>
                <w:rFonts w:ascii="Arial" w:hAnsi="Arial"/>
                <w:sz w:val="18"/>
              </w:rPr>
              <w:t>Critical</w:t>
            </w:r>
          </w:p>
        </w:tc>
      </w:tr>
      <w:tr>
        <w:tc>
          <w:tcPr>
            <w:tcW w:type="dxa" w:w="1806"/>
            <w:shd w:fill="F2F6FC" w:val="clear"/>
          </w:tcPr>
          <w:p>
            <w:r>
              <w:rPr>
                <w:rFonts w:ascii="Arial" w:hAnsi="Arial"/>
                <w:sz w:val="18"/>
              </w:rPr>
              <w:t>OJK PSPK</w:t>
            </w:r>
          </w:p>
        </w:tc>
        <w:tc>
          <w:tcPr>
            <w:tcW w:type="dxa" w:w="1806"/>
            <w:shd w:fill="F2F6FC" w:val="clear"/>
          </w:tcPr>
          <w:p>
            <w:r>
              <w:rPr>
                <w:rFonts w:ascii="Arial" w:hAnsi="Arial"/>
                <w:sz w:val="18"/>
              </w:rPr>
              <w:t>Rencana Transisi</w:t>
            </w:r>
          </w:p>
        </w:tc>
        <w:tc>
          <w:tcPr>
            <w:tcW w:type="dxa" w:w="1806"/>
            <w:shd w:fill="F2F6FC" w:val="clear"/>
          </w:tcPr>
          <w:p>
            <w:r>
              <w:rPr>
                <w:rFonts w:ascii="Arial" w:hAnsi="Arial"/>
                <w:sz w:val="18"/>
              </w:rPr>
              <w:t>Transition plan with implementation roadmap</w:t>
            </w:r>
          </w:p>
        </w:tc>
        <w:tc>
          <w:tcPr>
            <w:tcW w:type="dxa" w:w="1806"/>
            <w:shd w:fill="F2F6FC" w:val="clear"/>
          </w:tcPr>
          <w:p>
            <w:r>
              <w:rPr>
                <w:rFonts w:ascii="Arial" w:hAnsi="Arial"/>
                <w:sz w:val="18"/>
              </w:rPr>
              <w:t>⚠️ Gap — No transition plan</w:t>
            </w:r>
          </w:p>
        </w:tc>
        <w:tc>
          <w:tcPr>
            <w:tcW w:type="dxa" w:w="1806"/>
            <w:shd w:fill="F2F6FC" w:val="clear"/>
          </w:tcPr>
          <w:p>
            <w:r>
              <w:rPr>
                <w:rFonts w:ascii="Arial" w:hAnsi="Arial"/>
                <w:sz w:val="18"/>
              </w:rPr>
              <w:t>Critical</w:t>
            </w:r>
          </w:p>
        </w:tc>
      </w:tr>
    </w:tbl>
    <w:p>
      <w:r>
        <w:rPr>
          <w:rFonts w:ascii="Arial" w:hAnsi="Arial"/>
          <w:i/>
          <w:sz w:val="16"/>
        </w:rPr>
        <w:t>Source: Status assessment based on DATA INPUT section and framework requirements. All gaps represent material disclosure deficiencies requiring remediation within 12-24 months to maintain regulatory compliance and market credibility.</w:t>
      </w:r>
    </w:p>
    <w:p/>
    <w:p>
      <w:r>
        <w:rPr>
          <w:rFonts w:ascii="Arial" w:hAnsi="Arial"/>
          <w:b/>
          <w:sz w:val="20"/>
        </w:rPr>
        <w:t>Table 60: Table 3.2.2: Peer Benchmark Comparison — Climate Target Maturity</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SBTi Status</w:t>
            </w:r>
          </w:p>
        </w:tc>
        <w:tc>
          <w:tcPr>
            <w:tcW w:type="dxa" w:w="1505"/>
            <w:shd w:fill="1B3A6B" w:val="clear"/>
          </w:tcPr>
          <w:p>
            <w:r>
              <w:rPr>
                <w:rFonts w:ascii="Arial" w:hAnsi="Arial"/>
                <w:b/>
                <w:color w:val="FFFFFF"/>
                <w:sz w:val="18"/>
              </w:rPr>
              <w:t>Net Zero Commitment</w:t>
            </w:r>
          </w:p>
        </w:tc>
        <w:tc>
          <w:tcPr>
            <w:tcW w:type="dxa" w:w="1505"/>
            <w:shd w:fill="1B3A6B" w:val="clear"/>
          </w:tcPr>
          <w:p>
            <w:r>
              <w:rPr>
                <w:rFonts w:ascii="Arial" w:hAnsi="Arial"/>
                <w:b/>
                <w:color w:val="FFFFFF"/>
                <w:sz w:val="18"/>
              </w:rPr>
              <w:t>Operational Target</w:t>
            </w:r>
          </w:p>
        </w:tc>
        <w:tc>
          <w:tcPr>
            <w:tcW w:type="dxa" w:w="1505"/>
            <w:shd w:fill="1B3A6B" w:val="clear"/>
          </w:tcPr>
          <w:p>
            <w:r>
              <w:rPr>
                <w:rFonts w:ascii="Arial" w:hAnsi="Arial"/>
                <w:b/>
                <w:color w:val="FFFFFF"/>
                <w:sz w:val="18"/>
              </w:rPr>
              <w:t>Portfolio Target</w:t>
            </w:r>
          </w:p>
        </w:tc>
        <w:tc>
          <w:tcPr>
            <w:tcW w:type="dxa" w:w="1505"/>
            <w:shd w:fill="1B3A6B" w:val="clear"/>
          </w:tcPr>
          <w:p>
            <w:r>
              <w:rPr>
                <w:rFonts w:ascii="Arial" w:hAnsi="Arial"/>
                <w:b/>
                <w:color w:val="FFFFFF"/>
                <w:sz w:val="18"/>
              </w:rPr>
              <w:t>Key Differentiator</w:t>
            </w:r>
          </w:p>
        </w:tc>
      </w:tr>
      <w:tr>
        <w:tc>
          <w:tcPr>
            <w:tcW w:type="dxa" w:w="1505"/>
          </w:tcPr>
          <w:p>
            <w:r>
              <w:rPr>
                <w:rFonts w:ascii="Arial" w:hAnsi="Arial"/>
                <w:sz w:val="18"/>
              </w:rPr>
              <w:t>Bank Rakyat Indonesia (BRI)</w:t>
            </w:r>
          </w:p>
        </w:tc>
        <w:tc>
          <w:tcPr>
            <w:tcW w:type="dxa" w:w="1505"/>
          </w:tcPr>
          <w:p>
            <w:r>
              <w:rPr>
                <w:rFonts w:ascii="Arial" w:hAnsi="Arial"/>
                <w:sz w:val="18"/>
              </w:rPr>
              <w:t>✅ Committed (2023)</w:t>
            </w:r>
          </w:p>
        </w:tc>
        <w:tc>
          <w:tcPr>
            <w:tcW w:type="dxa" w:w="1505"/>
          </w:tcPr>
          <w:p>
            <w:pPr>
              <w:jc w:val="right"/>
            </w:pPr>
            <w:r>
              <w:rPr>
                <w:rFonts w:ascii="Arial" w:hAnsi="Arial"/>
                <w:sz w:val="18"/>
              </w:rPr>
              <w:t>2050</w:t>
            </w:r>
          </w:p>
        </w:tc>
        <w:tc>
          <w:tcPr>
            <w:tcW w:type="dxa" w:w="1505"/>
          </w:tcPr>
          <w:p>
            <w:r>
              <w:rPr>
                <w:rFonts w:ascii="Arial" w:hAnsi="Arial"/>
                <w:sz w:val="18"/>
              </w:rPr>
              <w:t>7.1% YoY intensity reduction</w:t>
            </w:r>
          </w:p>
        </w:tc>
        <w:tc>
          <w:tcPr>
            <w:tcW w:type="dxa" w:w="1505"/>
          </w:tcPr>
          <w:p>
            <w:r>
              <w:rPr>
                <w:rFonts w:ascii="Arial" w:hAnsi="Arial"/>
                <w:sz w:val="18"/>
              </w:rPr>
              <w:t>1.75°C by 2040</w:t>
            </w:r>
          </w:p>
        </w:tc>
        <w:tc>
          <w:tcPr>
            <w:tcW w:type="dxa" w:w="1505"/>
          </w:tcPr>
          <w:p>
            <w:r>
              <w:rPr>
                <w:rFonts w:ascii="Arial" w:hAnsi="Arial"/>
                <w:sz w:val="18"/>
              </w:rPr>
              <w:t>First Indonesian FI with SBTi commitment</w:t>
            </w:r>
          </w:p>
        </w:tc>
      </w:tr>
      <w:tr>
        <w:tc>
          <w:tcPr>
            <w:tcW w:type="dxa" w:w="1505"/>
            <w:shd w:fill="F2F6FC" w:val="clear"/>
          </w:tcPr>
          <w:p>
            <w:r>
              <w:rPr>
                <w:rFonts w:ascii="Arial" w:hAnsi="Arial"/>
                <w:sz w:val="18"/>
              </w:rPr>
              <w:t>DBS Group</w:t>
            </w:r>
          </w:p>
        </w:tc>
        <w:tc>
          <w:tcPr>
            <w:tcW w:type="dxa" w:w="1505"/>
            <w:shd w:fill="F2F6FC" w:val="clear"/>
          </w:tcPr>
          <w:p>
            <w:r>
              <w:rPr>
                <w:rFonts w:ascii="Arial" w:hAnsi="Arial"/>
                <w:sz w:val="18"/>
              </w:rPr>
              <w:t>✅ Submitted</w:t>
            </w:r>
          </w:p>
        </w:tc>
        <w:tc>
          <w:tcPr>
            <w:tcW w:type="dxa" w:w="1505"/>
            <w:shd w:fill="F2F6FC" w:val="clear"/>
          </w:tcPr>
          <w:p>
            <w:pPr>
              <w:jc w:val="right"/>
            </w:pPr>
            <w:r>
              <w:rPr>
                <w:rFonts w:ascii="Arial" w:hAnsi="Arial"/>
                <w:sz w:val="18"/>
              </w:rPr>
              <w:t>2050</w:t>
            </w:r>
          </w:p>
        </w:tc>
        <w:tc>
          <w:tcPr>
            <w:tcW w:type="dxa" w:w="1505"/>
            <w:shd w:fill="F2F6FC" w:val="clear"/>
          </w:tcPr>
          <w:p>
            <w:r>
              <w:rPr>
                <w:rFonts w:ascii="Arial" w:hAnsi="Arial"/>
                <w:sz w:val="18"/>
              </w:rPr>
              <w:t>12% YoY reduction, 62% renewable</w:t>
            </w:r>
          </w:p>
        </w:tc>
        <w:tc>
          <w:tcPr>
            <w:tcW w:type="dxa" w:w="1505"/>
            <w:shd w:fill="F2F6FC" w:val="clear"/>
          </w:tcPr>
          <w:p>
            <w:r>
              <w:rPr>
                <w:rFonts w:ascii="Arial" w:hAnsi="Arial"/>
                <w:sz w:val="18"/>
              </w:rPr>
              <w:t>1.5°C by 2050</w:t>
            </w:r>
          </w:p>
        </w:tc>
        <w:tc>
          <w:tcPr>
            <w:tcW w:type="dxa" w:w="1505"/>
            <w:shd w:fill="F2F6FC" w:val="clear"/>
          </w:tcPr>
          <w:p>
            <w:r>
              <w:rPr>
                <w:rFonts w:ascii="Arial" w:hAnsi="Arial"/>
                <w:sz w:val="18"/>
              </w:rPr>
              <w:t>RE100 member, $15/tCO₂ internal price</w:t>
            </w:r>
          </w:p>
        </w:tc>
      </w:tr>
      <w:tr>
        <w:tc>
          <w:tcPr>
            <w:tcW w:type="dxa" w:w="1505"/>
          </w:tcPr>
          <w:p>
            <w:r>
              <w:rPr>
                <w:rFonts w:ascii="Arial" w:hAnsi="Arial"/>
                <w:sz w:val="18"/>
              </w:rPr>
              <w:t>Bank Central Asia (BCA)</w:t>
            </w:r>
          </w:p>
        </w:tc>
        <w:tc>
          <w:tcPr>
            <w:tcW w:type="dxa" w:w="1505"/>
          </w:tcPr>
          <w:p>
            <w:r>
              <w:rPr>
                <w:rFonts w:ascii="Arial" w:hAnsi="Arial"/>
                <w:sz w:val="18"/>
              </w:rPr>
              <w:t>Developing</w:t>
            </w:r>
          </w:p>
        </w:tc>
        <w:tc>
          <w:tcPr>
            <w:tcW w:type="dxa" w:w="1505"/>
          </w:tcPr>
          <w:p>
            <w:r>
              <w:rPr>
                <w:rFonts w:ascii="Arial" w:hAnsi="Arial"/>
                <w:sz w:val="18"/>
              </w:rPr>
              <w:t>NZE aligned</w:t>
            </w:r>
          </w:p>
        </w:tc>
        <w:tc>
          <w:tcPr>
            <w:tcW w:type="dxa" w:w="1505"/>
          </w:tcPr>
          <w:p>
            <w:r>
              <w:rPr>
                <w:rFonts w:ascii="Arial" w:hAnsi="Arial"/>
                <w:sz w:val="18"/>
              </w:rPr>
              <w:t>Not disclosed</w:t>
            </w:r>
          </w:p>
        </w:tc>
        <w:tc>
          <w:tcPr>
            <w:tcW w:type="dxa" w:w="1505"/>
          </w:tcPr>
          <w:p>
            <w:r>
              <w:rPr>
                <w:rFonts w:ascii="Arial" w:hAnsi="Arial"/>
                <w:sz w:val="18"/>
              </w:rPr>
              <w:t>Not disclosed</w:t>
            </w:r>
          </w:p>
        </w:tc>
        <w:tc>
          <w:tcPr>
            <w:tcW w:type="dxa" w:w="1505"/>
          </w:tcPr>
          <w:p>
            <w:r>
              <w:rPr>
                <w:rFonts w:ascii="Arial" w:hAnsi="Arial"/>
                <w:sz w:val="18"/>
              </w:rPr>
              <w:t>Sectoral credit policies, SFAP exceeding</w:t>
            </w:r>
          </w:p>
        </w:tc>
      </w:tr>
      <w:tr>
        <w:tc>
          <w:tcPr>
            <w:tcW w:type="dxa" w:w="1505"/>
            <w:shd w:fill="F2F6FC" w:val="clear"/>
          </w:tcPr>
          <w:p>
            <w:r>
              <w:rPr>
                <w:rFonts w:ascii="Arial" w:hAnsi="Arial"/>
                <w:sz w:val="18"/>
              </w:rPr>
              <w:t>Bank Mandiri</w:t>
            </w:r>
          </w:p>
        </w:tc>
        <w:tc>
          <w:tcPr>
            <w:tcW w:type="dxa" w:w="1505"/>
            <w:shd w:fill="F2F6FC" w:val="clear"/>
          </w:tcPr>
          <w:p>
            <w:r>
              <w:rPr>
                <w:rFonts w:ascii="Arial" w:hAnsi="Arial"/>
                <w:sz w:val="18"/>
              </w:rPr>
              <w:t>Developing</w:t>
            </w:r>
          </w:p>
        </w:tc>
        <w:tc>
          <w:tcPr>
            <w:tcW w:type="dxa" w:w="1505"/>
            <w:shd w:fill="F2F6FC" w:val="clear"/>
          </w:tcPr>
          <w:p>
            <w:pPr>
              <w:jc w:val="right"/>
            </w:pPr>
            <w:r>
              <w:rPr>
                <w:rFonts w:ascii="Arial" w:hAnsi="Arial"/>
                <w:sz w:val="18"/>
              </w:rPr>
              <w:t>2060</w:t>
            </w:r>
          </w:p>
        </w:tc>
        <w:tc>
          <w:tcPr>
            <w:tcW w:type="dxa" w:w="1505"/>
            <w:shd w:fill="F2F6FC" w:val="clear"/>
          </w:tcPr>
          <w:p>
            <w:r>
              <w:rPr>
                <w:rFonts w:ascii="Arial" w:hAnsi="Arial"/>
                <w:sz w:val="18"/>
              </w:rPr>
              <w:t>~5% annual reduction</w:t>
            </w:r>
          </w:p>
        </w:tc>
        <w:tc>
          <w:tcPr>
            <w:tcW w:type="dxa" w:w="1505"/>
            <w:shd w:fill="F2F6FC" w:val="clear"/>
          </w:tcPr>
          <w:p>
            <w:r>
              <w:rPr>
                <w:rFonts w:ascii="Arial" w:hAnsi="Arial"/>
                <w:sz w:val="18"/>
              </w:rPr>
              <w:t>Coal phase-out</w:t>
            </w:r>
          </w:p>
        </w:tc>
        <w:tc>
          <w:tcPr>
            <w:tcW w:type="dxa" w:w="1505"/>
            <w:shd w:fill="F2F6FC" w:val="clear"/>
          </w:tcPr>
          <w:p>
            <w:r>
              <w:rPr>
                <w:rFonts w:ascii="Arial" w:hAnsi="Arial"/>
                <w:sz w:val="18"/>
              </w:rPr>
              <w:t>Solar pilot, EV charging infrastructure</w:t>
            </w:r>
          </w:p>
        </w:tc>
      </w:tr>
      <w:tr>
        <w:tc>
          <w:tcPr>
            <w:tcW w:type="dxa" w:w="1505"/>
          </w:tcPr>
          <w:p>
            <w:r>
              <w:rPr>
                <w:rFonts w:ascii="Arial" w:hAnsi="Arial"/>
                <w:sz w:val="18"/>
              </w:rPr>
              <w:t>Generic Financial Institution</w:t>
            </w:r>
          </w:p>
        </w:tc>
        <w:tc>
          <w:tcPr>
            <w:tcW w:type="dxa" w:w="1505"/>
          </w:tcPr>
          <w:p>
            <w:r>
              <w:rPr>
                <w:rFonts w:ascii="Arial" w:hAnsi="Arial"/>
                <w:sz w:val="18"/>
              </w:rPr>
              <w:t>❌ None</w:t>
            </w:r>
          </w:p>
        </w:tc>
        <w:tc>
          <w:tcPr>
            <w:tcW w:type="dxa" w:w="1505"/>
          </w:tcPr>
          <w:p>
            <w:r>
              <w:rPr>
                <w:rFonts w:ascii="Arial" w:hAnsi="Arial"/>
                <w:sz w:val="18"/>
              </w:rPr>
              <w:t>Not set</w:t>
            </w:r>
          </w:p>
        </w:tc>
        <w:tc>
          <w:tcPr>
            <w:tcW w:type="dxa" w:w="1505"/>
          </w:tcPr>
          <w:p>
            <w:r>
              <w:rPr>
                <w:rFonts w:ascii="Arial" w:hAnsi="Arial"/>
                <w:sz w:val="18"/>
              </w:rPr>
              <w:t>No target</w:t>
            </w:r>
          </w:p>
        </w:tc>
        <w:tc>
          <w:tcPr>
            <w:tcW w:type="dxa" w:w="1505"/>
          </w:tcPr>
          <w:p>
            <w:r>
              <w:rPr>
                <w:rFonts w:ascii="Arial" w:hAnsi="Arial"/>
                <w:sz w:val="18"/>
              </w:rPr>
              <w:t>No target</w:t>
            </w:r>
          </w:p>
        </w:tc>
        <w:tc>
          <w:tcPr>
            <w:tcW w:type="dxa" w:w="1505"/>
          </w:tcPr>
          <w:p>
            <w:r>
              <w:rPr>
                <w:rFonts w:ascii="Arial" w:hAnsi="Arial"/>
                <w:sz w:val="18"/>
              </w:rPr>
              <w:t>Baseline emissions established (2024)</w:t>
            </w:r>
          </w:p>
        </w:tc>
      </w:tr>
    </w:tbl>
    <w:p>
      <w:r>
        <w:rPr>
          <w:rFonts w:ascii="Arial" w:hAnsi="Arial"/>
          <w:i/>
          <w:sz w:val="16"/>
        </w:rPr>
        <w:t>Source: Peer data sourced from RAG CONTEXT benchmark section. BRI data from 2023 Sustainability Report; DBS data from 2023 Sustainability Report; BCA data from 2024 Sustainability Report; Bank Mandiri data from 2023 Sustainability Report.</w:t>
      </w:r>
    </w:p>
    <w:p/>
    <w:p>
      <w:r>
        <w:rPr>
          <w:rFonts w:ascii="Arial" w:hAnsi="Arial"/>
          <w:b/>
          <w:sz w:val="20"/>
        </w:rPr>
        <w:t>Table 62: Table 3.2.3: Recommended Target Framework — Operational Emissions (Scope 1 &amp; 2)</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Target Component</w:t>
            </w:r>
          </w:p>
        </w:tc>
        <w:tc>
          <w:tcPr>
            <w:tcW w:type="dxa" w:w="1806"/>
            <w:shd w:fill="1B3A6B" w:val="clear"/>
          </w:tcPr>
          <w:p>
            <w:r>
              <w:rPr>
                <w:rFonts w:ascii="Arial" w:hAnsi="Arial"/>
                <w:b/>
                <w:color w:val="FFFFFF"/>
                <w:sz w:val="18"/>
              </w:rPr>
              <w:t>Recommended Value</w:t>
            </w:r>
          </w:p>
        </w:tc>
        <w:tc>
          <w:tcPr>
            <w:tcW w:type="dxa" w:w="1806"/>
            <w:shd w:fill="1B3A6B" w:val="clear"/>
          </w:tcPr>
          <w:p>
            <w:r>
              <w:rPr>
                <w:rFonts w:ascii="Arial" w:hAnsi="Arial"/>
                <w:b/>
                <w:color w:val="FFFFFF"/>
                <w:sz w:val="18"/>
              </w:rPr>
              <w:t>Base Year</w:t>
            </w:r>
          </w:p>
        </w:tc>
        <w:tc>
          <w:tcPr>
            <w:tcW w:type="dxa" w:w="1806"/>
            <w:shd w:fill="1B3A6B" w:val="clear"/>
          </w:tcPr>
          <w:p>
            <w:r>
              <w:rPr>
                <w:rFonts w:ascii="Arial" w:hAnsi="Arial"/>
                <w:b/>
                <w:color w:val="FFFFFF"/>
                <w:sz w:val="18"/>
              </w:rPr>
              <w:t>Target Year</w:t>
            </w:r>
          </w:p>
        </w:tc>
        <w:tc>
          <w:tcPr>
            <w:tcW w:type="dxa" w:w="1806"/>
            <w:shd w:fill="1B3A6B" w:val="clear"/>
          </w:tcPr>
          <w:p>
            <w:r>
              <w:rPr>
                <w:rFonts w:ascii="Arial" w:hAnsi="Arial"/>
                <w:b/>
                <w:color w:val="FFFFFF"/>
                <w:sz w:val="18"/>
              </w:rPr>
              <w:t>Rationale</w:t>
            </w:r>
          </w:p>
        </w:tc>
      </w:tr>
      <w:tr>
        <w:tc>
          <w:tcPr>
            <w:tcW w:type="dxa" w:w="1806"/>
          </w:tcPr>
          <w:p>
            <w:r>
              <w:rPr>
                <w:rFonts w:ascii="Arial" w:hAnsi="Arial"/>
                <w:sz w:val="18"/>
              </w:rPr>
              <w:t>Scope 1+2 Absolute Reduction</w:t>
            </w:r>
          </w:p>
        </w:tc>
        <w:tc>
          <w:tcPr>
            <w:tcW w:type="dxa" w:w="1806"/>
          </w:tcPr>
          <w:p>
            <w:r>
              <w:rPr>
                <w:rFonts w:ascii="Arial" w:hAnsi="Arial"/>
                <w:sz w:val="18"/>
              </w:rPr>
              <w:t>30% reduction</w:t>
            </w:r>
          </w:p>
        </w:tc>
        <w:tc>
          <w:tcPr>
            <w:tcW w:type="dxa" w:w="1806"/>
          </w:tcPr>
          <w:p>
            <w:pPr>
              <w:jc w:val="right"/>
            </w:pPr>
            <w:r>
              <w:rPr>
                <w:rFonts w:ascii="Arial" w:hAnsi="Arial"/>
                <w:sz w:val="18"/>
              </w:rPr>
              <w:t>2024</w:t>
            </w:r>
          </w:p>
        </w:tc>
        <w:tc>
          <w:tcPr>
            <w:tcW w:type="dxa" w:w="1806"/>
          </w:tcPr>
          <w:p>
            <w:pPr>
              <w:jc w:val="right"/>
            </w:pPr>
            <w:r>
              <w:rPr>
                <w:rFonts w:ascii="Arial" w:hAnsi="Arial"/>
                <w:sz w:val="18"/>
              </w:rPr>
              <w:t>2030</w:t>
            </w:r>
          </w:p>
        </w:tc>
        <w:tc>
          <w:tcPr>
            <w:tcW w:type="dxa" w:w="1806"/>
          </w:tcPr>
          <w:p>
            <w:r>
              <w:rPr>
                <w:rFonts w:ascii="Arial" w:hAnsi="Arial"/>
                <w:sz w:val="18"/>
              </w:rPr>
              <w:t>Aligned with DBS trajectory and Paris Agreement 1.5°C pathway</w:t>
            </w:r>
          </w:p>
        </w:tc>
      </w:tr>
      <w:tr>
        <w:tc>
          <w:tcPr>
            <w:tcW w:type="dxa" w:w="1806"/>
            <w:shd w:fill="F2F6FC" w:val="clear"/>
          </w:tcPr>
          <w:p>
            <w:r>
              <w:rPr>
                <w:rFonts w:ascii="Arial" w:hAnsi="Arial"/>
                <w:sz w:val="18"/>
              </w:rPr>
              <w:t>Scope 1+2 Intensity Reduction</w:t>
            </w:r>
          </w:p>
        </w:tc>
        <w:tc>
          <w:tcPr>
            <w:tcW w:type="dxa" w:w="1806"/>
            <w:shd w:fill="F2F6FC" w:val="clear"/>
          </w:tcPr>
          <w:p>
            <w:r>
              <w:rPr>
                <w:rFonts w:ascii="Arial" w:hAnsi="Arial"/>
                <w:sz w:val="18"/>
              </w:rPr>
              <w:t>35% per FTE</w:t>
            </w:r>
          </w:p>
        </w:tc>
        <w:tc>
          <w:tcPr>
            <w:tcW w:type="dxa" w:w="1806"/>
            <w:shd w:fill="F2F6FC" w:val="clear"/>
          </w:tcPr>
          <w:p>
            <w:pPr>
              <w:jc w:val="right"/>
            </w:pPr>
            <w:r>
              <w:rPr>
                <w:rFonts w:ascii="Arial" w:hAnsi="Arial"/>
                <w:sz w:val="18"/>
              </w:rPr>
              <w:t>2024</w:t>
            </w:r>
          </w:p>
        </w:tc>
        <w:tc>
          <w:tcPr>
            <w:tcW w:type="dxa" w:w="1806"/>
            <w:shd w:fill="F2F6FC" w:val="clear"/>
          </w:tcPr>
          <w:p>
            <w:pPr>
              <w:jc w:val="right"/>
            </w:pPr>
            <w:r>
              <w:rPr>
                <w:rFonts w:ascii="Arial" w:hAnsi="Arial"/>
                <w:sz w:val="18"/>
              </w:rPr>
              <w:t>2030</w:t>
            </w:r>
          </w:p>
        </w:tc>
        <w:tc>
          <w:tcPr>
            <w:tcW w:type="dxa" w:w="1806"/>
            <w:shd w:fill="F2F6FC" w:val="clear"/>
          </w:tcPr>
          <w:p>
            <w:r>
              <w:rPr>
                <w:rFonts w:ascii="Arial" w:hAnsi="Arial"/>
                <w:sz w:val="18"/>
              </w:rPr>
              <w:t>Accounts for business growth while driving efficiency</w:t>
            </w:r>
          </w:p>
        </w:tc>
      </w:tr>
      <w:tr>
        <w:tc>
          <w:tcPr>
            <w:tcW w:type="dxa" w:w="1806"/>
          </w:tcPr>
          <w:p>
            <w:r>
              <w:rPr>
                <w:rFonts w:ascii="Arial" w:hAnsi="Arial"/>
                <w:sz w:val="18"/>
              </w:rPr>
              <w:t>Renewable Energy Procurement</w:t>
            </w:r>
          </w:p>
        </w:tc>
        <w:tc>
          <w:tcPr>
            <w:tcW w:type="dxa" w:w="1806"/>
          </w:tcPr>
          <w:p>
            <w:r>
              <w:rPr>
                <w:rFonts w:ascii="Arial" w:hAnsi="Arial"/>
                <w:sz w:val="18"/>
              </w:rPr>
              <w:t>50% of electricity</w:t>
            </w:r>
          </w:p>
        </w:tc>
        <w:tc>
          <w:tcPr>
            <w:tcW w:type="dxa" w:w="1806"/>
          </w:tcPr>
          <w:p>
            <w:r>
              <w:rPr>
                <w:rFonts w:ascii="Arial" w:hAnsi="Arial"/>
                <w:sz w:val="18"/>
              </w:rPr>
              <w:t>2024 (baseline: &lt;1%)</w:t>
            </w:r>
          </w:p>
        </w:tc>
        <w:tc>
          <w:tcPr>
            <w:tcW w:type="dxa" w:w="1806"/>
          </w:tcPr>
          <w:p>
            <w:pPr>
              <w:jc w:val="right"/>
            </w:pPr>
            <w:r>
              <w:rPr>
                <w:rFonts w:ascii="Arial" w:hAnsi="Arial"/>
                <w:sz w:val="18"/>
              </w:rPr>
              <w:t>2030</w:t>
            </w:r>
          </w:p>
        </w:tc>
        <w:tc>
          <w:tcPr>
            <w:tcW w:type="dxa" w:w="1806"/>
          </w:tcPr>
          <w:p>
            <w:r>
              <w:rPr>
                <w:rFonts w:ascii="Arial" w:hAnsi="Arial"/>
                <w:sz w:val="18"/>
              </w:rPr>
              <w:t>Intermediate milestone toward RE100 (100% by 2040)</w:t>
            </w:r>
          </w:p>
        </w:tc>
      </w:tr>
      <w:tr>
        <w:tc>
          <w:tcPr>
            <w:tcW w:type="dxa" w:w="1806"/>
            <w:shd w:fill="F2F6FC" w:val="clear"/>
          </w:tcPr>
          <w:p>
            <w:r>
              <w:rPr>
                <w:rFonts w:ascii="Arial" w:hAnsi="Arial"/>
                <w:sz w:val="18"/>
              </w:rPr>
              <w:t>Fleet Electrification</w:t>
            </w:r>
          </w:p>
        </w:tc>
        <w:tc>
          <w:tcPr>
            <w:tcW w:type="dxa" w:w="1806"/>
            <w:shd w:fill="F2F6FC" w:val="clear"/>
          </w:tcPr>
          <w:p>
            <w:r>
              <w:rPr>
                <w:rFonts w:ascii="Arial" w:hAnsi="Arial"/>
                <w:sz w:val="18"/>
              </w:rPr>
              <w:t>60% of vehicles</w:t>
            </w:r>
          </w:p>
        </w:tc>
        <w:tc>
          <w:tcPr>
            <w:tcW w:type="dxa" w:w="1806"/>
            <w:shd w:fill="F2F6FC" w:val="clear"/>
          </w:tcPr>
          <w:p>
            <w:pPr>
              <w:jc w:val="right"/>
            </w:pPr>
            <w:r>
              <w:rPr>
                <w:rFonts w:ascii="Arial" w:hAnsi="Arial"/>
                <w:sz w:val="18"/>
              </w:rPr>
              <w:t>2024</w:t>
            </w:r>
          </w:p>
        </w:tc>
        <w:tc>
          <w:tcPr>
            <w:tcW w:type="dxa" w:w="1806"/>
            <w:shd w:fill="F2F6FC" w:val="clear"/>
          </w:tcPr>
          <w:p>
            <w:pPr>
              <w:jc w:val="right"/>
            </w:pPr>
            <w:r>
              <w:rPr>
                <w:rFonts w:ascii="Arial" w:hAnsi="Arial"/>
                <w:sz w:val="18"/>
              </w:rPr>
              <w:t>2030</w:t>
            </w:r>
          </w:p>
        </w:tc>
        <w:tc>
          <w:tcPr>
            <w:tcW w:type="dxa" w:w="1806"/>
            <w:shd w:fill="F2F6FC" w:val="clear"/>
          </w:tcPr>
          <w:p>
            <w:r>
              <w:rPr>
                <w:rFonts w:ascii="Arial" w:hAnsi="Arial"/>
                <w:sz w:val="18"/>
              </w:rPr>
              <w:t>Addresses 64.7% of Scope 1 emissions from diesel</w:t>
            </w:r>
          </w:p>
        </w:tc>
      </w:tr>
      <w:tr>
        <w:tc>
          <w:tcPr>
            <w:tcW w:type="dxa" w:w="1806"/>
          </w:tcPr>
          <w:p>
            <w:r>
              <w:rPr>
                <w:rFonts w:ascii="Arial" w:hAnsi="Arial"/>
                <w:sz w:val="18"/>
              </w:rPr>
              <w:t>Green Building Certification</w:t>
            </w:r>
          </w:p>
        </w:tc>
        <w:tc>
          <w:tcPr>
            <w:tcW w:type="dxa" w:w="1806"/>
          </w:tcPr>
          <w:p>
            <w:r>
              <w:rPr>
                <w:rFonts w:ascii="Arial" w:hAnsi="Arial"/>
                <w:sz w:val="18"/>
              </w:rPr>
              <w:t>50% of floor area</w:t>
            </w:r>
          </w:p>
        </w:tc>
        <w:tc>
          <w:tcPr>
            <w:tcW w:type="dxa" w:w="1806"/>
          </w:tcPr>
          <w:p>
            <w:pPr>
              <w:jc w:val="right"/>
            </w:pPr>
            <w:r>
              <w:rPr>
                <w:rFonts w:ascii="Arial" w:hAnsi="Arial"/>
                <w:sz w:val="18"/>
              </w:rPr>
              <w:t>2024</w:t>
            </w:r>
          </w:p>
        </w:tc>
        <w:tc>
          <w:tcPr>
            <w:tcW w:type="dxa" w:w="1806"/>
          </w:tcPr>
          <w:p>
            <w:pPr>
              <w:jc w:val="right"/>
            </w:pPr>
            <w:r>
              <w:rPr>
                <w:rFonts w:ascii="Arial" w:hAnsi="Arial"/>
                <w:sz w:val="18"/>
              </w:rPr>
              <w:t>2030</w:t>
            </w:r>
          </w:p>
        </w:tc>
        <w:tc>
          <w:tcPr>
            <w:tcW w:type="dxa" w:w="1806"/>
          </w:tcPr>
          <w:p>
            <w:r>
              <w:rPr>
                <w:rFonts w:ascii="Arial" w:hAnsi="Arial"/>
                <w:sz w:val="18"/>
              </w:rPr>
              <w:t>Reference: BRI Gold GBCI certification achieved 19.49% savings</w:t>
            </w:r>
          </w:p>
        </w:tc>
      </w:tr>
    </w:tbl>
    <w:p>
      <w:r>
        <w:rPr>
          <w:rFonts w:ascii="Arial" w:hAnsi="Arial"/>
          <w:i/>
          <w:sz w:val="16"/>
        </w:rPr>
        <w:t>Source: Targets calibrated based on peer benchmarks (BRI, DBS) and technical feasibility assessment. Assumes capital investment of IDR 15-25 billion for renewable energy infrastructure and IDR 8-12 billion for fleet electrification over 2025-2030 period.</w:t>
      </w:r>
    </w:p>
    <w:p/>
    <w:p>
      <w:r>
        <w:rPr>
          <w:rFonts w:ascii="Arial" w:hAnsi="Arial"/>
          <w:b/>
          <w:sz w:val="20"/>
        </w:rPr>
        <w:t>Table 64: Table 3.2.4: Recommended Target Framework — Financed Emissions (Scope 3 Category 15)</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Target Component</w:t>
            </w:r>
          </w:p>
        </w:tc>
        <w:tc>
          <w:tcPr>
            <w:tcW w:type="dxa" w:w="1806"/>
            <w:shd w:fill="1B3A6B" w:val="clear"/>
          </w:tcPr>
          <w:p>
            <w:r>
              <w:rPr>
                <w:rFonts w:ascii="Arial" w:hAnsi="Arial"/>
                <w:b/>
                <w:color w:val="FFFFFF"/>
                <w:sz w:val="18"/>
              </w:rPr>
              <w:t>Recommended Value</w:t>
            </w:r>
          </w:p>
        </w:tc>
        <w:tc>
          <w:tcPr>
            <w:tcW w:type="dxa" w:w="1806"/>
            <w:shd w:fill="1B3A6B" w:val="clear"/>
          </w:tcPr>
          <w:p>
            <w:r>
              <w:rPr>
                <w:rFonts w:ascii="Arial" w:hAnsi="Arial"/>
                <w:b/>
                <w:color w:val="FFFFFF"/>
                <w:sz w:val="18"/>
              </w:rPr>
              <w:t>Base Year</w:t>
            </w:r>
          </w:p>
        </w:tc>
        <w:tc>
          <w:tcPr>
            <w:tcW w:type="dxa" w:w="1806"/>
            <w:shd w:fill="1B3A6B" w:val="clear"/>
          </w:tcPr>
          <w:p>
            <w:r>
              <w:rPr>
                <w:rFonts w:ascii="Arial" w:hAnsi="Arial"/>
                <w:b/>
                <w:color w:val="FFFFFF"/>
                <w:sz w:val="18"/>
              </w:rPr>
              <w:t>Target Year</w:t>
            </w:r>
          </w:p>
        </w:tc>
        <w:tc>
          <w:tcPr>
            <w:tcW w:type="dxa" w:w="1806"/>
            <w:shd w:fill="1B3A6B" w:val="clear"/>
          </w:tcPr>
          <w:p>
            <w:r>
              <w:rPr>
                <w:rFonts w:ascii="Arial" w:hAnsi="Arial"/>
                <w:b/>
                <w:color w:val="FFFFFF"/>
                <w:sz w:val="18"/>
              </w:rPr>
              <w:t>Rationale</w:t>
            </w:r>
          </w:p>
        </w:tc>
      </w:tr>
      <w:tr>
        <w:tc>
          <w:tcPr>
            <w:tcW w:type="dxa" w:w="1806"/>
          </w:tcPr>
          <w:p>
            <w:r>
              <w:rPr>
                <w:rFonts w:ascii="Arial" w:hAnsi="Arial"/>
                <w:sz w:val="18"/>
              </w:rPr>
              <w:t>Portfolio Temperature Alignment</w:t>
            </w:r>
          </w:p>
        </w:tc>
        <w:tc>
          <w:tcPr>
            <w:tcW w:type="dxa" w:w="1806"/>
          </w:tcPr>
          <w:p>
            <w:r>
              <w:rPr>
                <w:rFonts w:ascii="Arial" w:hAnsi="Arial"/>
                <w:sz w:val="18"/>
              </w:rPr>
              <w:t>Below 2.0°C</w:t>
            </w:r>
          </w:p>
        </w:tc>
        <w:tc>
          <w:tcPr>
            <w:tcW w:type="dxa" w:w="1806"/>
          </w:tcPr>
          <w:p>
            <w:pPr>
              <w:jc w:val="right"/>
            </w:pPr>
            <w:r>
              <w:rPr>
                <w:rFonts w:ascii="Arial" w:hAnsi="Arial"/>
                <w:sz w:val="18"/>
              </w:rPr>
              <w:t>2024</w:t>
            </w:r>
          </w:p>
        </w:tc>
        <w:tc>
          <w:tcPr>
            <w:tcW w:type="dxa" w:w="1806"/>
          </w:tcPr>
          <w:p>
            <w:pPr>
              <w:jc w:val="right"/>
            </w:pPr>
            <w:r>
              <w:rPr>
                <w:rFonts w:ascii="Arial" w:hAnsi="Arial"/>
                <w:sz w:val="18"/>
              </w:rPr>
              <w:t>2035</w:t>
            </w:r>
          </w:p>
        </w:tc>
        <w:tc>
          <w:tcPr>
            <w:tcW w:type="dxa" w:w="1806"/>
          </w:tcPr>
          <w:p>
            <w:r>
              <w:rPr>
                <w:rFonts w:ascii="Arial" w:hAnsi="Arial"/>
                <w:sz w:val="18"/>
              </w:rPr>
              <w:t>Intermediate milestone toward 1.5°C by 2050 (Paris-aligned)</w:t>
            </w:r>
          </w:p>
        </w:tc>
      </w:tr>
      <w:tr>
        <w:tc>
          <w:tcPr>
            <w:tcW w:type="dxa" w:w="1806"/>
            <w:shd w:fill="F2F6FC" w:val="clear"/>
          </w:tcPr>
          <w:p>
            <w:r>
              <w:rPr>
                <w:rFonts w:ascii="Arial" w:hAnsi="Arial"/>
                <w:sz w:val="18"/>
              </w:rPr>
              <w:t>Financed Emissions Intensity</w:t>
            </w:r>
          </w:p>
        </w:tc>
        <w:tc>
          <w:tcPr>
            <w:tcW w:type="dxa" w:w="1806"/>
            <w:shd w:fill="F2F6FC" w:val="clear"/>
          </w:tcPr>
          <w:p>
            <w:r>
              <w:rPr>
                <w:rFonts w:ascii="Arial" w:hAnsi="Arial"/>
                <w:sz w:val="18"/>
              </w:rPr>
              <w:t>25% reduction per IDR billion</w:t>
            </w:r>
          </w:p>
        </w:tc>
        <w:tc>
          <w:tcPr>
            <w:tcW w:type="dxa" w:w="1806"/>
            <w:shd w:fill="F2F6FC" w:val="clear"/>
          </w:tcPr>
          <w:p>
            <w:pPr>
              <w:jc w:val="right"/>
            </w:pPr>
            <w:r>
              <w:rPr>
                <w:rFonts w:ascii="Arial" w:hAnsi="Arial"/>
                <w:sz w:val="18"/>
              </w:rPr>
              <w:t>2024</w:t>
            </w:r>
          </w:p>
        </w:tc>
        <w:tc>
          <w:tcPr>
            <w:tcW w:type="dxa" w:w="1806"/>
            <w:shd w:fill="F2F6FC" w:val="clear"/>
          </w:tcPr>
          <w:p>
            <w:pPr>
              <w:jc w:val="right"/>
            </w:pPr>
            <w:r>
              <w:rPr>
                <w:rFonts w:ascii="Arial" w:hAnsi="Arial"/>
                <w:sz w:val="18"/>
              </w:rPr>
              <w:t>2030</w:t>
            </w:r>
          </w:p>
        </w:tc>
        <w:tc>
          <w:tcPr>
            <w:tcW w:type="dxa" w:w="1806"/>
            <w:shd w:fill="F2F6FC" w:val="clear"/>
          </w:tcPr>
          <w:p>
            <w:r>
              <w:rPr>
                <w:rFonts w:ascii="Arial" w:hAnsi="Arial"/>
                <w:sz w:val="18"/>
              </w:rPr>
              <w:t>Addresses portfolio reallocation toward lower-carbon sectors</w:t>
            </w:r>
          </w:p>
        </w:tc>
      </w:tr>
      <w:tr>
        <w:tc>
          <w:tcPr>
            <w:tcW w:type="dxa" w:w="1806"/>
          </w:tcPr>
          <w:p>
            <w:r>
              <w:rPr>
                <w:rFonts w:ascii="Arial" w:hAnsi="Arial"/>
                <w:sz w:val="18"/>
              </w:rPr>
              <w:t>High-Carbon Sector Exposure</w:t>
            </w:r>
          </w:p>
        </w:tc>
        <w:tc>
          <w:tcPr>
            <w:tcW w:type="dxa" w:w="1806"/>
          </w:tcPr>
          <w:p>
            <w:r>
              <w:rPr>
                <w:rFonts w:ascii="Arial" w:hAnsi="Arial"/>
                <w:sz w:val="18"/>
              </w:rPr>
              <w:t>50% reduction (Oil &amp; Gas + Cement)</w:t>
            </w:r>
          </w:p>
        </w:tc>
        <w:tc>
          <w:tcPr>
            <w:tcW w:type="dxa" w:w="1806"/>
          </w:tcPr>
          <w:p>
            <w:pPr>
              <w:jc w:val="right"/>
            </w:pPr>
            <w:r>
              <w:rPr>
                <w:rFonts w:ascii="Arial" w:hAnsi="Arial"/>
                <w:sz w:val="18"/>
              </w:rPr>
              <w:t>2024</w:t>
            </w:r>
          </w:p>
        </w:tc>
        <w:tc>
          <w:tcPr>
            <w:tcW w:type="dxa" w:w="1806"/>
          </w:tcPr>
          <w:p>
            <w:pPr>
              <w:jc w:val="right"/>
            </w:pPr>
            <w:r>
              <w:rPr>
                <w:rFonts w:ascii="Arial" w:hAnsi="Arial"/>
                <w:sz w:val="18"/>
              </w:rPr>
              <w:t>2035</w:t>
            </w:r>
          </w:p>
        </w:tc>
        <w:tc>
          <w:tcPr>
            <w:tcW w:type="dxa" w:w="1806"/>
          </w:tcPr>
          <w:p>
            <w:r>
              <w:rPr>
                <w:rFonts w:ascii="Arial" w:hAnsi="Arial"/>
                <w:sz w:val="18"/>
              </w:rPr>
              <w:t>Targets 70% of current financed emissions (43.56% + 26.45%)</w:t>
            </w:r>
          </w:p>
        </w:tc>
      </w:tr>
      <w:tr>
        <w:tc>
          <w:tcPr>
            <w:tcW w:type="dxa" w:w="1806"/>
            <w:shd w:fill="F2F6FC" w:val="clear"/>
          </w:tcPr>
          <w:p>
            <w:r>
              <w:rPr>
                <w:rFonts w:ascii="Arial" w:hAnsi="Arial"/>
                <w:sz w:val="18"/>
              </w:rPr>
              <w:t>Sustainable Finance Proportion</w:t>
            </w:r>
          </w:p>
        </w:tc>
        <w:tc>
          <w:tcPr>
            <w:tcW w:type="dxa" w:w="1806"/>
            <w:shd w:fill="F2F6FC" w:val="clear"/>
          </w:tcPr>
          <w:p>
            <w:r>
              <w:rPr>
                <w:rFonts w:ascii="Arial" w:hAnsi="Arial"/>
                <w:sz w:val="18"/>
              </w:rPr>
              <w:t>30% of new lending</w:t>
            </w:r>
          </w:p>
        </w:tc>
        <w:tc>
          <w:tcPr>
            <w:tcW w:type="dxa" w:w="1806"/>
            <w:shd w:fill="F2F6FC" w:val="clear"/>
          </w:tcPr>
          <w:p>
            <w:pPr>
              <w:jc w:val="right"/>
            </w:pPr>
            <w:r>
              <w:rPr>
                <w:rFonts w:ascii="Arial" w:hAnsi="Arial"/>
                <w:sz w:val="18"/>
              </w:rPr>
              <w:t>2024</w:t>
            </w:r>
          </w:p>
        </w:tc>
        <w:tc>
          <w:tcPr>
            <w:tcW w:type="dxa" w:w="1806"/>
            <w:shd w:fill="F2F6FC" w:val="clear"/>
          </w:tcPr>
          <w:p>
            <w:pPr>
              <w:jc w:val="right"/>
            </w:pPr>
            <w:r>
              <w:rPr>
                <w:rFonts w:ascii="Arial" w:hAnsi="Arial"/>
                <w:sz w:val="18"/>
              </w:rPr>
              <w:t>2030</w:t>
            </w:r>
          </w:p>
        </w:tc>
        <w:tc>
          <w:tcPr>
            <w:tcW w:type="dxa" w:w="1806"/>
            <w:shd w:fill="F2F6FC" w:val="clear"/>
          </w:tcPr>
          <w:p>
            <w:r>
              <w:rPr>
                <w:rFonts w:ascii="Arial" w:hAnsi="Arial"/>
                <w:sz w:val="18"/>
              </w:rPr>
              <w:t>Aligned with OJK SFAP targets and peer practice</w:t>
            </w:r>
          </w:p>
        </w:tc>
      </w:tr>
      <w:tr>
        <w:tc>
          <w:tcPr>
            <w:tcW w:type="dxa" w:w="1806"/>
          </w:tcPr>
          <w:p>
            <w:r>
              <w:rPr>
                <w:rFonts w:ascii="Arial" w:hAnsi="Arial"/>
                <w:sz w:val="18"/>
              </w:rPr>
              <w:t>PCAF Data Quality Score</w:t>
            </w:r>
          </w:p>
        </w:tc>
        <w:tc>
          <w:tcPr>
            <w:tcW w:type="dxa" w:w="1806"/>
          </w:tcPr>
          <w:p>
            <w:r>
              <w:rPr>
                <w:rFonts w:ascii="Arial" w:hAnsi="Arial"/>
                <w:sz w:val="18"/>
              </w:rPr>
              <w:t>Average score ≤ 2.5</w:t>
            </w:r>
          </w:p>
        </w:tc>
        <w:tc>
          <w:tcPr>
            <w:tcW w:type="dxa" w:w="1806"/>
          </w:tcPr>
          <w:p>
            <w:r>
              <w:rPr>
                <w:rFonts w:ascii="Arial" w:hAnsi="Arial"/>
                <w:sz w:val="18"/>
              </w:rPr>
              <w:t>2024 (baseline: 3.36)</w:t>
            </w:r>
          </w:p>
        </w:tc>
        <w:tc>
          <w:tcPr>
            <w:tcW w:type="dxa" w:w="1806"/>
          </w:tcPr>
          <w:p>
            <w:pPr>
              <w:jc w:val="right"/>
            </w:pPr>
            <w:r>
              <w:rPr>
                <w:rFonts w:ascii="Arial" w:hAnsi="Arial"/>
                <w:sz w:val="18"/>
              </w:rPr>
              <w:t>2028</w:t>
            </w:r>
          </w:p>
        </w:tc>
        <w:tc>
          <w:tcPr>
            <w:tcW w:type="dxa" w:w="1806"/>
          </w:tcPr>
          <w:p>
            <w:r>
              <w:rPr>
                <w:rFonts w:ascii="Arial" w:hAnsi="Arial"/>
                <w:sz w:val="18"/>
              </w:rPr>
              <w:t>Reduces estimation uncertainty, enables accurate tracking</w:t>
            </w:r>
          </w:p>
        </w:tc>
      </w:tr>
    </w:tbl>
    <w:p>
      <w:r>
        <w:rPr>
          <w:rFonts w:ascii="Arial" w:hAnsi="Arial"/>
          <w:i/>
          <w:sz w:val="16"/>
        </w:rPr>
        <w:t>Source: Targets aligned with SBTi Financial Sector Science-Based Targets Guidance (Version 1.1) and NZBA commitment framework. Portfolio temperature methodology follows PACTA (Paris Agreement Capital Transition Assessment) approach.</w:t>
      </w:r>
    </w:p>
    <w:p/>
    <w:p>
      <w:r>
        <w:rPr>
          <w:rFonts w:ascii="Arial" w:hAnsi="Arial"/>
          <w:b/>
          <w:sz w:val="20"/>
        </w:rPr>
        <w:t>Table 66: Table 3.2.5: Decarbonization Lever Impact Quantification — Operational Emissions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Lever</w:t>
            </w:r>
          </w:p>
        </w:tc>
        <w:tc>
          <w:tcPr>
            <w:tcW w:type="dxa" w:w="1806"/>
            <w:shd w:fill="1B3A6B" w:val="clear"/>
          </w:tcPr>
          <w:p>
            <w:r>
              <w:rPr>
                <w:rFonts w:ascii="Arial" w:hAnsi="Arial"/>
                <w:b/>
                <w:color w:val="FFFFFF"/>
                <w:sz w:val="18"/>
              </w:rPr>
              <w:t>Implementation Timeline</w:t>
            </w:r>
          </w:p>
        </w:tc>
        <w:tc>
          <w:tcPr>
            <w:tcW w:type="dxa" w:w="1806"/>
            <w:shd w:fill="1B3A6B" w:val="clear"/>
          </w:tcPr>
          <w:p>
            <w:r>
              <w:rPr>
                <w:rFonts w:ascii="Arial" w:hAnsi="Arial"/>
                <w:b/>
                <w:color w:val="FFFFFF"/>
                <w:sz w:val="18"/>
              </w:rPr>
              <w:t>Expected Impact (tCO₂e/year)</w:t>
            </w:r>
          </w:p>
        </w:tc>
        <w:tc>
          <w:tcPr>
            <w:tcW w:type="dxa" w:w="1806"/>
            <w:shd w:fill="1B3A6B" w:val="clear"/>
          </w:tcPr>
          <w:p>
            <w:r>
              <w:rPr>
                <w:rFonts w:ascii="Arial" w:hAnsi="Arial"/>
                <w:b/>
                <w:color w:val="FFFFFF"/>
                <w:sz w:val="18"/>
              </w:rPr>
              <w:t>Estimated Investment (IDR million)</w:t>
            </w:r>
          </w:p>
        </w:tc>
        <w:tc>
          <w:tcPr>
            <w:tcW w:type="dxa" w:w="1806"/>
            <w:shd w:fill="1B3A6B" w:val="clear"/>
          </w:tcPr>
          <w:p>
            <w:r>
              <w:rPr>
                <w:rFonts w:ascii="Arial" w:hAnsi="Arial"/>
                <w:b/>
                <w:color w:val="FFFFFF"/>
                <w:sz w:val="18"/>
              </w:rPr>
              <w:t>Peer Reference</w:t>
            </w:r>
          </w:p>
        </w:tc>
      </w:tr>
      <w:tr>
        <w:tc>
          <w:tcPr>
            <w:tcW w:type="dxa" w:w="1806"/>
          </w:tcPr>
          <w:p>
            <w:r>
              <w:rPr>
                <w:rFonts w:ascii="Arial" w:hAnsi="Arial"/>
                <w:sz w:val="18"/>
              </w:rPr>
              <w:t>Energy Efficiency (LED, BMS, auto-shutdown)</w:t>
            </w:r>
          </w:p>
        </w:tc>
        <w:tc>
          <w:tcPr>
            <w:tcW w:type="dxa" w:w="1806"/>
          </w:tcPr>
          <w:p>
            <w:r>
              <w:rPr>
                <w:rFonts w:ascii="Arial" w:hAnsi="Arial"/>
                <w:sz w:val="18"/>
              </w:rPr>
              <w:t>Q3 2025 - Q4 2026</w:t>
            </w:r>
          </w:p>
        </w:tc>
        <w:tc>
          <w:tcPr>
            <w:tcW w:type="dxa" w:w="1806"/>
          </w:tcPr>
          <w:p>
            <w:r>
              <w:rPr>
                <w:rFonts w:ascii="Arial" w:hAnsi="Arial"/>
                <w:sz w:val="18"/>
              </w:rPr>
              <w:t>3,569 - 5,354</w:t>
            </w:r>
          </w:p>
        </w:tc>
        <w:tc>
          <w:tcPr>
            <w:tcW w:type="dxa" w:w="1806"/>
          </w:tcPr>
          <w:p>
            <w:r>
              <w:rPr>
                <w:rFonts w:ascii="Arial" w:hAnsi="Arial"/>
                <w:sz w:val="18"/>
              </w:rPr>
              <w:t>2,500 - 4,000</w:t>
            </w:r>
          </w:p>
        </w:tc>
        <w:tc>
          <w:tcPr>
            <w:tcW w:type="dxa" w:w="1806"/>
          </w:tcPr>
          <w:p>
            <w:r>
              <w:rPr>
                <w:rFonts w:ascii="Arial" w:hAnsi="Arial"/>
                <w:sz w:val="18"/>
              </w:rPr>
              <w:t>BRI: 19.49% savings via Kaseya + green building</w:t>
            </w:r>
          </w:p>
        </w:tc>
      </w:tr>
      <w:tr>
        <w:tc>
          <w:tcPr>
            <w:tcW w:type="dxa" w:w="1806"/>
            <w:shd w:fill="F2F6FC" w:val="clear"/>
          </w:tcPr>
          <w:p>
            <w:r>
              <w:rPr>
                <w:rFonts w:ascii="Arial" w:hAnsi="Arial"/>
                <w:sz w:val="18"/>
              </w:rPr>
              <w:t>Renewable Energy (PPAs + on-site solar)</w:t>
            </w:r>
          </w:p>
        </w:tc>
        <w:tc>
          <w:tcPr>
            <w:tcW w:type="dxa" w:w="1806"/>
            <w:shd w:fill="F2F6FC" w:val="clear"/>
          </w:tcPr>
          <w:p>
            <w:r>
              <w:rPr>
                <w:rFonts w:ascii="Arial" w:hAnsi="Arial"/>
                <w:sz w:val="18"/>
              </w:rPr>
              <w:t>Q1 2026 - Q4 2028</w:t>
            </w:r>
          </w:p>
        </w:tc>
        <w:tc>
          <w:tcPr>
            <w:tcW w:type="dxa" w:w="1806"/>
            <w:shd w:fill="F2F6FC" w:val="clear"/>
          </w:tcPr>
          <w:p>
            <w:r>
              <w:rPr>
                <w:rFonts w:ascii="Arial" w:hAnsi="Arial"/>
                <w:sz w:val="18"/>
              </w:rPr>
              <w:t>6,692 - 11,153</w:t>
            </w:r>
          </w:p>
        </w:tc>
        <w:tc>
          <w:tcPr>
            <w:tcW w:type="dxa" w:w="1806"/>
            <w:shd w:fill="F2F6FC" w:val="clear"/>
          </w:tcPr>
          <w:p>
            <w:r>
              <w:rPr>
                <w:rFonts w:ascii="Arial" w:hAnsi="Arial"/>
                <w:sz w:val="18"/>
              </w:rPr>
              <w:t>15,000 - 25,000</w:t>
            </w:r>
          </w:p>
        </w:tc>
        <w:tc>
          <w:tcPr>
            <w:tcW w:type="dxa" w:w="1806"/>
            <w:shd w:fill="F2F6FC" w:val="clear"/>
          </w:tcPr>
          <w:p>
            <w:r>
              <w:rPr>
                <w:rFonts w:ascii="Arial" w:hAnsi="Arial"/>
                <w:sz w:val="18"/>
              </w:rPr>
              <w:t>DBS: 62% renewable via strategic PPAs</w:t>
            </w:r>
          </w:p>
        </w:tc>
      </w:tr>
      <w:tr>
        <w:tc>
          <w:tcPr>
            <w:tcW w:type="dxa" w:w="1806"/>
          </w:tcPr>
          <w:p>
            <w:r>
              <w:rPr>
                <w:rFonts w:ascii="Arial" w:hAnsi="Arial"/>
                <w:sz w:val="18"/>
              </w:rPr>
              <w:t>Fleet Electrification (60% conversion)</w:t>
            </w:r>
          </w:p>
        </w:tc>
        <w:tc>
          <w:tcPr>
            <w:tcW w:type="dxa" w:w="1806"/>
          </w:tcPr>
          <w:p>
            <w:r>
              <w:rPr>
                <w:rFonts w:ascii="Arial" w:hAnsi="Arial"/>
                <w:sz w:val="18"/>
              </w:rPr>
              <w:t>Q2 2026 - Q4 2029</w:t>
            </w:r>
          </w:p>
        </w:tc>
        <w:tc>
          <w:tcPr>
            <w:tcW w:type="dxa" w:w="1806"/>
          </w:tcPr>
          <w:p>
            <w:r>
              <w:rPr>
                <w:rFonts w:ascii="Arial" w:hAnsi="Arial"/>
                <w:sz w:val="18"/>
              </w:rPr>
              <w:t>881 - 1,322</w:t>
            </w:r>
          </w:p>
        </w:tc>
        <w:tc>
          <w:tcPr>
            <w:tcW w:type="dxa" w:w="1806"/>
          </w:tcPr>
          <w:p>
            <w:r>
              <w:rPr>
                <w:rFonts w:ascii="Arial" w:hAnsi="Arial"/>
                <w:sz w:val="18"/>
              </w:rPr>
              <w:t>8,000 - 12,000</w:t>
            </w:r>
          </w:p>
        </w:tc>
        <w:tc>
          <w:tcPr>
            <w:tcW w:type="dxa" w:w="1806"/>
          </w:tcPr>
          <w:p>
            <w:r>
              <w:rPr>
                <w:rFonts w:ascii="Arial" w:hAnsi="Arial"/>
                <w:sz w:val="18"/>
              </w:rPr>
              <w:t>BRI: 118 EV cars + 150 EV motorcycles</w:t>
            </w:r>
          </w:p>
        </w:tc>
      </w:tr>
      <w:tr>
        <w:tc>
          <w:tcPr>
            <w:tcW w:type="dxa" w:w="1806"/>
            <w:shd w:fill="F2F6FC" w:val="clear"/>
          </w:tcPr>
          <w:p>
            <w:r>
              <w:rPr>
                <w:rFonts w:ascii="Arial" w:hAnsi="Arial"/>
                <w:sz w:val="18"/>
              </w:rPr>
              <w:t>Fuel Switching (biodiesel B35+ / solar-battery)</w:t>
            </w:r>
          </w:p>
        </w:tc>
        <w:tc>
          <w:tcPr>
            <w:tcW w:type="dxa" w:w="1806"/>
            <w:shd w:fill="F2F6FC" w:val="clear"/>
          </w:tcPr>
          <w:p>
            <w:r>
              <w:rPr>
                <w:rFonts w:ascii="Arial" w:hAnsi="Arial"/>
                <w:sz w:val="18"/>
              </w:rPr>
              <w:t>Q3 2025 - Q2 2027</w:t>
            </w:r>
          </w:p>
        </w:tc>
        <w:tc>
          <w:tcPr>
            <w:tcW w:type="dxa" w:w="1806"/>
            <w:shd w:fill="F2F6FC" w:val="clear"/>
          </w:tcPr>
          <w:p>
            <w:r>
              <w:rPr>
                <w:rFonts w:ascii="Arial" w:hAnsi="Arial"/>
                <w:sz w:val="18"/>
              </w:rPr>
              <w:t>441 - 661</w:t>
            </w:r>
          </w:p>
        </w:tc>
        <w:tc>
          <w:tcPr>
            <w:tcW w:type="dxa" w:w="1806"/>
            <w:shd w:fill="F2F6FC" w:val="clear"/>
          </w:tcPr>
          <w:p>
            <w:r>
              <w:rPr>
                <w:rFonts w:ascii="Arial" w:hAnsi="Arial"/>
                <w:sz w:val="18"/>
              </w:rPr>
              <w:t>1,500 - 2,500</w:t>
            </w:r>
          </w:p>
        </w:tc>
        <w:tc>
          <w:tcPr>
            <w:tcW w:type="dxa" w:w="1806"/>
            <w:shd w:fill="F2F6FC" w:val="clear"/>
          </w:tcPr>
          <w:p>
            <w:r>
              <w:rPr>
                <w:rFonts w:ascii="Arial" w:hAnsi="Arial"/>
                <w:sz w:val="18"/>
              </w:rPr>
              <w:t>General best practice (biodiesel mandates)</w:t>
            </w:r>
          </w:p>
        </w:tc>
      </w:tr>
      <w:tr>
        <w:tc>
          <w:tcPr>
            <w:tcW w:type="dxa" w:w="1806"/>
          </w:tcPr>
          <w:p>
            <w:r>
              <w:rPr>
                <w:rFonts w:ascii="Arial" w:hAnsi="Arial"/>
                <w:sz w:val="18"/>
              </w:rPr>
              <w:t>Green Building Certification (50% floor area)</w:t>
            </w:r>
          </w:p>
        </w:tc>
        <w:tc>
          <w:tcPr>
            <w:tcW w:type="dxa" w:w="1806"/>
          </w:tcPr>
          <w:p>
            <w:r>
              <w:rPr>
                <w:rFonts w:ascii="Arial" w:hAnsi="Arial"/>
                <w:sz w:val="18"/>
              </w:rPr>
              <w:t>Q1 2027 - Q4 2030</w:t>
            </w:r>
          </w:p>
        </w:tc>
        <w:tc>
          <w:tcPr>
            <w:tcW w:type="dxa" w:w="1806"/>
          </w:tcPr>
          <w:p>
            <w:r>
              <w:rPr>
                <w:rFonts w:ascii="Arial" w:hAnsi="Arial"/>
                <w:sz w:val="18"/>
              </w:rPr>
              <w:t>2,231 - 4,461</w:t>
            </w:r>
          </w:p>
        </w:tc>
        <w:tc>
          <w:tcPr>
            <w:tcW w:type="dxa" w:w="1806"/>
          </w:tcPr>
          <w:p>
            <w:r>
              <w:rPr>
                <w:rFonts w:ascii="Arial" w:hAnsi="Arial"/>
                <w:sz w:val="18"/>
              </w:rPr>
              <w:t>5,000 - 8,000</w:t>
            </w:r>
          </w:p>
        </w:tc>
        <w:tc>
          <w:tcPr>
            <w:tcW w:type="dxa" w:w="1806"/>
          </w:tcPr>
          <w:p>
            <w:r>
              <w:rPr>
                <w:rFonts w:ascii="Arial" w:hAnsi="Arial"/>
                <w:sz w:val="18"/>
              </w:rPr>
              <w:t>BRI: Gold GBCI certification</w:t>
            </w:r>
          </w:p>
        </w:tc>
      </w:tr>
      <w:tr>
        <w:tc>
          <w:tcPr>
            <w:tcW w:type="dxa" w:w="1806"/>
            <w:shd w:fill="F2F6FC" w:val="clear"/>
          </w:tcPr>
          <w:p>
            <w:r>
              <w:rPr>
                <w:rFonts w:ascii="Arial" w:hAnsi="Arial"/>
                <w:sz w:val="18"/>
              </w:rPr>
              <w:t>**Total Potential Impact**</w:t>
            </w:r>
          </w:p>
        </w:tc>
        <w:tc>
          <w:tcPr>
            <w:tcW w:type="dxa" w:w="1806"/>
            <w:shd w:fill="F2F6FC" w:val="clear"/>
          </w:tcPr>
          <w:p>
            <w:r>
              <w:rPr>
                <w:rFonts w:ascii="Arial" w:hAnsi="Arial"/>
                <w:sz w:val="18"/>
              </w:rPr>
              <w:t>**2025-2030**</w:t>
            </w:r>
          </w:p>
        </w:tc>
        <w:tc>
          <w:tcPr>
            <w:tcW w:type="dxa" w:w="1806"/>
            <w:shd w:fill="F2F6FC" w:val="clear"/>
          </w:tcPr>
          <w:p>
            <w:r>
              <w:rPr>
                <w:rFonts w:ascii="Arial" w:hAnsi="Arial"/>
                <w:sz w:val="18"/>
              </w:rPr>
              <w:t>**13,814 - 22,951**</w:t>
            </w:r>
          </w:p>
        </w:tc>
        <w:tc>
          <w:tcPr>
            <w:tcW w:type="dxa" w:w="1806"/>
            <w:shd w:fill="F2F6FC" w:val="clear"/>
          </w:tcPr>
          <w:p>
            <w:r>
              <w:rPr>
                <w:rFonts w:ascii="Arial" w:hAnsi="Arial"/>
                <w:sz w:val="18"/>
              </w:rPr>
              <w:t>**32,000 - 51,500**</w:t>
            </w:r>
          </w:p>
        </w:tc>
        <w:tc>
          <w:tcPr>
            <w:tcW w:type="dxa" w:w="1806"/>
            <w:shd w:fill="F2F6FC" w:val="clear"/>
          </w:tcPr>
          <w:p>
            <w:r>
              <w:rPr>
                <w:rFonts w:ascii="Arial" w:hAnsi="Arial"/>
                <w:sz w:val="18"/>
              </w:rPr>
              <w:t>**Achieves 28.8% - 47.8% reduction vs 2024**</w:t>
            </w:r>
          </w:p>
        </w:tc>
      </w:tr>
    </w:tbl>
    <w:p>
      <w:r>
        <w:rPr>
          <w:rFonts w:ascii="Arial" w:hAnsi="Arial"/>
          <w:i/>
          <w:sz w:val="16"/>
        </w:rPr>
        <w:t>Source: Impact estimates based on technical feasibility studies and peer implementation results. Investment figures include capital expenditure and implementation costs. Total potential impact range demonstrates feasibility of 30% reduction target by 2030.</w:t>
      </w:r>
    </w:p>
    <w:p/>
    <w:p/>
    <w:p>
      <w:r>
        <w:drawing>
          <wp:inline xmlns:a="http://schemas.openxmlformats.org/drawingml/2006/main" xmlns:pic="http://schemas.openxmlformats.org/drawingml/2006/picture">
            <wp:extent cx="5029200" cy="3335809"/>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3335809"/>
                    </a:xfrm>
                    <a:prstGeom prst="rect"/>
                  </pic:spPr>
                </pic:pic>
              </a:graphicData>
            </a:graphic>
          </wp:inline>
        </w:drawing>
      </w:r>
    </w:p>
    <w:p>
      <w:pPr>
        <w:jc w:val="center"/>
      </w:pPr>
      <w:r>
        <w:rPr>
          <w:i/>
          <w:color w:val="666666"/>
          <w:sz w:val="18"/>
        </w:rPr>
        <w:t>Figure 29: Climate Target Maturity: Peer Comparison</w:t>
      </w:r>
    </w:p>
    <w:p>
      <w:pPr>
        <w:jc w:val="center"/>
      </w:pPr>
      <w:r>
        <w:rPr>
          <w:i/>
          <w:color w:val="757575"/>
          <w:sz w:val="18"/>
        </w:rPr>
        <w:t>Institution lags all peers on target-setting — BRI and DBS have SBTi commitments with quantified pathways, while institution has zero formal targets</w:t>
      </w:r>
    </w:p>
    <w:p/>
    <w:p>
      <w:r>
        <w:drawing>
          <wp:inline xmlns:a="http://schemas.openxmlformats.org/drawingml/2006/main" xmlns:pic="http://schemas.openxmlformats.org/drawingml/2006/picture">
            <wp:extent cx="5029200" cy="3332057"/>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3332057"/>
                    </a:xfrm>
                    <a:prstGeom prst="rect"/>
                  </pic:spPr>
                </pic:pic>
              </a:graphicData>
            </a:graphic>
          </wp:inline>
        </w:drawing>
      </w:r>
    </w:p>
    <w:p>
      <w:pPr>
        <w:jc w:val="center"/>
      </w:pPr>
      <w:r>
        <w:rPr>
          <w:i/>
          <w:color w:val="666666"/>
          <w:sz w:val="18"/>
        </w:rPr>
        <w:t>Figure 30: Decarbonization Lever Impact Potential (2025-2030)</w:t>
      </w:r>
    </w:p>
    <w:p>
      <w:pPr>
        <w:jc w:val="center"/>
      </w:pPr>
      <w:r>
        <w:rPr>
          <w:i/>
          <w:color w:val="757575"/>
          <w:sz w:val="18"/>
        </w:rPr>
        <w:t>Renewable energy procurement offers largest single impact (6,692-11,153 tCO₂e/year) — prioritize PPAs and on-site solar at top 10 facilities</w:t>
      </w:r>
    </w:p>
    <w:p/>
    <w:p>
      <w:r>
        <w:drawing>
          <wp:inline xmlns:a="http://schemas.openxmlformats.org/drawingml/2006/main" xmlns:pic="http://schemas.openxmlformats.org/drawingml/2006/picture">
            <wp:extent cx="5029200" cy="3489045"/>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3489045"/>
                    </a:xfrm>
                    <a:prstGeom prst="rect"/>
                  </pic:spPr>
                </pic:pic>
              </a:graphicData>
            </a:graphic>
          </wp:inline>
        </w:drawing>
      </w:r>
    </w:p>
    <w:p>
      <w:pPr>
        <w:jc w:val="center"/>
      </w:pPr>
      <w:r>
        <w:rPr>
          <w:i/>
          <w:color w:val="666666"/>
          <w:sz w:val="18"/>
        </w:rPr>
        <w:t>Figure 31: Financed Emissions by Sector — Target Priority</w:t>
      </w:r>
    </w:p>
    <w:p>
      <w:pPr>
        <w:jc w:val="center"/>
      </w:pPr>
      <w:r>
        <w:rPr>
          <w:i/>
          <w:color w:val="757575"/>
          <w:sz w:val="18"/>
        </w:rPr>
        <w:t>Oil &amp; Gas (43.56%) and Cement (26.45%) represent 70% of financed emissions — sectoral decarbonization pathways for these two sectors are highest priority</w:t>
      </w:r>
    </w:p>
    <w:p/>
    <w:p>
      <w:r>
        <w:drawing>
          <wp:inline xmlns:a="http://schemas.openxmlformats.org/drawingml/2006/main" xmlns:pic="http://schemas.openxmlformats.org/drawingml/2006/picture">
            <wp:extent cx="5029200" cy="3332057"/>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29200" cy="3332057"/>
                    </a:xfrm>
                    <a:prstGeom prst="rect"/>
                  </pic:spPr>
                </pic:pic>
              </a:graphicData>
            </a:graphic>
          </wp:inline>
        </w:drawing>
      </w:r>
    </w:p>
    <w:p>
      <w:pPr>
        <w:jc w:val="center"/>
      </w:pPr>
      <w:r>
        <w:rPr>
          <w:i/>
          <w:color w:val="666666"/>
          <w:sz w:val="18"/>
        </w:rPr>
        <w:t>Figure 32: Recommended Target Implementation Roadmap (2025-2030)</w:t>
      </w:r>
    </w:p>
    <w:p>
      <w:pPr>
        <w:jc w:val="center"/>
      </w:pPr>
      <w:r>
        <w:rPr>
          <w:i/>
          <w:color w:val="757575"/>
          <w:sz w:val="18"/>
        </w:rPr>
        <w:t>Three-phase approach: Year 1 (SBTi commitment + baseline), Year 2 (interim targets + sectoral pathways), Year 3 (full transition plan + NZBA)</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climate targets stems from three organizational gaps. First, governance structure: no Board-level climate risk committee with target-setting mandate exists, resulting in fragmented accountability across risk, sustainability, and treasury functions. Second, data infrastructure: while baseline emissions are established for 2024, the institution lacks integrated systems to model target scenarios, track progress, and attribute reductions to specific initiatives. Third, strategic prioritization: climate target-setting has not been elevated to executive KPI level, reducing urgency relative to traditional financial metrics. The institution's peer group has addressed these gaps through dedicated climate teams (BRI: 15 FTE sustainability unit), Board ESG committees with quarterly reporting, and executive remuneration linkage to climate KPIs (DBS: 20% weight).</w:t>
            </w:r>
          </w:p>
          <w:p>
            <w:r>
              <w:rPr>
                <w:b/>
                <w:sz w:val="20"/>
              </w:rPr>
              <w:t>Root Causes:</w:t>
            </w:r>
          </w:p>
          <w:p>
            <w:r>
              <w:rPr>
                <w:sz w:val="18"/>
              </w:rPr>
              <w:t>• No Board-level climate risk committee with target-setting mandate — governance accountability gap</w:t>
            </w:r>
          </w:p>
          <w:p>
            <w:r>
              <w:rPr>
                <w:sz w:val="18"/>
              </w:rPr>
              <w:t>• Absence of integrated emissions tracking and scenario modeling systems — technical infrastructure gap</w:t>
            </w:r>
          </w:p>
          <w:p>
            <w:r>
              <w:rPr>
                <w:sz w:val="18"/>
              </w:rPr>
              <w:t>• Climate targets not included in executive KPIs or remuneration frameworks — incentive misalignment</w:t>
            </w:r>
          </w:p>
          <w:p>
            <w:r>
              <w:rPr>
                <w:sz w:val="18"/>
              </w:rPr>
              <w:t>• Limited internal capacity for SBTi methodology and transition plan development — capability gap</w:t>
            </w:r>
          </w:p>
          <w:p>
            <w:r>
              <w:rPr>
                <w:b/>
                <w:sz w:val="20"/>
              </w:rPr>
              <w:t>Risk Implications:</w:t>
            </w:r>
          </w:p>
          <w:p>
            <w:r>
              <w:rPr>
                <w:sz w:val="18"/>
              </w:rPr>
              <w:t>• Regulatory risk: Non-compliance with OJK POJK 51/2017 and SEOJK 16/2021 climate disclosure requirements may result in supervisory actions or penalties by 2026</w:t>
            </w:r>
          </w:p>
          <w:p>
            <w:r>
              <w:rPr>
                <w:sz w:val="18"/>
              </w:rPr>
              <w:t>• Reputational risk: Widening disclosure gap versus peers (BRI, DBS, BCA) may trigger negative ESG ratings downgrades, impacting credit ratings and cost of capital</w:t>
            </w:r>
          </w:p>
          <w:p>
            <w:r>
              <w:rPr>
                <w:sz w:val="18"/>
              </w:rPr>
              <w:t>• Market access risk: 68% of global institutional investors screen for SBTi commitments — absence may exclude institution from ESG-linked funding pools and green bond markets</w:t>
            </w:r>
          </w:p>
          <w:p>
            <w:r>
              <w:rPr>
                <w:sz w:val="18"/>
              </w:rPr>
              <w:t>• Transition risk: Without portfolio decarbonization targets, the institution faces unmanaged exposure to stranded assets in high-carbon sectors (70% of financed emissions in Oil &amp; Gas + Cement)</w:t>
            </w:r>
          </w:p>
        </w:tc>
      </w:tr>
    </w:tbl>
    <w:p/>
    <w:p/>
    <w:p>
      <w:r>
        <w:rPr>
          <w:b/>
          <w:color w:val="2E7D32"/>
          <w:sz w:val="24"/>
        </w:rPr>
        <w:t>⚡ Priority Actions</w:t>
      </w:r>
    </w:p>
    <w:p>
      <w:r>
        <w:rPr>
          <w:b/>
          <w:sz w:val="22"/>
        </w:rPr>
        <w:t>⚪ 1. Submit SBTi commitment letter and designate 2024 as baseline year for all climate targets. Establish Board-level Climate Risk Committee with quarterly reporting cadence.</w:t>
      </w:r>
      <w:r>
        <w:rPr>
          <w:sz w:val="22"/>
        </w:rPr>
        <w:t xml:space="preserve"> (Q2 2025)</w:t>
      </w:r>
    </w:p>
    <w:p>
      <w:pPr>
        <w:spacing w:after="160" w:line="276" w:lineRule="auto"/>
      </w:pPr>
      <w:r>
        <w:t xml:space="preserve">    → Expected: Regulatory compliance foundation, investor credibility signal, governance structure for target implementation</w:t>
      </w:r>
    </w:p>
    <w:p>
      <w:pPr>
        <w:spacing w:after="160" w:line="276" w:lineRule="auto"/>
      </w:pPr>
      <w:r>
        <w:rPr>
          <w:rFonts w:ascii="Arial" w:hAnsi="Arial"/>
          <w:i/>
          <w:color w:val="646464"/>
          <w:sz w:val="18"/>
        </w:rPr>
        <w:t xml:space="preserve">    → Ref: BRI — First Indonesian FI with SBTi commitment (2023), established dedicated sustainability unit</w:t>
      </w:r>
    </w:p>
    <w:p>
      <w:r>
        <w:rPr>
          <w:b/>
          <w:sz w:val="22"/>
        </w:rPr>
        <w:t>⚪ 2. Set 30% Scope 1+2 reduction target by 2030 versus 2024 baseline. Allocate IDR 15-25 billion for renewable energy infrastructure (PPAs + on-site solar at top 10 facilities).</w:t>
      </w:r>
      <w:r>
        <w:rPr>
          <w:sz w:val="22"/>
        </w:rPr>
        <w:t xml:space="preserve"> (Q3 2025 - Q4 2028)</w:t>
      </w:r>
    </w:p>
    <w:p>
      <w:pPr>
        <w:spacing w:after="160" w:line="276" w:lineRule="auto"/>
      </w:pPr>
      <w:r>
        <w:t xml:space="preserve">    → Expected: 6,692-11,153 tCO₂e annual reduction from renewable energy alone, 28.8-47.8% total reduction potential by 2030</w:t>
      </w:r>
    </w:p>
    <w:p>
      <w:pPr>
        <w:spacing w:after="160" w:line="276" w:lineRule="auto"/>
      </w:pPr>
      <w:r>
        <w:rPr>
          <w:rFonts w:ascii="Arial" w:hAnsi="Arial"/>
          <w:i/>
          <w:color w:val="646464"/>
          <w:sz w:val="18"/>
        </w:rPr>
        <w:t xml:space="preserve">    → Ref: DBS — 62% renewable energy via PPAs, 12% YoY operational reduction</w:t>
      </w:r>
    </w:p>
    <w:p>
      <w:r>
        <w:rPr>
          <w:b/>
          <w:sz w:val="22"/>
        </w:rPr>
        <w:t>🔴 3. Develop sectoral decarbonization pathways for Energy - Oil &amp; Gas and Manufacturing - Cement (70% of financed emissions). Establish coal phase-out timeline by 2040.</w:t>
      </w:r>
      <w:r>
        <w:rPr>
          <w:sz w:val="22"/>
        </w:rPr>
        <w:t xml:space="preserve"> (Q2 2026)</w:t>
      </w:r>
    </w:p>
    <w:p>
      <w:pPr>
        <w:spacing w:after="160" w:line="276" w:lineRule="auto"/>
      </w:pPr>
      <w:r>
        <w:t xml:space="preserve">    → Expected: Portfolio temperature alignment improvement, 5-8% financed emissions intensity reduction by 2030 through reallocation</w:t>
      </w:r>
    </w:p>
    <w:p>
      <w:pPr>
        <w:spacing w:after="160" w:line="276" w:lineRule="auto"/>
      </w:pPr>
      <w:r>
        <w:rPr>
          <w:rFonts w:ascii="Arial" w:hAnsi="Arial"/>
          <w:i/>
          <w:color w:val="646464"/>
          <w:sz w:val="18"/>
        </w:rPr>
        <w:t xml:space="preserve">    → Ref: BCA — Sectoral credit policies for coal, palm oil, cement, oil &amp; gas with lending restrictions</w:t>
      </w:r>
    </w:p>
    <w:p>
      <w:r>
        <w:rPr>
          <w:b/>
          <w:sz w:val="22"/>
        </w:rPr>
        <w:t>🔴 4. Launch client engagement program for top 50 borrowers by financed emissions. Require annual emissions disclosure and transition plan development as loan covenant.</w:t>
      </w:r>
      <w:r>
        <w:rPr>
          <w:sz w:val="22"/>
        </w:rPr>
        <w:t xml:space="preserve"> (Q3 2026)</w:t>
      </w:r>
    </w:p>
    <w:p>
      <w:pPr>
        <w:spacing w:after="160" w:line="276" w:lineRule="auto"/>
      </w:pPr>
      <w:r>
        <w:t xml:space="preserve">    → Expected: 10-15% reduction in financed emissions through client-level improvements (1,528,017-2,292,026 tCO₂e by 2030)</w:t>
      </w:r>
    </w:p>
    <w:p>
      <w:pPr>
        <w:spacing w:after="160" w:line="276" w:lineRule="auto"/>
      </w:pPr>
      <w:r>
        <w:rPr>
          <w:rFonts w:ascii="Arial" w:hAnsi="Arial"/>
          <w:i/>
          <w:color w:val="646464"/>
          <w:sz w:val="18"/>
        </w:rPr>
        <w:t xml:space="preserve">    → Ref: DBS — Client engagement framework with transition plan requirements and preferential pricing</w:t>
      </w:r>
    </w:p>
    <w:p/>
    <w:p>
      <w:r>
        <w:rPr>
          <w:i/>
          <w:color w:val="3D6094"/>
          <w:sz w:val="18"/>
        </w:rPr>
        <w:t>Framework references: IFRS S2 Para 33 — Climate-related targets (quantitative and qualitative); IFRS S2 Para 34 — Target metrics, base period, and scope; IFRS S2 Para 35 — Approach to setting and reviewing targets; IFRS S2 Para 36 — Progress toward targets; IFRS S2 Para 37 — Transition plan disclosure; GRI 305-5a — GHG emission reductions achieved; GRI 305-5b — Gases included, base year, and scopes; GRI 305-5c — Context for reductions (business-specific); ESRS E1 DR E1-4 — GHG emission reduction targets; ESRS E1 DR E1-4 — Decarbonization levers and expected contributions; OJK PSPK — Target Iklim (Climate Targets); OJK PSPK — Rencana Transisi (Transition Plan)</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Target recommendations are based on peer benchmark analysis (BRI, DBS, BCA, Bank Mandiri) and technical feasibility assessments. Actual target-setting should be validated through Board approval and SBTi submission process.</w:t>
      </w:r>
    </w:p>
    <w:p>
      <w:pPr>
        <w:spacing w:after="160" w:line="276" w:lineRule="auto"/>
      </w:pPr>
      <w:r>
        <w:rPr>
          <w:rFonts w:ascii="Arial" w:hAnsi="Arial"/>
          <w:i/>
          <w:color w:val="646464"/>
          <w:sz w:val="18"/>
        </w:rPr>
        <w:t>Investment estimates include capital expenditure for infrastructure (solar panels, EV fleet, building retrofits) and implementation costs (consulting, validation, monitoring systems). Figures are order-of-magnitude estimates requiring detailed feasibility studies.</w:t>
      </w:r>
    </w:p>
    <w:p>
      <w:pPr>
        <w:spacing w:after="160" w:line="276" w:lineRule="auto"/>
      </w:pPr>
      <w:r>
        <w:rPr>
          <w:rFonts w:ascii="Arial" w:hAnsi="Arial"/>
          <w:i/>
          <w:color w:val="646464"/>
          <w:sz w:val="18"/>
        </w:rPr>
        <w:t>Portfolio temperature alignment methodology follows PACTA (Paris Agreement Capital Transition Assessment) framework, consistent with BRI's disclosed approach. Current portfolio temperature is not calculated due to absence of baseline target.</w:t>
      </w:r>
    </w:p>
    <w:p>
      <w:pPr>
        <w:spacing w:after="160" w:line="276" w:lineRule="auto"/>
      </w:pPr>
      <w:r>
        <w:rPr>
          <w:rFonts w:ascii="Arial" w:hAnsi="Arial"/>
          <w:i/>
          <w:color w:val="646464"/>
          <w:sz w:val="18"/>
        </w:rPr>
        <w:t>Decarbonization lever impact ranges reflect uncertainty in implementation scope and technology performance. Lower bound assumes conservative rollout; upper bound assumes accelerated deployment with optimal conditions.</w:t>
      </w:r>
    </w:p>
    <w:p>
      <w:pPr>
        <w:spacing w:after="160" w:line="276" w:lineRule="auto"/>
      </w:pPr>
      <w:r>
        <w:rPr>
          <w:rFonts w:ascii="Arial" w:hAnsi="Arial"/>
          <w:i/>
          <w:color w:val="646464"/>
          <w:sz w:val="18"/>
        </w:rPr>
        <w:t>Peer data sourced from publicly available sustainability reports: BRI (2023), DBS (2023), BCA (2024), Bank Mandiri (2023). All peer figures are as reported by respective institutions without independent verification.</w:t>
      </w:r>
    </w:p>
    <w:p>
      <w:r>
        <w:br w:type="page"/>
      </w:r>
    </w:p>
    <w:p>
      <w:pPr>
        <w:pStyle w:val="Heading1"/>
        <w:keepNext/>
        <w:spacing w:before="480" w:after="240"/>
      </w:pPr>
      <w:r>
        <w:rPr>
          <w:rFonts w:ascii="Arial" w:hAnsi="Arial"/>
          <w:b/>
          <w:color w:val="1B3A6B"/>
          <w:sz w:val="36"/>
        </w:rPr>
        <w:t>Appendix A: Methodology &amp; Calculation Approach</w:t>
      </w:r>
    </w:p>
    <w:p>
      <w:pPr>
        <w:spacing w:after="160" w:line="276" w:lineRule="auto"/>
      </w:pPr>
      <w:r>
        <w:rPr>
          <w:rFonts w:ascii="Arial" w:hAnsi="Arial"/>
          <w:b/>
          <w:sz w:val="22"/>
        </w:rPr>
        <w:t>A.1 Reporting Boundary &amp; Consolidation</w:t>
      </w:r>
    </w:p>
    <w:p>
      <w:r>
        <w:rPr>
          <w:rFonts w:ascii="Arial" w:hAnsi="Arial"/>
          <w:b/>
          <w:sz w:val="20"/>
        </w:rPr>
        <w:t>Table 67: Reporting Parameters</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Parameter</w:t>
            </w:r>
          </w:p>
        </w:tc>
        <w:tc>
          <w:tcPr>
            <w:tcW w:type="dxa" w:w="4514"/>
            <w:shd w:fill="1B3A6B" w:val="clear"/>
          </w:tcPr>
          <w:p>
            <w:r>
              <w:rPr>
                <w:rFonts w:ascii="Arial" w:hAnsi="Arial"/>
                <w:b/>
                <w:color w:val="FFFFFF"/>
                <w:sz w:val="18"/>
              </w:rPr>
              <w:t>Value</w:t>
            </w:r>
          </w:p>
        </w:tc>
      </w:tr>
      <w:tr>
        <w:tc>
          <w:tcPr>
            <w:tcW w:type="dxa" w:w="4514"/>
          </w:tcPr>
          <w:p>
            <w:r>
              <w:rPr>
                <w:rFonts w:ascii="Arial" w:hAnsi="Arial"/>
                <w:sz w:val="18"/>
              </w:rPr>
              <w:t>Consolidation Approach</w:t>
            </w:r>
          </w:p>
        </w:tc>
        <w:tc>
          <w:tcPr>
            <w:tcW w:type="dxa" w:w="4514"/>
          </w:tcPr>
          <w:p>
            <w:r>
              <w:rPr>
                <w:rFonts w:ascii="Arial" w:hAnsi="Arial"/>
                <w:sz w:val="18"/>
              </w:rPr>
              <w:t>Operational Control (per GHG Protocol)</w:t>
            </w:r>
          </w:p>
        </w:tc>
      </w:tr>
      <w:tr>
        <w:tc>
          <w:tcPr>
            <w:tcW w:type="dxa" w:w="4514"/>
            <w:shd w:fill="F2F6FC" w:val="clear"/>
          </w:tcPr>
          <w:p>
            <w:r>
              <w:rPr>
                <w:rFonts w:ascii="Arial" w:hAnsi="Arial"/>
                <w:sz w:val="18"/>
              </w:rPr>
              <w:t>Organizational Boundary</w:t>
            </w:r>
          </w:p>
        </w:tc>
        <w:tc>
          <w:tcPr>
            <w:tcW w:type="dxa" w:w="4514"/>
            <w:shd w:fill="F2F6FC" w:val="clear"/>
          </w:tcPr>
          <w:p>
            <w:r>
              <w:rPr>
                <w:rFonts w:ascii="Arial" w:hAnsi="Arial"/>
                <w:sz w:val="18"/>
              </w:rPr>
              <w:t>All facilities under operational control</w:t>
            </w:r>
          </w:p>
        </w:tc>
      </w:tr>
      <w:tr>
        <w:tc>
          <w:tcPr>
            <w:tcW w:type="dxa" w:w="4514"/>
          </w:tcPr>
          <w:p>
            <w:r>
              <w:rPr>
                <w:rFonts w:ascii="Arial" w:hAnsi="Arial"/>
                <w:sz w:val="18"/>
              </w:rPr>
              <w:t>Reporting Period</w:t>
            </w:r>
          </w:p>
        </w:tc>
        <w:tc>
          <w:tcPr>
            <w:tcW w:type="dxa" w:w="4514"/>
          </w:tcPr>
          <w:p>
            <w:r>
              <w:rPr>
                <w:rFonts w:ascii="Arial" w:hAnsi="Arial"/>
                <w:sz w:val="18"/>
              </w:rPr>
              <w:t>01 January – 31 December (annual)</w:t>
            </w:r>
          </w:p>
        </w:tc>
      </w:tr>
      <w:tr>
        <w:tc>
          <w:tcPr>
            <w:tcW w:type="dxa" w:w="4514"/>
            <w:shd w:fill="F2F6FC" w:val="clear"/>
          </w:tcPr>
          <w:p>
            <w:r>
              <w:rPr>
                <w:rFonts w:ascii="Arial" w:hAnsi="Arial"/>
                <w:sz w:val="18"/>
              </w:rPr>
              <w:t>Base Year</w:t>
            </w:r>
          </w:p>
        </w:tc>
        <w:tc>
          <w:tcPr>
            <w:tcW w:type="dxa" w:w="4514"/>
            <w:shd w:fill="F2F6FC" w:val="clear"/>
          </w:tcPr>
          <w:p>
            <w:r>
              <w:rPr>
                <w:rFonts w:ascii="Arial" w:hAnsi="Arial"/>
                <w:sz w:val="18"/>
              </w:rPr>
              <w:t>2023 (first year of comprehensive GHG inventory)</w:t>
            </w:r>
          </w:p>
        </w:tc>
      </w:tr>
      <w:tr>
        <w:tc>
          <w:tcPr>
            <w:tcW w:type="dxa" w:w="4514"/>
          </w:tcPr>
          <w:p>
            <w:r>
              <w:rPr>
                <w:rFonts w:ascii="Arial" w:hAnsi="Arial"/>
                <w:sz w:val="18"/>
              </w:rPr>
              <w:t>Recalculation Policy</w:t>
            </w:r>
          </w:p>
        </w:tc>
        <w:tc>
          <w:tcPr>
            <w:tcW w:type="dxa" w:w="4514"/>
          </w:tcPr>
          <w:p>
            <w:r>
              <w:rPr>
                <w:rFonts w:ascii="Arial" w:hAnsi="Arial"/>
                <w:sz w:val="18"/>
              </w:rPr>
              <w:t>Triggered if structural changes affect &gt;5% of total</w:t>
            </w:r>
          </w:p>
        </w:tc>
      </w:tr>
      <w:tr>
        <w:tc>
          <w:tcPr>
            <w:tcW w:type="dxa" w:w="4514"/>
            <w:shd w:fill="F2F6FC" w:val="clear"/>
          </w:tcPr>
          <w:p>
            <w:r>
              <w:rPr>
                <w:rFonts w:ascii="Arial" w:hAnsi="Arial"/>
                <w:sz w:val="18"/>
              </w:rPr>
              <w:t>Standards Applied</w:t>
            </w:r>
          </w:p>
        </w:tc>
        <w:tc>
          <w:tcPr>
            <w:tcW w:type="dxa" w:w="4514"/>
            <w:shd w:fill="F2F6FC" w:val="clear"/>
          </w:tcPr>
          <w:p>
            <w:r>
              <w:rPr>
                <w:rFonts w:ascii="Arial" w:hAnsi="Arial"/>
                <w:sz w:val="18"/>
              </w:rPr>
              <w:t>GHG Protocol Corporate Standard (2015 Revised)</w:t>
            </w:r>
          </w:p>
        </w:tc>
      </w:tr>
      <w:tr>
        <w:tc>
          <w:tcPr>
            <w:tcW w:type="dxa" w:w="4514"/>
          </w:tcPr>
          <w:p>
            <w:r>
              <w:rPr>
                <w:rFonts w:ascii="Arial" w:hAnsi="Arial"/>
                <w:sz w:val="18"/>
              </w:rPr>
              <w:t>Financed Emissions</w:t>
            </w:r>
          </w:p>
        </w:tc>
        <w:tc>
          <w:tcPr>
            <w:tcW w:type="dxa" w:w="4514"/>
          </w:tcPr>
          <w:p>
            <w:r>
              <w:rPr>
                <w:rFonts w:ascii="Arial" w:hAnsi="Arial"/>
                <w:sz w:val="18"/>
              </w:rPr>
              <w:t>PCAF Global Standard Part A (2022 Revision)</w:t>
            </w:r>
          </w:p>
        </w:tc>
      </w:tr>
    </w:tbl>
    <w:p/>
    <w:p>
      <w:pPr>
        <w:spacing w:after="160" w:line="276" w:lineRule="auto"/>
      </w:pPr>
      <w:r>
        <w:rPr>
          <w:rFonts w:ascii="Arial" w:hAnsi="Arial"/>
          <w:b/>
          <w:sz w:val="22"/>
        </w:rPr>
        <w:t>A.2 Scope 1 — Direct Emissions</w:t>
      </w:r>
    </w:p>
    <w:p>
      <w:pPr>
        <w:spacing w:after="160" w:line="276" w:lineRule="auto"/>
      </w:pPr>
      <w:r>
        <w:t>Scope 1 covers stationary combustion (diesel generators, natural gas boilers) and mobile combustion (company fleet vehicles). Calculation method: fuel-based approach (activity data × emission factor). Emission factors sourced from UK DEFRA 2024/2025 conversion factors. GWP values from IPCC Sixth Assessment Report (AR6, 100-year): CO₂ = 1.0, CH₄ = 29.8, N₂O = 273.0.</w:t>
      </w:r>
    </w:p>
    <w:p>
      <w:r>
        <w:rPr>
          <w:rFonts w:ascii="Arial" w:hAnsi="Arial"/>
          <w:b/>
          <w:sz w:val="20"/>
        </w:rPr>
        <w:t>Table 68: Scope 1 Emission Factors Applied</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Fuel Type</w:t>
            </w:r>
          </w:p>
        </w:tc>
        <w:tc>
          <w:tcPr>
            <w:tcW w:type="dxa" w:w="1806"/>
            <w:shd w:fill="1B3A6B" w:val="clear"/>
          </w:tcPr>
          <w:p>
            <w:r>
              <w:rPr>
                <w:rFonts w:ascii="Arial" w:hAnsi="Arial"/>
                <w:b/>
                <w:color w:val="FFFFFF"/>
                <w:sz w:val="18"/>
              </w:rPr>
              <w:t>CO₂ Factor</w:t>
            </w:r>
          </w:p>
        </w:tc>
        <w:tc>
          <w:tcPr>
            <w:tcW w:type="dxa" w:w="1806"/>
            <w:shd w:fill="1B3A6B" w:val="clear"/>
          </w:tcPr>
          <w:p>
            <w:r>
              <w:rPr>
                <w:rFonts w:ascii="Arial" w:hAnsi="Arial"/>
                <w:b/>
                <w:color w:val="FFFFFF"/>
                <w:sz w:val="18"/>
              </w:rPr>
              <w:t>CH₄ Factor</w:t>
            </w:r>
          </w:p>
        </w:tc>
        <w:tc>
          <w:tcPr>
            <w:tcW w:type="dxa" w:w="1806"/>
            <w:shd w:fill="1B3A6B" w:val="clear"/>
          </w:tcPr>
          <w:p>
            <w:r>
              <w:rPr>
                <w:rFonts w:ascii="Arial" w:hAnsi="Arial"/>
                <w:b/>
                <w:color w:val="FFFFFF"/>
                <w:sz w:val="18"/>
              </w:rPr>
              <w:t>N₂O Factor</w:t>
            </w:r>
          </w:p>
        </w:tc>
        <w:tc>
          <w:tcPr>
            <w:tcW w:type="dxa" w:w="1806"/>
            <w:shd w:fill="1B3A6B" w:val="clear"/>
          </w:tcPr>
          <w:p>
            <w:r>
              <w:rPr>
                <w:rFonts w:ascii="Arial" w:hAnsi="Arial"/>
                <w:b/>
                <w:color w:val="FFFFFF"/>
                <w:sz w:val="18"/>
              </w:rPr>
              <w:t>Source</w:t>
            </w:r>
          </w:p>
        </w:tc>
      </w:tr>
      <w:tr>
        <w:tc>
          <w:tcPr>
            <w:tcW w:type="dxa" w:w="1806"/>
          </w:tcPr>
          <w:p>
            <w:r>
              <w:rPr>
                <w:rFonts w:ascii="Arial" w:hAnsi="Arial"/>
                <w:sz w:val="18"/>
              </w:rPr>
              <w:t>Diesel</w:t>
            </w:r>
          </w:p>
        </w:tc>
        <w:tc>
          <w:tcPr>
            <w:tcW w:type="dxa" w:w="1806"/>
          </w:tcPr>
          <w:p>
            <w:r>
              <w:rPr>
                <w:rFonts w:ascii="Arial" w:hAnsi="Arial"/>
                <w:sz w:val="18"/>
              </w:rPr>
              <w:t>2.6710 kg/L</w:t>
            </w:r>
          </w:p>
        </w:tc>
        <w:tc>
          <w:tcPr>
            <w:tcW w:type="dxa" w:w="1806"/>
          </w:tcPr>
          <w:p>
            <w:r>
              <w:rPr>
                <w:rFonts w:ascii="Arial" w:hAnsi="Arial"/>
                <w:sz w:val="18"/>
              </w:rPr>
              <w:t>0.00029 kgCO₂e/L</w:t>
            </w:r>
          </w:p>
        </w:tc>
        <w:tc>
          <w:tcPr>
            <w:tcW w:type="dxa" w:w="1806"/>
          </w:tcPr>
          <w:p>
            <w:r>
              <w:rPr>
                <w:rFonts w:ascii="Arial" w:hAnsi="Arial"/>
                <w:sz w:val="18"/>
              </w:rPr>
              <w:t>0.03308 kgCO₂e/L</w:t>
            </w:r>
          </w:p>
        </w:tc>
        <w:tc>
          <w:tcPr>
            <w:tcW w:type="dxa" w:w="1806"/>
          </w:tcPr>
          <w:p>
            <w:r>
              <w:rPr>
                <w:rFonts w:ascii="Arial" w:hAnsi="Arial"/>
                <w:sz w:val="18"/>
              </w:rPr>
              <w:t>DEFRA 2025</w:t>
            </w:r>
          </w:p>
        </w:tc>
      </w:tr>
      <w:tr>
        <w:tc>
          <w:tcPr>
            <w:tcW w:type="dxa" w:w="1806"/>
            <w:shd w:fill="F2F6FC" w:val="clear"/>
          </w:tcPr>
          <w:p>
            <w:r>
              <w:rPr>
                <w:rFonts w:ascii="Arial" w:hAnsi="Arial"/>
                <w:sz w:val="18"/>
              </w:rPr>
              <w:t>Natural Gas</w:t>
            </w:r>
          </w:p>
        </w:tc>
        <w:tc>
          <w:tcPr>
            <w:tcW w:type="dxa" w:w="1806"/>
            <w:shd w:fill="F2F6FC" w:val="clear"/>
          </w:tcPr>
          <w:p>
            <w:r>
              <w:rPr>
                <w:rFonts w:ascii="Arial" w:hAnsi="Arial"/>
                <w:sz w:val="18"/>
              </w:rPr>
              <w:t>56.10 kg/GJ</w:t>
            </w:r>
          </w:p>
        </w:tc>
        <w:tc>
          <w:tcPr>
            <w:tcW w:type="dxa" w:w="1806"/>
            <w:shd w:fill="F2F6FC" w:val="clear"/>
          </w:tcPr>
          <w:p>
            <w:r>
              <w:rPr>
                <w:rFonts w:ascii="Arial" w:hAnsi="Arial"/>
                <w:sz w:val="18"/>
              </w:rPr>
              <w:t>0.0298 kgCO₂e/GJ</w:t>
            </w:r>
          </w:p>
        </w:tc>
        <w:tc>
          <w:tcPr>
            <w:tcW w:type="dxa" w:w="1806"/>
            <w:shd w:fill="F2F6FC" w:val="clear"/>
          </w:tcPr>
          <w:p>
            <w:r>
              <w:rPr>
                <w:rFonts w:ascii="Arial" w:hAnsi="Arial"/>
                <w:sz w:val="18"/>
              </w:rPr>
              <w:t>0.0273 kgCO₂e/GJ</w:t>
            </w:r>
          </w:p>
        </w:tc>
        <w:tc>
          <w:tcPr>
            <w:tcW w:type="dxa" w:w="1806"/>
            <w:shd w:fill="F2F6FC" w:val="clear"/>
          </w:tcPr>
          <w:p>
            <w:r>
              <w:rPr>
                <w:rFonts w:ascii="Arial" w:hAnsi="Arial"/>
                <w:sz w:val="18"/>
              </w:rPr>
              <w:t>IPCC AR6</w:t>
            </w:r>
          </w:p>
        </w:tc>
      </w:tr>
    </w:tbl>
    <w:p/>
    <w:p>
      <w:pPr>
        <w:spacing w:after="160" w:line="276" w:lineRule="auto"/>
      </w:pPr>
      <w:r>
        <w:rPr>
          <w:rFonts w:ascii="Arial" w:hAnsi="Arial"/>
          <w:b/>
          <w:sz w:val="22"/>
        </w:rPr>
        <w:t>A.3 Scope 2 — Indirect Emissions</w:t>
      </w:r>
    </w:p>
    <w:p>
      <w:pPr>
        <w:spacing w:after="160" w:line="276" w:lineRule="auto"/>
      </w:pPr>
      <w:r>
        <w:t>Scope 2 covers purchased electricity. Dual reporting: location-based (grid average emission factor) and market-based (contractual instruments). Grid emission factor: PLN National Grid Average per DJK-ESDM Ministerial Decree. RECs deducted from market-based calculation only.</w:t>
      </w:r>
    </w:p>
    <w:p>
      <w:r>
        <w:rPr>
          <w:rFonts w:ascii="Arial" w:hAnsi="Arial"/>
          <w:b/>
          <w:sz w:val="20"/>
        </w:rPr>
        <w:t>Table 69: Scope 2 Grid Emission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Grid Region</w:t>
            </w:r>
          </w:p>
        </w:tc>
        <w:tc>
          <w:tcPr>
            <w:tcW w:type="dxa" w:w="2257"/>
            <w:shd w:fill="1B3A6B" w:val="clear"/>
          </w:tcPr>
          <w:p>
            <w:r>
              <w:rPr>
                <w:rFonts w:ascii="Arial" w:hAnsi="Arial"/>
                <w:b/>
                <w:color w:val="FFFFFF"/>
                <w:sz w:val="18"/>
              </w:rPr>
              <w:t>EF (kgCO₂/kWh)</w:t>
            </w:r>
          </w:p>
        </w:tc>
        <w:tc>
          <w:tcPr>
            <w:tcW w:type="dxa" w:w="2257"/>
            <w:shd w:fill="1B3A6B" w:val="clear"/>
          </w:tcPr>
          <w:p>
            <w:r>
              <w:rPr>
                <w:rFonts w:ascii="Arial" w:hAnsi="Arial"/>
                <w:b/>
                <w:color w:val="FFFFFF"/>
                <w:sz w:val="18"/>
              </w:rPr>
              <w:t>Source</w:t>
            </w:r>
          </w:p>
        </w:tc>
        <w:tc>
          <w:tcPr>
            <w:tcW w:type="dxa" w:w="2257"/>
            <w:shd w:fill="1B3A6B" w:val="clear"/>
          </w:tcPr>
          <w:p>
            <w:r>
              <w:rPr>
                <w:rFonts w:ascii="Arial" w:hAnsi="Arial"/>
                <w:b/>
                <w:color w:val="FFFFFF"/>
                <w:sz w:val="18"/>
              </w:rPr>
              <w:t>Year</w:t>
            </w:r>
          </w:p>
        </w:tc>
      </w:tr>
      <w:tr>
        <w:tc>
          <w:tcPr>
            <w:tcW w:type="dxa" w:w="2257"/>
          </w:tcPr>
          <w:p>
            <w:r>
              <w:rPr>
                <w:rFonts w:ascii="Arial" w:hAnsi="Arial"/>
                <w:sz w:val="18"/>
              </w:rPr>
              <w:t>PLN National Grid (Indonesia)</w:t>
            </w:r>
          </w:p>
        </w:tc>
        <w:tc>
          <w:tcPr>
            <w:tcW w:type="dxa" w:w="2257"/>
          </w:tcPr>
          <w:p>
            <w:pPr>
              <w:jc w:val="right"/>
            </w:pPr>
            <w:r>
              <w:rPr>
                <w:rFonts w:ascii="Arial" w:hAnsi="Arial"/>
                <w:sz w:val="18"/>
              </w:rPr>
              <w:t>0.7886</w:t>
            </w:r>
          </w:p>
        </w:tc>
        <w:tc>
          <w:tcPr>
            <w:tcW w:type="dxa" w:w="2257"/>
          </w:tcPr>
          <w:p>
            <w:r>
              <w:rPr>
                <w:rFonts w:ascii="Arial" w:hAnsi="Arial"/>
                <w:sz w:val="18"/>
              </w:rPr>
              <w:t>DJK-ESDM</w:t>
            </w:r>
          </w:p>
        </w:tc>
        <w:tc>
          <w:tcPr>
            <w:tcW w:type="dxa" w:w="2257"/>
          </w:tcPr>
          <w:p>
            <w:pPr>
              <w:jc w:val="right"/>
            </w:pPr>
            <w:r>
              <w:rPr>
                <w:rFonts w:ascii="Arial" w:hAnsi="Arial"/>
                <w:sz w:val="18"/>
              </w:rPr>
              <w:t>2023</w:t>
            </w:r>
          </w:p>
        </w:tc>
      </w:tr>
    </w:tbl>
    <w:p/>
    <w:p>
      <w:pPr>
        <w:spacing w:after="160" w:line="276" w:lineRule="auto"/>
      </w:pPr>
      <w:r>
        <w:rPr>
          <w:rFonts w:ascii="Arial" w:hAnsi="Arial"/>
          <w:b/>
          <w:sz w:val="22"/>
        </w:rPr>
        <w:t>A.4 Scope 3 Category 15 — Financed Emissions (PCAF)</w:t>
      </w:r>
    </w:p>
    <w:p>
      <w:pPr>
        <w:spacing w:after="160" w:line="276" w:lineRule="auto"/>
      </w:pPr>
      <w:r>
        <w:t>Financed emissions calculated per PCAF Global GHG Accounting Standard Part A (2022). Asset class: business loans and project finance. Attribution formula: Financed Emissions = Σ (Attribution Factor × Borrower Scope 1+2 Emissions). Attribution Factor = Outstanding Amount / (Total Equity + Total Debt). Capped at 1.0 per REQ-ETL-19.</w:t>
      </w:r>
    </w:p>
    <w:p>
      <w:r>
        <w:rPr>
          <w:rFonts w:ascii="Arial" w:hAnsi="Arial"/>
          <w:b/>
          <w:sz w:val="20"/>
        </w:rPr>
        <w:t>Table 70: PCAF Confidence Weighting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PCAF Score</w:t>
            </w:r>
          </w:p>
        </w:tc>
        <w:tc>
          <w:tcPr>
            <w:tcW w:type="dxa" w:w="2257"/>
            <w:shd w:fill="1B3A6B" w:val="clear"/>
          </w:tcPr>
          <w:p>
            <w:r>
              <w:rPr>
                <w:rFonts w:ascii="Arial" w:hAnsi="Arial"/>
                <w:b/>
                <w:color w:val="FFFFFF"/>
                <w:sz w:val="18"/>
              </w:rPr>
              <w:t>Description</w:t>
            </w:r>
          </w:p>
        </w:tc>
        <w:tc>
          <w:tcPr>
            <w:tcW w:type="dxa" w:w="2257"/>
            <w:shd w:fill="1B3A6B" w:val="clear"/>
          </w:tcPr>
          <w:p>
            <w:r>
              <w:rPr>
                <w:rFonts w:ascii="Arial" w:hAnsi="Arial"/>
                <w:b/>
                <w:color w:val="FFFFFF"/>
                <w:sz w:val="18"/>
              </w:rPr>
              <w:t>Confidence Factor</w:t>
            </w:r>
          </w:p>
        </w:tc>
        <w:tc>
          <w:tcPr>
            <w:tcW w:type="dxa" w:w="2257"/>
            <w:shd w:fill="1B3A6B" w:val="clear"/>
          </w:tcPr>
          <w:p>
            <w:r>
              <w:rPr>
                <w:rFonts w:ascii="Arial" w:hAnsi="Arial"/>
                <w:b/>
                <w:color w:val="FFFFFF"/>
                <w:sz w:val="18"/>
              </w:rPr>
              <w:t>Uncertainty</w:t>
            </w:r>
          </w:p>
        </w:tc>
      </w:tr>
      <w:tr>
        <w:tc>
          <w:tcPr>
            <w:tcW w:type="dxa" w:w="2257"/>
          </w:tcPr>
          <w:p>
            <w:pPr>
              <w:jc w:val="right"/>
            </w:pPr>
            <w:r>
              <w:rPr>
                <w:rFonts w:ascii="Arial" w:hAnsi="Arial"/>
                <w:sz w:val="18"/>
              </w:rPr>
              <w:t>1.0</w:t>
            </w:r>
          </w:p>
        </w:tc>
        <w:tc>
          <w:tcPr>
            <w:tcW w:type="dxa" w:w="2257"/>
          </w:tcPr>
          <w:p>
            <w:r>
              <w:rPr>
                <w:rFonts w:ascii="Arial" w:hAnsi="Arial"/>
                <w:sz w:val="18"/>
              </w:rPr>
              <w:t>Verified (CDP/equivalent)</w:t>
            </w:r>
          </w:p>
        </w:tc>
        <w:tc>
          <w:tcPr>
            <w:tcW w:type="dxa" w:w="2257"/>
          </w:tcPr>
          <w:p>
            <w:pPr>
              <w:jc w:val="right"/>
            </w:pPr>
            <w:r>
              <w:rPr>
                <w:rFonts w:ascii="Arial" w:hAnsi="Arial"/>
                <w:sz w:val="18"/>
              </w:rPr>
              <w:t>1.00</w:t>
            </w:r>
          </w:p>
        </w:tc>
        <w:tc>
          <w:tcPr>
            <w:tcW w:type="dxa" w:w="2257"/>
          </w:tcPr>
          <w:p>
            <w:r>
              <w:rPr>
                <w:rFonts w:ascii="Arial" w:hAnsi="Arial"/>
                <w:sz w:val="18"/>
              </w:rPr>
              <w:t>±5%</w:t>
            </w:r>
          </w:p>
        </w:tc>
      </w:tr>
      <w:tr>
        <w:tc>
          <w:tcPr>
            <w:tcW w:type="dxa" w:w="2257"/>
            <w:shd w:fill="F2F6FC" w:val="clear"/>
          </w:tcPr>
          <w:p>
            <w:pPr>
              <w:jc w:val="right"/>
            </w:pPr>
            <w:r>
              <w:rPr>
                <w:rFonts w:ascii="Arial" w:hAnsi="Arial"/>
                <w:sz w:val="18"/>
              </w:rPr>
              <w:t>1.5</w:t>
            </w:r>
          </w:p>
        </w:tc>
        <w:tc>
          <w:tcPr>
            <w:tcW w:type="dxa" w:w="2257"/>
            <w:shd w:fill="F2F6FC" w:val="clear"/>
          </w:tcPr>
          <w:p>
            <w:r>
              <w:rPr>
                <w:rFonts w:ascii="Arial" w:hAnsi="Arial"/>
                <w:sz w:val="18"/>
              </w:rPr>
              <w:t>Audited, unverified</w:t>
            </w:r>
          </w:p>
        </w:tc>
        <w:tc>
          <w:tcPr>
            <w:tcW w:type="dxa" w:w="2257"/>
            <w:shd w:fill="F2F6FC" w:val="clear"/>
          </w:tcPr>
          <w:p>
            <w:pPr>
              <w:jc w:val="right"/>
            </w:pPr>
            <w:r>
              <w:rPr>
                <w:rFonts w:ascii="Arial" w:hAnsi="Arial"/>
                <w:sz w:val="18"/>
              </w:rPr>
              <w:t>0.95</w:t>
            </w:r>
          </w:p>
        </w:tc>
        <w:tc>
          <w:tcPr>
            <w:tcW w:type="dxa" w:w="2257"/>
            <w:shd w:fill="F2F6FC" w:val="clear"/>
          </w:tcPr>
          <w:p>
            <w:r>
              <w:rPr>
                <w:rFonts w:ascii="Arial" w:hAnsi="Arial"/>
                <w:sz w:val="18"/>
              </w:rPr>
              <w:t>±10%</w:t>
            </w:r>
          </w:p>
        </w:tc>
      </w:tr>
      <w:tr>
        <w:tc>
          <w:tcPr>
            <w:tcW w:type="dxa" w:w="2257"/>
          </w:tcPr>
          <w:p>
            <w:pPr>
              <w:jc w:val="right"/>
            </w:pPr>
            <w:r>
              <w:rPr>
                <w:rFonts w:ascii="Arial" w:hAnsi="Arial"/>
                <w:sz w:val="18"/>
              </w:rPr>
              <w:t>2.0</w:t>
            </w:r>
          </w:p>
        </w:tc>
        <w:tc>
          <w:tcPr>
            <w:tcW w:type="dxa" w:w="2257"/>
          </w:tcPr>
          <w:p>
            <w:r>
              <w:rPr>
                <w:rFonts w:ascii="Arial" w:hAnsi="Arial"/>
                <w:sz w:val="18"/>
              </w:rPr>
              <w:t>Physical activity-based</w:t>
            </w:r>
          </w:p>
        </w:tc>
        <w:tc>
          <w:tcPr>
            <w:tcW w:type="dxa" w:w="2257"/>
          </w:tcPr>
          <w:p>
            <w:pPr>
              <w:jc w:val="right"/>
            </w:pPr>
            <w:r>
              <w:rPr>
                <w:rFonts w:ascii="Arial" w:hAnsi="Arial"/>
                <w:sz w:val="18"/>
              </w:rPr>
              <w:t>0.90</w:t>
            </w:r>
          </w:p>
        </w:tc>
        <w:tc>
          <w:tcPr>
            <w:tcW w:type="dxa" w:w="2257"/>
          </w:tcPr>
          <w:p>
            <w:r>
              <w:rPr>
                <w:rFonts w:ascii="Arial" w:hAnsi="Arial"/>
                <w:sz w:val="18"/>
              </w:rPr>
              <w:t>±15%</w:t>
            </w:r>
          </w:p>
        </w:tc>
      </w:tr>
      <w:tr>
        <w:tc>
          <w:tcPr>
            <w:tcW w:type="dxa" w:w="2257"/>
            <w:shd w:fill="F2F6FC" w:val="clear"/>
          </w:tcPr>
          <w:p>
            <w:pPr>
              <w:jc w:val="right"/>
            </w:pPr>
            <w:r>
              <w:rPr>
                <w:rFonts w:ascii="Arial" w:hAnsi="Arial"/>
                <w:sz w:val="18"/>
              </w:rPr>
              <w:t>3.0</w:t>
            </w:r>
          </w:p>
        </w:tc>
        <w:tc>
          <w:tcPr>
            <w:tcW w:type="dxa" w:w="2257"/>
            <w:shd w:fill="F2F6FC" w:val="clear"/>
          </w:tcPr>
          <w:p>
            <w:r>
              <w:rPr>
                <w:rFonts w:ascii="Arial" w:hAnsi="Arial"/>
                <w:sz w:val="18"/>
              </w:rPr>
              <w:t>EEIO + revenue-based</w:t>
            </w:r>
          </w:p>
        </w:tc>
        <w:tc>
          <w:tcPr>
            <w:tcW w:type="dxa" w:w="2257"/>
            <w:shd w:fill="F2F6FC" w:val="clear"/>
          </w:tcPr>
          <w:p>
            <w:pPr>
              <w:jc w:val="right"/>
            </w:pPr>
            <w:r>
              <w:rPr>
                <w:rFonts w:ascii="Arial" w:hAnsi="Arial"/>
                <w:sz w:val="18"/>
              </w:rPr>
              <w:t>0.75</w:t>
            </w:r>
          </w:p>
        </w:tc>
        <w:tc>
          <w:tcPr>
            <w:tcW w:type="dxa" w:w="2257"/>
            <w:shd w:fill="F2F6FC" w:val="clear"/>
          </w:tcPr>
          <w:p>
            <w:r>
              <w:rPr>
                <w:rFonts w:ascii="Arial" w:hAnsi="Arial"/>
                <w:sz w:val="18"/>
              </w:rPr>
              <w:t>±25%</w:t>
            </w:r>
          </w:p>
        </w:tc>
      </w:tr>
      <w:tr>
        <w:tc>
          <w:tcPr>
            <w:tcW w:type="dxa" w:w="2257"/>
          </w:tcPr>
          <w:p>
            <w:pPr>
              <w:jc w:val="right"/>
            </w:pPr>
            <w:r>
              <w:rPr>
                <w:rFonts w:ascii="Arial" w:hAnsi="Arial"/>
                <w:sz w:val="18"/>
              </w:rPr>
              <w:t>4.0</w:t>
            </w:r>
          </w:p>
        </w:tc>
        <w:tc>
          <w:tcPr>
            <w:tcW w:type="dxa" w:w="2257"/>
          </w:tcPr>
          <w:p>
            <w:r>
              <w:rPr>
                <w:rFonts w:ascii="Arial" w:hAnsi="Arial"/>
                <w:sz w:val="18"/>
              </w:rPr>
              <w:t>EEIO + asset-based</w:t>
            </w:r>
          </w:p>
        </w:tc>
        <w:tc>
          <w:tcPr>
            <w:tcW w:type="dxa" w:w="2257"/>
          </w:tcPr>
          <w:p>
            <w:pPr>
              <w:jc w:val="right"/>
            </w:pPr>
            <w:r>
              <w:rPr>
                <w:rFonts w:ascii="Arial" w:hAnsi="Arial"/>
                <w:sz w:val="18"/>
              </w:rPr>
              <w:t>0.60</w:t>
            </w:r>
          </w:p>
        </w:tc>
        <w:tc>
          <w:tcPr>
            <w:tcW w:type="dxa" w:w="2257"/>
          </w:tcPr>
          <w:p>
            <w:r>
              <w:rPr>
                <w:rFonts w:ascii="Arial" w:hAnsi="Arial"/>
                <w:sz w:val="18"/>
              </w:rPr>
              <w:t>±40%</w:t>
            </w:r>
          </w:p>
        </w:tc>
      </w:tr>
      <w:tr>
        <w:tc>
          <w:tcPr>
            <w:tcW w:type="dxa" w:w="2257"/>
            <w:shd w:fill="F2F6FC" w:val="clear"/>
          </w:tcPr>
          <w:p>
            <w:pPr>
              <w:jc w:val="right"/>
            </w:pPr>
            <w:r>
              <w:rPr>
                <w:rFonts w:ascii="Arial" w:hAnsi="Arial"/>
                <w:sz w:val="18"/>
              </w:rPr>
              <w:t>5.0</w:t>
            </w:r>
          </w:p>
        </w:tc>
        <w:tc>
          <w:tcPr>
            <w:tcW w:type="dxa" w:w="2257"/>
            <w:shd w:fill="F2F6FC" w:val="clear"/>
          </w:tcPr>
          <w:p>
            <w:r>
              <w:rPr>
                <w:rFonts w:ascii="Arial" w:hAnsi="Arial"/>
                <w:sz w:val="18"/>
              </w:rPr>
              <w:t>Sector-average proxy</w:t>
            </w:r>
          </w:p>
        </w:tc>
        <w:tc>
          <w:tcPr>
            <w:tcW w:type="dxa" w:w="2257"/>
            <w:shd w:fill="F2F6FC" w:val="clear"/>
          </w:tcPr>
          <w:p>
            <w:pPr>
              <w:jc w:val="right"/>
            </w:pPr>
            <w:r>
              <w:rPr>
                <w:rFonts w:ascii="Arial" w:hAnsi="Arial"/>
                <w:sz w:val="18"/>
              </w:rPr>
              <w:t>0.45</w:t>
            </w:r>
          </w:p>
        </w:tc>
        <w:tc>
          <w:tcPr>
            <w:tcW w:type="dxa" w:w="2257"/>
            <w:shd w:fill="F2F6FC" w:val="clear"/>
          </w:tcPr>
          <w:p>
            <w:r>
              <w:rPr>
                <w:rFonts w:ascii="Arial" w:hAnsi="Arial"/>
                <w:sz w:val="18"/>
              </w:rPr>
              <w:t>±55%</w:t>
            </w:r>
          </w:p>
        </w:tc>
      </w:tr>
    </w:tbl>
    <w:p/>
    <w:p>
      <w:pPr>
        <w:spacing w:after="160" w:line="276" w:lineRule="auto"/>
      </w:pPr>
      <w:r>
        <w:rPr>
          <w:rFonts w:ascii="Arial" w:hAnsi="Arial"/>
          <w:b/>
          <w:sz w:val="22"/>
        </w:rPr>
        <w:t>A.5 Intensity Metrics</w:t>
      </w:r>
    </w:p>
    <w:p>
      <w:r>
        <w:rPr>
          <w:rFonts w:ascii="Arial" w:hAnsi="Arial"/>
          <w:b/>
          <w:sz w:val="20"/>
        </w:rPr>
        <w:t>Table 71: Intensity Metric Definitions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Formula</w:t>
            </w:r>
          </w:p>
        </w:tc>
        <w:tc>
          <w:tcPr>
            <w:tcW w:type="dxa" w:w="2257"/>
            <w:shd w:fill="1B3A6B" w:val="clear"/>
          </w:tcPr>
          <w:p>
            <w:r>
              <w:rPr>
                <w:rFonts w:ascii="Arial" w:hAnsi="Arial"/>
                <w:b/>
                <w:color w:val="FFFFFF"/>
                <w:sz w:val="18"/>
              </w:rPr>
              <w:t>Scope</w:t>
            </w:r>
          </w:p>
        </w:tc>
        <w:tc>
          <w:tcPr>
            <w:tcW w:type="dxa" w:w="2257"/>
            <w:shd w:fill="1B3A6B" w:val="clear"/>
          </w:tcPr>
          <w:p>
            <w:r>
              <w:rPr>
                <w:rFonts w:ascii="Arial" w:hAnsi="Arial"/>
                <w:b/>
                <w:color w:val="FFFFFF"/>
                <w:sz w:val="18"/>
              </w:rPr>
              <w:t>Denominator Source</w:t>
            </w:r>
          </w:p>
        </w:tc>
      </w:tr>
      <w:tr>
        <w:tc>
          <w:tcPr>
            <w:tcW w:type="dxa" w:w="2257"/>
          </w:tcPr>
          <w:p>
            <w:r>
              <w:rPr>
                <w:rFonts w:ascii="Arial" w:hAnsi="Arial"/>
                <w:sz w:val="18"/>
              </w:rPr>
              <w:t>Revenue Intensity</w:t>
            </w:r>
          </w:p>
        </w:tc>
        <w:tc>
          <w:tcPr>
            <w:tcW w:type="dxa" w:w="2257"/>
          </w:tcPr>
          <w:p>
            <w:r>
              <w:rPr>
                <w:rFonts w:ascii="Arial" w:hAnsi="Arial"/>
                <w:sz w:val="18"/>
              </w:rPr>
              <w:t>Total Emissions / Revenue</w:t>
            </w:r>
          </w:p>
        </w:tc>
        <w:tc>
          <w:tcPr>
            <w:tcW w:type="dxa" w:w="2257"/>
          </w:tcPr>
          <w:p>
            <w:r>
              <w:rPr>
                <w:rFonts w:ascii="Arial" w:hAnsi="Arial"/>
                <w:sz w:val="18"/>
              </w:rPr>
              <w:t>Scope 1+2+3</w:t>
            </w:r>
          </w:p>
        </w:tc>
        <w:tc>
          <w:tcPr>
            <w:tcW w:type="dxa" w:w="2257"/>
          </w:tcPr>
          <w:p>
            <w:r>
              <w:rPr>
                <w:rFonts w:ascii="Arial" w:hAnsi="Arial"/>
                <w:sz w:val="18"/>
              </w:rPr>
              <w:t>Audited financial statements</w:t>
            </w:r>
          </w:p>
        </w:tc>
      </w:tr>
      <w:tr>
        <w:tc>
          <w:tcPr>
            <w:tcW w:type="dxa" w:w="2257"/>
            <w:shd w:fill="F2F6FC" w:val="clear"/>
          </w:tcPr>
          <w:p>
            <w:r>
              <w:rPr>
                <w:rFonts w:ascii="Arial" w:hAnsi="Arial"/>
                <w:sz w:val="18"/>
              </w:rPr>
              <w:t>FTE Intensity</w:t>
            </w:r>
          </w:p>
        </w:tc>
        <w:tc>
          <w:tcPr>
            <w:tcW w:type="dxa" w:w="2257"/>
            <w:shd w:fill="F2F6FC" w:val="clear"/>
          </w:tcPr>
          <w:p>
            <w:r>
              <w:rPr>
                <w:rFonts w:ascii="Arial" w:hAnsi="Arial"/>
                <w:sz w:val="18"/>
              </w:rPr>
              <w:t>Operational Emissions / FTE</w:t>
            </w:r>
          </w:p>
        </w:tc>
        <w:tc>
          <w:tcPr>
            <w:tcW w:type="dxa" w:w="2257"/>
            <w:shd w:fill="F2F6FC" w:val="clear"/>
          </w:tcPr>
          <w:p>
            <w:r>
              <w:rPr>
                <w:rFonts w:ascii="Arial" w:hAnsi="Arial"/>
                <w:sz w:val="18"/>
              </w:rPr>
              <w:t>Scope 1+2 only</w:t>
            </w:r>
          </w:p>
        </w:tc>
        <w:tc>
          <w:tcPr>
            <w:tcW w:type="dxa" w:w="2257"/>
            <w:shd w:fill="F2F6FC" w:val="clear"/>
          </w:tcPr>
          <w:p>
            <w:r>
              <w:rPr>
                <w:rFonts w:ascii="Arial" w:hAnsi="Arial"/>
                <w:sz w:val="18"/>
              </w:rPr>
              <w:t>HR system headcount</w:t>
            </w:r>
          </w:p>
        </w:tc>
      </w:tr>
    </w:tbl>
    <w:p/>
    <w:p>
      <w:r>
        <w:br w:type="page"/>
      </w:r>
    </w:p>
    <w:p>
      <w:pPr>
        <w:pStyle w:val="Heading1"/>
        <w:keepNext/>
        <w:spacing w:before="480" w:after="240"/>
      </w:pPr>
      <w:r>
        <w:rPr>
          <w:rFonts w:ascii="Arial" w:hAnsi="Arial"/>
          <w:b/>
          <w:color w:val="1B3A6B"/>
          <w:sz w:val="36"/>
        </w:rPr>
        <w:t>Appendix B: Data Quality &amp; Assurance Statement</w:t>
      </w:r>
    </w:p>
    <w:p>
      <w:pPr>
        <w:spacing w:after="160" w:line="276" w:lineRule="auto"/>
      </w:pPr>
      <w:r>
        <w:t>Data quality is assessed using the PCAF data quality scoring framework (1-5) for financed emissions and GHG Protocol quality indicators for operational emissions. This report has NOT been subject to external assurance. Third-party limited assurance is recommended for future reporting cycles.</w:t>
      </w:r>
    </w:p>
    <w:p>
      <w:r>
        <w:rPr>
          <w:rFonts w:ascii="Arial" w:hAnsi="Arial"/>
          <w:b/>
          <w:sz w:val="20"/>
        </w:rPr>
        <w:t>Table 72: Operational Data Quality Assessment</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Quality Tier</w:t>
            </w:r>
          </w:p>
        </w:tc>
        <w:tc>
          <w:tcPr>
            <w:tcW w:type="dxa" w:w="3010"/>
            <w:shd w:fill="1B3A6B" w:val="clear"/>
          </w:tcPr>
          <w:p>
            <w:r>
              <w:rPr>
                <w:rFonts w:ascii="Arial" w:hAnsi="Arial"/>
                <w:b/>
                <w:color w:val="FFFFFF"/>
                <w:sz w:val="18"/>
              </w:rPr>
              <w:t>Criteria</w:t>
            </w:r>
          </w:p>
        </w:tc>
        <w:tc>
          <w:tcPr>
            <w:tcW w:type="dxa" w:w="3010"/>
            <w:shd w:fill="1B3A6B" w:val="clear"/>
          </w:tcPr>
          <w:p>
            <w:r>
              <w:rPr>
                <w:rFonts w:ascii="Arial" w:hAnsi="Arial"/>
                <w:b/>
                <w:color w:val="FFFFFF"/>
                <w:sz w:val="18"/>
              </w:rPr>
              <w:t>Description</w:t>
            </w:r>
          </w:p>
        </w:tc>
      </w:tr>
      <w:tr>
        <w:tc>
          <w:tcPr>
            <w:tcW w:type="dxa" w:w="3010"/>
          </w:tcPr>
          <w:p>
            <w:r>
              <w:rPr>
                <w:rFonts w:ascii="Arial" w:hAnsi="Arial"/>
                <w:sz w:val="18"/>
              </w:rPr>
              <w:t>1 (High)</w:t>
            </w:r>
          </w:p>
        </w:tc>
        <w:tc>
          <w:tcPr>
            <w:tcW w:type="dxa" w:w="3010"/>
          </w:tcPr>
          <w:p>
            <w:r>
              <w:rPr>
                <w:rFonts w:ascii="Arial" w:hAnsi="Arial"/>
                <w:sz w:val="18"/>
              </w:rPr>
              <w:t>0 imputed months</w:t>
            </w:r>
          </w:p>
        </w:tc>
        <w:tc>
          <w:tcPr>
            <w:tcW w:type="dxa" w:w="3010"/>
          </w:tcPr>
          <w:p>
            <w:r>
              <w:rPr>
                <w:rFonts w:ascii="Arial" w:hAnsi="Arial"/>
                <w:sz w:val="18"/>
              </w:rPr>
              <w:t>Complete primary data from smart meters</w:t>
            </w:r>
          </w:p>
        </w:tc>
      </w:tr>
      <w:tr>
        <w:tc>
          <w:tcPr>
            <w:tcW w:type="dxa" w:w="3010"/>
            <w:shd w:fill="F2F6FC" w:val="clear"/>
          </w:tcPr>
          <w:p>
            <w:r>
              <w:rPr>
                <w:rFonts w:ascii="Arial" w:hAnsi="Arial"/>
                <w:sz w:val="18"/>
              </w:rPr>
              <w:t>2 (Good)</w:t>
            </w:r>
          </w:p>
        </w:tc>
        <w:tc>
          <w:tcPr>
            <w:tcW w:type="dxa" w:w="3010"/>
            <w:shd w:fill="F2F6FC" w:val="clear"/>
          </w:tcPr>
          <w:p>
            <w:r>
              <w:rPr>
                <w:rFonts w:ascii="Arial" w:hAnsi="Arial"/>
                <w:sz w:val="18"/>
              </w:rPr>
              <w:t>1-2 imputed months</w:t>
            </w:r>
          </w:p>
        </w:tc>
        <w:tc>
          <w:tcPr>
            <w:tcW w:type="dxa" w:w="3010"/>
            <w:shd w:fill="F2F6FC" w:val="clear"/>
          </w:tcPr>
          <w:p>
            <w:r>
              <w:rPr>
                <w:rFonts w:ascii="Arial" w:hAnsi="Arial"/>
                <w:sz w:val="18"/>
              </w:rPr>
              <w:t>Minor gaps filled with facility-type avg</w:t>
            </w:r>
          </w:p>
        </w:tc>
      </w:tr>
      <w:tr>
        <w:tc>
          <w:tcPr>
            <w:tcW w:type="dxa" w:w="3010"/>
          </w:tcPr>
          <w:p>
            <w:r>
              <w:rPr>
                <w:rFonts w:ascii="Arial" w:hAnsi="Arial"/>
                <w:sz w:val="18"/>
              </w:rPr>
              <w:t>3 (Moderate)</w:t>
            </w:r>
          </w:p>
        </w:tc>
        <w:tc>
          <w:tcPr>
            <w:tcW w:type="dxa" w:w="3010"/>
          </w:tcPr>
          <w:p>
            <w:r>
              <w:rPr>
                <w:rFonts w:ascii="Arial" w:hAnsi="Arial"/>
                <w:sz w:val="18"/>
              </w:rPr>
              <w:t>3-5 imputed months</w:t>
            </w:r>
          </w:p>
        </w:tc>
        <w:tc>
          <w:tcPr>
            <w:tcW w:type="dxa" w:w="3010"/>
          </w:tcPr>
          <w:p>
            <w:r>
              <w:rPr>
                <w:rFonts w:ascii="Arial" w:hAnsi="Arial"/>
                <w:sz w:val="18"/>
              </w:rPr>
              <w:t>Significant estimation required</w:t>
            </w:r>
          </w:p>
        </w:tc>
      </w:tr>
      <w:tr>
        <w:tc>
          <w:tcPr>
            <w:tcW w:type="dxa" w:w="3010"/>
            <w:shd w:fill="F2F6FC" w:val="clear"/>
          </w:tcPr>
          <w:p>
            <w:r>
              <w:rPr>
                <w:rFonts w:ascii="Arial" w:hAnsi="Arial"/>
                <w:sz w:val="18"/>
              </w:rPr>
              <w:t>4 (Low)</w:t>
            </w:r>
          </w:p>
        </w:tc>
        <w:tc>
          <w:tcPr>
            <w:tcW w:type="dxa" w:w="3010"/>
            <w:shd w:fill="F2F6FC" w:val="clear"/>
          </w:tcPr>
          <w:p>
            <w:r>
              <w:rPr>
                <w:rFonts w:ascii="Arial" w:hAnsi="Arial"/>
                <w:sz w:val="18"/>
              </w:rPr>
              <w:t>6+ imputed months</w:t>
            </w:r>
          </w:p>
        </w:tc>
        <w:tc>
          <w:tcPr>
            <w:tcW w:type="dxa" w:w="3010"/>
            <w:shd w:fill="F2F6FC" w:val="clear"/>
          </w:tcPr>
          <w:p>
            <w:r>
              <w:rPr>
                <w:rFonts w:ascii="Arial" w:hAnsi="Arial"/>
                <w:sz w:val="18"/>
              </w:rPr>
              <w:t>Majority estimated — improvement needed</w:t>
            </w:r>
          </w:p>
        </w:tc>
      </w:tr>
    </w:tbl>
    <w:p/>
    <w:p>
      <w:pPr>
        <w:spacing w:after="160" w:line="276" w:lineRule="auto"/>
      </w:pPr>
      <w:r>
        <w:t>Improvement Plan: Target 100% smart meter coverage across all facilities by Q4 2025. Monthly automated data ingestion via utility API integration in development.</w:t>
      </w:r>
    </w:p>
    <w:p>
      <w:r>
        <w:br w:type="page"/>
      </w:r>
    </w:p>
    <w:p>
      <w:pPr>
        <w:pStyle w:val="Heading1"/>
        <w:keepNext/>
        <w:spacing w:before="480" w:after="240"/>
      </w:pPr>
      <w:r>
        <w:rPr>
          <w:rFonts w:ascii="Arial" w:hAnsi="Arial"/>
          <w:b/>
          <w:color w:val="1B3A6B"/>
          <w:sz w:val="36"/>
        </w:rPr>
        <w:t>Appendix C: Sector Classification &amp; PCAF Mapping</w:t>
      </w:r>
    </w:p>
    <w:p>
      <w:pPr>
        <w:spacing w:after="160" w:line="276" w:lineRule="auto"/>
      </w:pPr>
      <w:r>
        <w:t>Sector classification follows NACE Rev. 2 codes mapped to PCAF asset classes. All productive loans in the portfolio are classified into one of the sectors below.</w:t>
      </w:r>
    </w:p>
    <w:p>
      <w:r>
        <w:rPr>
          <w:rFonts w:ascii="Arial" w:hAnsi="Arial"/>
          <w:b/>
          <w:sz w:val="20"/>
        </w:rPr>
        <w:t>Table 73: PCAF Sector Classification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NACE Code</w:t>
            </w:r>
          </w:p>
        </w:tc>
        <w:tc>
          <w:tcPr>
            <w:tcW w:type="dxa" w:w="2257"/>
            <w:shd w:fill="1B3A6B" w:val="clear"/>
          </w:tcPr>
          <w:p>
            <w:r>
              <w:rPr>
                <w:rFonts w:ascii="Arial" w:hAnsi="Arial"/>
                <w:b/>
                <w:color w:val="FFFFFF"/>
                <w:sz w:val="18"/>
              </w:rPr>
              <w:t>Sector</w:t>
            </w:r>
          </w:p>
        </w:tc>
        <w:tc>
          <w:tcPr>
            <w:tcW w:type="dxa" w:w="2257"/>
            <w:shd w:fill="1B3A6B" w:val="clear"/>
          </w:tcPr>
          <w:p>
            <w:r>
              <w:rPr>
                <w:rFonts w:ascii="Arial" w:hAnsi="Arial"/>
                <w:b/>
                <w:color w:val="FFFFFF"/>
                <w:sz w:val="18"/>
              </w:rPr>
              <w:t>PCAF Asset Class</w:t>
            </w:r>
          </w:p>
        </w:tc>
        <w:tc>
          <w:tcPr>
            <w:tcW w:type="dxa" w:w="2257"/>
            <w:shd w:fill="1B3A6B" w:val="clear"/>
          </w:tcPr>
          <w:p>
            <w:r>
              <w:rPr>
                <w:rFonts w:ascii="Arial" w:hAnsi="Arial"/>
                <w:b/>
                <w:color w:val="FFFFFF"/>
                <w:sz w:val="18"/>
              </w:rPr>
              <w:t>Emission Factor Source</w:t>
            </w:r>
          </w:p>
        </w:tc>
      </w:tr>
      <w:tr>
        <w:tc>
          <w:tcPr>
            <w:tcW w:type="dxa" w:w="2257"/>
          </w:tcPr>
          <w:p>
            <w:r>
              <w:rPr>
                <w:rFonts w:ascii="Arial" w:hAnsi="Arial"/>
                <w:sz w:val="18"/>
              </w:rPr>
              <w:t>B.06</w:t>
            </w:r>
          </w:p>
        </w:tc>
        <w:tc>
          <w:tcPr>
            <w:tcW w:type="dxa" w:w="2257"/>
          </w:tcPr>
          <w:p>
            <w:r>
              <w:rPr>
                <w:rFonts w:ascii="Arial" w:hAnsi="Arial"/>
                <w:sz w:val="18"/>
              </w:rPr>
              <w:t>Energy — Oil &amp; Gas</w:t>
            </w:r>
          </w:p>
        </w:tc>
        <w:tc>
          <w:tcPr>
            <w:tcW w:type="dxa" w:w="2257"/>
          </w:tcPr>
          <w:p>
            <w:r>
              <w:rPr>
                <w:rFonts w:ascii="Arial" w:hAnsi="Arial"/>
                <w:sz w:val="18"/>
              </w:rPr>
              <w:t>Business Loans</w:t>
            </w:r>
          </w:p>
        </w:tc>
        <w:tc>
          <w:tcPr>
            <w:tcW w:type="dxa" w:w="2257"/>
          </w:tcPr>
          <w:p>
            <w:r>
              <w:rPr>
                <w:rFonts w:ascii="Arial" w:hAnsi="Arial"/>
                <w:sz w:val="18"/>
              </w:rPr>
              <w:t>CDP / Company Reports</w:t>
            </w:r>
          </w:p>
        </w:tc>
      </w:tr>
      <w:tr>
        <w:tc>
          <w:tcPr>
            <w:tcW w:type="dxa" w:w="2257"/>
            <w:shd w:fill="F2F6FC" w:val="clear"/>
          </w:tcPr>
          <w:p>
            <w:r>
              <w:rPr>
                <w:rFonts w:ascii="Arial" w:hAnsi="Arial"/>
                <w:sz w:val="18"/>
              </w:rPr>
              <w:t>C.23</w:t>
            </w:r>
          </w:p>
        </w:tc>
        <w:tc>
          <w:tcPr>
            <w:tcW w:type="dxa" w:w="2257"/>
            <w:shd w:fill="F2F6FC" w:val="clear"/>
          </w:tcPr>
          <w:p>
            <w:r>
              <w:rPr>
                <w:rFonts w:ascii="Arial" w:hAnsi="Arial"/>
                <w:sz w:val="18"/>
              </w:rPr>
              <w:t>Manufacturing — Cement</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C.24</w:t>
            </w:r>
          </w:p>
        </w:tc>
        <w:tc>
          <w:tcPr>
            <w:tcW w:type="dxa" w:w="2257"/>
          </w:tcPr>
          <w:p>
            <w:r>
              <w:rPr>
                <w:rFonts w:ascii="Arial" w:hAnsi="Arial"/>
                <w:sz w:val="18"/>
              </w:rPr>
              <w:t>Manufacturing — Steel</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C.10</w:t>
            </w:r>
          </w:p>
        </w:tc>
        <w:tc>
          <w:tcPr>
            <w:tcW w:type="dxa" w:w="2257"/>
            <w:shd w:fill="F2F6FC" w:val="clear"/>
          </w:tcPr>
          <w:p>
            <w:r>
              <w:rPr>
                <w:rFonts w:ascii="Arial" w:hAnsi="Arial"/>
                <w:sz w:val="18"/>
              </w:rPr>
              <w:t>Manufacturing — Food</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L.68</w:t>
            </w:r>
          </w:p>
        </w:tc>
        <w:tc>
          <w:tcPr>
            <w:tcW w:type="dxa" w:w="2257"/>
          </w:tcPr>
          <w:p>
            <w:r>
              <w:rPr>
                <w:rFonts w:ascii="Arial" w:hAnsi="Arial"/>
                <w:sz w:val="18"/>
              </w:rPr>
              <w:t>Real Estate — Commercial</w:t>
            </w:r>
          </w:p>
        </w:tc>
        <w:tc>
          <w:tcPr>
            <w:tcW w:type="dxa" w:w="2257"/>
          </w:tcPr>
          <w:p>
            <w:r>
              <w:rPr>
                <w:rFonts w:ascii="Arial" w:hAnsi="Arial"/>
                <w:sz w:val="18"/>
              </w:rPr>
              <w:t>Commercial Real Estate</w:t>
            </w:r>
          </w:p>
        </w:tc>
        <w:tc>
          <w:tcPr>
            <w:tcW w:type="dxa" w:w="2257"/>
          </w:tcPr>
          <w:p>
            <w:r>
              <w:rPr>
                <w:rFonts w:ascii="Arial" w:hAnsi="Arial"/>
                <w:sz w:val="18"/>
              </w:rPr>
              <w:t>Building EPC</w:t>
            </w:r>
          </w:p>
        </w:tc>
      </w:tr>
      <w:tr>
        <w:tc>
          <w:tcPr>
            <w:tcW w:type="dxa" w:w="2257"/>
            <w:shd w:fill="F2F6FC" w:val="clear"/>
          </w:tcPr>
          <w:p>
            <w:r>
              <w:rPr>
                <w:rFonts w:ascii="Arial" w:hAnsi="Arial"/>
                <w:sz w:val="18"/>
              </w:rPr>
              <w:t>L.68.2</w:t>
            </w:r>
          </w:p>
        </w:tc>
        <w:tc>
          <w:tcPr>
            <w:tcW w:type="dxa" w:w="2257"/>
            <w:shd w:fill="F2F6FC" w:val="clear"/>
          </w:tcPr>
          <w:p>
            <w:r>
              <w:rPr>
                <w:rFonts w:ascii="Arial" w:hAnsi="Arial"/>
                <w:sz w:val="18"/>
              </w:rPr>
              <w:t>Real Estate — Residential</w:t>
            </w:r>
          </w:p>
        </w:tc>
        <w:tc>
          <w:tcPr>
            <w:tcW w:type="dxa" w:w="2257"/>
            <w:shd w:fill="F2F6FC" w:val="clear"/>
          </w:tcPr>
          <w:p>
            <w:r>
              <w:rPr>
                <w:rFonts w:ascii="Arial" w:hAnsi="Arial"/>
                <w:sz w:val="18"/>
              </w:rPr>
              <w:t>Mortgages</w:t>
            </w:r>
          </w:p>
        </w:tc>
        <w:tc>
          <w:tcPr>
            <w:tcW w:type="dxa" w:w="2257"/>
            <w:shd w:fill="F2F6FC" w:val="clear"/>
          </w:tcPr>
          <w:p>
            <w:r>
              <w:rPr>
                <w:rFonts w:ascii="Arial" w:hAnsi="Arial"/>
                <w:sz w:val="18"/>
              </w:rPr>
              <w:t>Building EPC</w:t>
            </w:r>
          </w:p>
        </w:tc>
      </w:tr>
      <w:tr>
        <w:tc>
          <w:tcPr>
            <w:tcW w:type="dxa" w:w="2257"/>
          </w:tcPr>
          <w:p>
            <w:r>
              <w:rPr>
                <w:rFonts w:ascii="Arial" w:hAnsi="Arial"/>
                <w:sz w:val="18"/>
              </w:rPr>
              <w:t>H.49</w:t>
            </w:r>
          </w:p>
        </w:tc>
        <w:tc>
          <w:tcPr>
            <w:tcW w:type="dxa" w:w="2257"/>
          </w:tcPr>
          <w:p>
            <w:r>
              <w:rPr>
                <w:rFonts w:ascii="Arial" w:hAnsi="Arial"/>
                <w:sz w:val="18"/>
              </w:rPr>
              <w:t>Transportation — Road</w:t>
            </w:r>
          </w:p>
        </w:tc>
        <w:tc>
          <w:tcPr>
            <w:tcW w:type="dxa" w:w="2257"/>
          </w:tcPr>
          <w:p>
            <w:r>
              <w:rPr>
                <w:rFonts w:ascii="Arial" w:hAnsi="Arial"/>
                <w:sz w:val="18"/>
              </w:rPr>
              <w:t>Business Loans</w:t>
            </w:r>
          </w:p>
        </w:tc>
        <w:tc>
          <w:tcPr>
            <w:tcW w:type="dxa" w:w="2257"/>
          </w:tcPr>
          <w:p>
            <w:r>
              <w:rPr>
                <w:rFonts w:ascii="Arial" w:hAnsi="Arial"/>
                <w:sz w:val="18"/>
              </w:rPr>
              <w:t>Company Reports</w:t>
            </w:r>
          </w:p>
        </w:tc>
      </w:tr>
      <w:tr>
        <w:tc>
          <w:tcPr>
            <w:tcW w:type="dxa" w:w="2257"/>
            <w:shd w:fill="F2F6FC" w:val="clear"/>
          </w:tcPr>
          <w:p>
            <w:r>
              <w:rPr>
                <w:rFonts w:ascii="Arial" w:hAnsi="Arial"/>
                <w:sz w:val="18"/>
              </w:rPr>
              <w:t>A.01</w:t>
            </w:r>
          </w:p>
        </w:tc>
        <w:tc>
          <w:tcPr>
            <w:tcW w:type="dxa" w:w="2257"/>
            <w:shd w:fill="F2F6FC" w:val="clear"/>
          </w:tcPr>
          <w:p>
            <w:r>
              <w:rPr>
                <w:rFonts w:ascii="Arial" w:hAnsi="Arial"/>
                <w:sz w:val="18"/>
              </w:rPr>
              <w:t>Agriculture</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G.47</w:t>
            </w:r>
          </w:p>
        </w:tc>
        <w:tc>
          <w:tcPr>
            <w:tcW w:type="dxa" w:w="2257"/>
          </w:tcPr>
          <w:p>
            <w:r>
              <w:rPr>
                <w:rFonts w:ascii="Arial" w:hAnsi="Arial"/>
                <w:sz w:val="18"/>
              </w:rPr>
              <w:t>Retail Trade</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K.64</w:t>
            </w:r>
          </w:p>
        </w:tc>
        <w:tc>
          <w:tcPr>
            <w:tcW w:type="dxa" w:w="2257"/>
            <w:shd w:fill="F2F6FC" w:val="clear"/>
          </w:tcPr>
          <w:p>
            <w:r>
              <w:rPr>
                <w:rFonts w:ascii="Arial" w:hAnsi="Arial"/>
                <w:sz w:val="18"/>
              </w:rPr>
              <w:t>Financial Services</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Company Reports</w:t>
            </w:r>
          </w:p>
        </w:tc>
      </w:tr>
    </w:tbl>
    <w:p/>
    <w:p>
      <w:r>
        <w:br w:type="page"/>
      </w:r>
    </w:p>
    <w:p>
      <w:pPr>
        <w:pStyle w:val="Heading1"/>
        <w:keepNext/>
        <w:spacing w:before="480" w:after="240"/>
      </w:pPr>
      <w:r>
        <w:rPr>
          <w:rFonts w:ascii="Arial" w:hAnsi="Arial"/>
          <w:b/>
          <w:color w:val="1B3A6B"/>
          <w:sz w:val="36"/>
        </w:rPr>
        <w:t>Appendix D: GRI Content Index</w:t>
      </w:r>
    </w:p>
    <w:p>
      <w:pPr>
        <w:spacing w:after="160" w:line="276" w:lineRule="auto"/>
      </w:pPr>
      <w:r>
        <w:t>This report has been prepared with reference to the GRI Standards (2021). GRI 102: Climate Change 2025 supersedes GRI 305 effective 1 January 2027.</w:t>
      </w:r>
    </w:p>
    <w:p>
      <w:r>
        <w:rPr>
          <w:rFonts w:ascii="Arial" w:hAnsi="Arial"/>
          <w:b/>
          <w:sz w:val="20"/>
        </w:rPr>
        <w:t>Table 74: 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2-7</w:t>
            </w:r>
          </w:p>
        </w:tc>
        <w:tc>
          <w:tcPr>
            <w:tcW w:type="dxa" w:w="2257"/>
          </w:tcPr>
          <w:p>
            <w:r>
              <w:rPr>
                <w:rFonts w:ascii="Arial" w:hAnsi="Arial"/>
                <w:sz w:val="18"/>
              </w:rPr>
              <w:t>Employees</w:t>
            </w:r>
          </w:p>
        </w:tc>
        <w:tc>
          <w:tcPr>
            <w:tcW w:type="dxa" w:w="2257"/>
          </w:tcPr>
          <w:p>
            <w:r>
              <w:rPr>
                <w:rFonts w:ascii="Arial" w:hAnsi="Arial"/>
                <w:sz w:val="18"/>
              </w:rPr>
              <w:t>Social</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Direct (Scope 1) GHG emissions</w:t>
            </w:r>
          </w:p>
        </w:tc>
        <w:tc>
          <w:tcPr>
            <w:tcW w:type="dxa" w:w="2257"/>
            <w:shd w:fill="F2F6FC" w:val="clear"/>
          </w:tcPr>
          <w:p>
            <w:r>
              <w:rPr>
                <w:rFonts w:ascii="Arial" w:hAnsi="Arial"/>
                <w:sz w:val="18"/>
              </w:rPr>
              <w:t>Scope 1</w:t>
            </w:r>
          </w:p>
        </w:tc>
        <w:tc>
          <w:tcPr>
            <w:tcW w:type="dxa" w:w="2257"/>
            <w:shd w:fill="F2F6FC" w:val="clear"/>
          </w:tcPr>
          <w:p>
            <w:r>
              <w:rPr>
                <w:rFonts w:ascii="Arial" w:hAnsi="Arial"/>
                <w:sz w:val="18"/>
              </w:rPr>
              <w:t>✅ Disclosed</w:t>
            </w:r>
          </w:p>
        </w:tc>
      </w:tr>
      <w:tr>
        <w:tc>
          <w:tcPr>
            <w:tcW w:type="dxa" w:w="2257"/>
          </w:tcPr>
          <w:p>
            <w:r>
              <w:rPr>
                <w:rFonts w:ascii="Arial" w:hAnsi="Arial"/>
                <w:sz w:val="18"/>
              </w:rPr>
              <w:t>GRI 305-1a</w:t>
            </w:r>
          </w:p>
        </w:tc>
        <w:tc>
          <w:tcPr>
            <w:tcW w:type="dxa" w:w="2257"/>
          </w:tcPr>
          <w:p>
            <w:r>
              <w:rPr>
                <w:rFonts w:ascii="Arial" w:hAnsi="Arial"/>
                <w:sz w:val="18"/>
              </w:rPr>
              <w:t>Gross Scope 1 in tCO₂e</w:t>
            </w:r>
          </w:p>
        </w:tc>
        <w:tc>
          <w:tcPr>
            <w:tcW w:type="dxa" w:w="2257"/>
          </w:tcPr>
          <w:p>
            <w:r>
              <w:rPr>
                <w:rFonts w:ascii="Arial" w:hAnsi="Arial"/>
                <w:sz w:val="18"/>
              </w:rPr>
              <w:t>Scope 1</w:t>
            </w:r>
          </w:p>
        </w:tc>
        <w:tc>
          <w:tcPr>
            <w:tcW w:type="dxa" w:w="2257"/>
          </w:tcPr>
          <w:p>
            <w:r>
              <w:rPr>
                <w:rFonts w:ascii="Arial" w:hAnsi="Arial"/>
                <w:sz w:val="18"/>
              </w:rPr>
              <w:t>✅ Disclosed</w:t>
            </w:r>
          </w:p>
        </w:tc>
      </w:tr>
      <w:tr>
        <w:tc>
          <w:tcPr>
            <w:tcW w:type="dxa" w:w="2257"/>
            <w:shd w:fill="F2F6FC" w:val="clear"/>
          </w:tcPr>
          <w:p>
            <w:r>
              <w:rPr>
                <w:rFonts w:ascii="Arial" w:hAnsi="Arial"/>
                <w:sz w:val="18"/>
              </w:rPr>
              <w:t>GRI 305-1b</w:t>
            </w:r>
          </w:p>
        </w:tc>
        <w:tc>
          <w:tcPr>
            <w:tcW w:type="dxa" w:w="2257"/>
            <w:shd w:fill="F2F6FC" w:val="clear"/>
          </w:tcPr>
          <w:p>
            <w:r>
              <w:rPr>
                <w:rFonts w:ascii="Arial" w:hAnsi="Arial"/>
                <w:sz w:val="18"/>
              </w:rPr>
              <w:t>Gases included (CO₂, CH₄, N₂O)</w:t>
            </w:r>
          </w:p>
        </w:tc>
        <w:tc>
          <w:tcPr>
            <w:tcW w:type="dxa" w:w="2257"/>
            <w:shd w:fill="F2F6FC" w:val="clear"/>
          </w:tcPr>
          <w:p>
            <w:r>
              <w:rPr>
                <w:rFonts w:ascii="Arial" w:hAnsi="Arial"/>
                <w:sz w:val="18"/>
              </w:rPr>
              <w:t>Scope 1</w:t>
            </w:r>
          </w:p>
        </w:tc>
        <w:tc>
          <w:tcPr>
            <w:tcW w:type="dxa" w:w="2257"/>
            <w:shd w:fill="F2F6FC" w:val="clear"/>
          </w:tcPr>
          <w:p>
            <w:r>
              <w:rPr>
                <w:rFonts w:ascii="Arial" w:hAnsi="Arial"/>
                <w:sz w:val="18"/>
              </w:rPr>
              <w:t>✅ Disclosed</w:t>
            </w:r>
          </w:p>
        </w:tc>
      </w:tr>
      <w:tr>
        <w:tc>
          <w:tcPr>
            <w:tcW w:type="dxa" w:w="2257"/>
          </w:tcPr>
          <w:p>
            <w:r>
              <w:rPr>
                <w:rFonts w:ascii="Arial" w:hAnsi="Arial"/>
                <w:sz w:val="18"/>
              </w:rPr>
              <w:t>GRI 305-1e</w:t>
            </w:r>
          </w:p>
        </w:tc>
        <w:tc>
          <w:tcPr>
            <w:tcW w:type="dxa" w:w="2257"/>
          </w:tcPr>
          <w:p>
            <w:r>
              <w:rPr>
                <w:rFonts w:ascii="Arial" w:hAnsi="Arial"/>
                <w:sz w:val="18"/>
              </w:rPr>
              <w:t>Emission factors &amp; GWP source</w:t>
            </w:r>
          </w:p>
        </w:tc>
        <w:tc>
          <w:tcPr>
            <w:tcW w:type="dxa" w:w="2257"/>
          </w:tcPr>
          <w:p>
            <w:r>
              <w:rPr>
                <w:rFonts w:ascii="Arial" w:hAnsi="Arial"/>
                <w:sz w:val="18"/>
              </w:rPr>
              <w:t>Appendix A</w:t>
            </w:r>
          </w:p>
        </w:tc>
        <w:tc>
          <w:tcPr>
            <w:tcW w:type="dxa" w:w="2257"/>
          </w:tcPr>
          <w:p>
            <w:r>
              <w:rPr>
                <w:rFonts w:ascii="Arial" w:hAnsi="Arial"/>
                <w:sz w:val="18"/>
              </w:rPr>
              <w:t>✅ Disclosed</w:t>
            </w:r>
          </w:p>
        </w:tc>
      </w:tr>
      <w:tr>
        <w:tc>
          <w:tcPr>
            <w:tcW w:type="dxa" w:w="2257"/>
            <w:shd w:fill="F2F6FC" w:val="clear"/>
          </w:tcPr>
          <w:p>
            <w:r>
              <w:rPr>
                <w:rFonts w:ascii="Arial" w:hAnsi="Arial"/>
                <w:sz w:val="18"/>
              </w:rPr>
              <w:t>GRI 305-1f</w:t>
            </w:r>
          </w:p>
        </w:tc>
        <w:tc>
          <w:tcPr>
            <w:tcW w:type="dxa" w:w="2257"/>
            <w:shd w:fill="F2F6FC" w:val="clear"/>
          </w:tcPr>
          <w:p>
            <w:r>
              <w:rPr>
                <w:rFonts w:ascii="Arial" w:hAnsi="Arial"/>
                <w:sz w:val="18"/>
              </w:rPr>
              <w:t>Consolidation approach</w:t>
            </w:r>
          </w:p>
        </w:tc>
        <w:tc>
          <w:tcPr>
            <w:tcW w:type="dxa" w:w="2257"/>
            <w:shd w:fill="F2F6FC" w:val="clear"/>
          </w:tcPr>
          <w:p>
            <w:r>
              <w:rPr>
                <w:rFonts w:ascii="Arial" w:hAnsi="Arial"/>
                <w:sz w:val="18"/>
              </w:rPr>
              <w:t>Appendix A</w:t>
            </w:r>
          </w:p>
        </w:tc>
        <w:tc>
          <w:tcPr>
            <w:tcW w:type="dxa" w:w="2257"/>
            <w:shd w:fill="F2F6FC" w:val="clear"/>
          </w:tcPr>
          <w:p>
            <w:r>
              <w:rPr>
                <w:rFonts w:ascii="Arial" w:hAnsi="Arial"/>
                <w:sz w:val="18"/>
              </w:rPr>
              <w:t>✅ Disclosed</w:t>
            </w:r>
          </w:p>
        </w:tc>
      </w:tr>
      <w:tr>
        <w:tc>
          <w:tcPr>
            <w:tcW w:type="dxa" w:w="2257"/>
          </w:tcPr>
          <w:p>
            <w:r>
              <w:rPr>
                <w:rFonts w:ascii="Arial" w:hAnsi="Arial"/>
                <w:sz w:val="18"/>
              </w:rPr>
              <w:t>GRI 305-1g</w:t>
            </w:r>
          </w:p>
        </w:tc>
        <w:tc>
          <w:tcPr>
            <w:tcW w:type="dxa" w:w="2257"/>
          </w:tcPr>
          <w:p>
            <w:r>
              <w:rPr>
                <w:rFonts w:ascii="Arial" w:hAnsi="Arial"/>
                <w:sz w:val="18"/>
              </w:rPr>
              <w:t>Standards used</w:t>
            </w:r>
          </w:p>
        </w:tc>
        <w:tc>
          <w:tcPr>
            <w:tcW w:type="dxa" w:w="2257"/>
          </w:tcPr>
          <w:p>
            <w:r>
              <w:rPr>
                <w:rFonts w:ascii="Arial" w:hAnsi="Arial"/>
                <w:sz w:val="18"/>
              </w:rPr>
              <w:t>Appendix A</w:t>
            </w:r>
          </w:p>
        </w:tc>
        <w:tc>
          <w:tcPr>
            <w:tcW w:type="dxa" w:w="2257"/>
          </w:tcPr>
          <w:p>
            <w:r>
              <w:rPr>
                <w:rFonts w:ascii="Arial" w:hAnsi="Arial"/>
                <w:sz w:val="18"/>
              </w:rPr>
              <w:t>✅ Disclosed</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w:t>
            </w:r>
          </w:p>
        </w:tc>
        <w:tc>
          <w:tcPr>
            <w:tcW w:type="dxa" w:w="2257"/>
            <w:shd w:fill="F2F6FC" w:val="clear"/>
          </w:tcPr>
          <w:p>
            <w:r>
              <w:rPr>
                <w:rFonts w:ascii="Arial" w:hAnsi="Arial"/>
                <w:sz w:val="18"/>
              </w:rPr>
              <w:t>Scope 2</w:t>
            </w:r>
          </w:p>
        </w:tc>
        <w:tc>
          <w:tcPr>
            <w:tcW w:type="dxa" w:w="2257"/>
            <w:shd w:fill="F2F6FC" w:val="clear"/>
          </w:tcPr>
          <w:p>
            <w:r>
              <w:rPr>
                <w:rFonts w:ascii="Arial" w:hAnsi="Arial"/>
                <w:sz w:val="18"/>
              </w:rPr>
              <w:t>✅ Disclosed</w:t>
            </w:r>
          </w:p>
        </w:tc>
      </w:tr>
      <w:tr>
        <w:tc>
          <w:tcPr>
            <w:tcW w:type="dxa" w:w="2257"/>
          </w:tcPr>
          <w:p>
            <w:r>
              <w:rPr>
                <w:rFonts w:ascii="Arial" w:hAnsi="Arial"/>
                <w:sz w:val="18"/>
              </w:rPr>
              <w:t>GRI 305-2a</w:t>
            </w:r>
          </w:p>
        </w:tc>
        <w:tc>
          <w:tcPr>
            <w:tcW w:type="dxa" w:w="2257"/>
          </w:tcPr>
          <w:p>
            <w:r>
              <w:rPr>
                <w:rFonts w:ascii="Arial" w:hAnsi="Arial"/>
                <w:sz w:val="18"/>
              </w:rPr>
              <w:t>Location-based + Market-based</w:t>
            </w:r>
          </w:p>
        </w:tc>
        <w:tc>
          <w:tcPr>
            <w:tcW w:type="dxa" w:w="2257"/>
          </w:tcPr>
          <w:p>
            <w:r>
              <w:rPr>
                <w:rFonts w:ascii="Arial" w:hAnsi="Arial"/>
                <w:sz w:val="18"/>
              </w:rPr>
              <w:t>Scope 2</w:t>
            </w:r>
          </w:p>
        </w:tc>
        <w:tc>
          <w:tcPr>
            <w:tcW w:type="dxa" w:w="2257"/>
          </w:tcPr>
          <w:p>
            <w:r>
              <w:rPr>
                <w:rFonts w:ascii="Arial" w:hAnsi="Arial"/>
                <w:sz w:val="18"/>
              </w:rPr>
              <w:t>✅ Disclosed</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Other indirect (Scope 3)</w:t>
            </w:r>
          </w:p>
        </w:tc>
        <w:tc>
          <w:tcPr>
            <w:tcW w:type="dxa" w:w="2257"/>
            <w:shd w:fill="F2F6FC" w:val="clear"/>
          </w:tcPr>
          <w:p>
            <w:r>
              <w:rPr>
                <w:rFonts w:ascii="Arial" w:hAnsi="Arial"/>
                <w:sz w:val="18"/>
              </w:rPr>
              <w:t>PCAF / Scope 3</w:t>
            </w:r>
          </w:p>
        </w:tc>
        <w:tc>
          <w:tcPr>
            <w:tcW w:type="dxa" w:w="2257"/>
            <w:shd w:fill="F2F6FC" w:val="clear"/>
          </w:tcPr>
          <w:p>
            <w:r>
              <w:rPr>
                <w:rFonts w:ascii="Arial" w:hAnsi="Arial"/>
                <w:sz w:val="18"/>
              </w:rPr>
              <w:t>✅ Disclosed</w:t>
            </w:r>
          </w:p>
        </w:tc>
      </w:tr>
      <w:tr>
        <w:tc>
          <w:tcPr>
            <w:tcW w:type="dxa" w:w="2257"/>
          </w:tcPr>
          <w:p>
            <w:r>
              <w:rPr>
                <w:rFonts w:ascii="Arial" w:hAnsi="Arial"/>
                <w:sz w:val="18"/>
              </w:rPr>
              <w:t>GRI 305-3a</w:t>
            </w:r>
          </w:p>
        </w:tc>
        <w:tc>
          <w:tcPr>
            <w:tcW w:type="dxa" w:w="2257"/>
          </w:tcPr>
          <w:p>
            <w:r>
              <w:rPr>
                <w:rFonts w:ascii="Arial" w:hAnsi="Arial"/>
                <w:sz w:val="18"/>
              </w:rPr>
              <w:t>Category 15: Investments (PCAF)</w:t>
            </w:r>
          </w:p>
        </w:tc>
        <w:tc>
          <w:tcPr>
            <w:tcW w:type="dxa" w:w="2257"/>
          </w:tcPr>
          <w:p>
            <w:r>
              <w:rPr>
                <w:rFonts w:ascii="Arial" w:hAnsi="Arial"/>
                <w:sz w:val="18"/>
              </w:rPr>
              <w:t>PCAF / Scope 3</w:t>
            </w:r>
          </w:p>
        </w:tc>
        <w:tc>
          <w:tcPr>
            <w:tcW w:type="dxa" w:w="2257"/>
          </w:tcPr>
          <w:p>
            <w:r>
              <w:rPr>
                <w:rFonts w:ascii="Arial" w:hAnsi="Arial"/>
                <w:sz w:val="18"/>
              </w:rPr>
              <w:t>✅ Disclosed</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Intensity</w:t>
            </w:r>
          </w:p>
        </w:tc>
        <w:tc>
          <w:tcPr>
            <w:tcW w:type="dxa" w:w="2257"/>
            <w:shd w:fill="F2F6FC" w:val="clear"/>
          </w:tcPr>
          <w:p>
            <w:r>
              <w:rPr>
                <w:rFonts w:ascii="Arial" w:hAnsi="Arial"/>
                <w:sz w:val="18"/>
              </w:rPr>
              <w:t>✅ Disclosed</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Reduction</w:t>
            </w:r>
          </w:p>
        </w:tc>
        <w:tc>
          <w:tcPr>
            <w:tcW w:type="dxa" w:w="2257"/>
          </w:tcPr>
          <w:p>
            <w:r>
              <w:rPr>
                <w:rFonts w:ascii="Arial" w:hAnsi="Arial"/>
                <w:sz w:val="18"/>
              </w:rPr>
              <w:t>⚠️ Partial</w:t>
            </w:r>
          </w:p>
        </w:tc>
      </w:tr>
      <w:tr>
        <w:tc>
          <w:tcPr>
            <w:tcW w:type="dxa" w:w="2257"/>
            <w:shd w:fill="F2F6FC" w:val="clear"/>
          </w:tcPr>
          <w:p>
            <w:r>
              <w:rPr>
                <w:rFonts w:ascii="Arial" w:hAnsi="Arial"/>
                <w:sz w:val="18"/>
              </w:rPr>
              <w:t>GRI 401-1</w:t>
            </w:r>
          </w:p>
        </w:tc>
        <w:tc>
          <w:tcPr>
            <w:tcW w:type="dxa" w:w="2257"/>
            <w:shd w:fill="F2F6FC" w:val="clear"/>
          </w:tcPr>
          <w:p>
            <w:r>
              <w:rPr>
                <w:rFonts w:ascii="Arial" w:hAnsi="Arial"/>
                <w:sz w:val="18"/>
              </w:rPr>
              <w:t>New hires and turnover</w:t>
            </w:r>
          </w:p>
        </w:tc>
        <w:tc>
          <w:tcPr>
            <w:tcW w:type="dxa" w:w="2257"/>
            <w:shd w:fill="F2F6FC" w:val="clear"/>
          </w:tcPr>
          <w:p>
            <w:r>
              <w:rPr>
                <w:rFonts w:ascii="Arial" w:hAnsi="Arial"/>
                <w:sz w:val="18"/>
              </w:rPr>
              <w:t>Social</w:t>
            </w:r>
          </w:p>
        </w:tc>
        <w:tc>
          <w:tcPr>
            <w:tcW w:type="dxa" w:w="2257"/>
            <w:shd w:fill="F2F6FC" w:val="clear"/>
          </w:tcPr>
          <w:p>
            <w:r>
              <w:rPr>
                <w:rFonts w:ascii="Arial" w:hAnsi="Arial"/>
                <w:sz w:val="18"/>
              </w:rPr>
              <w:t>✅ Disclosed</w:t>
            </w:r>
          </w:p>
        </w:tc>
      </w:tr>
      <w:tr>
        <w:tc>
          <w:tcPr>
            <w:tcW w:type="dxa" w:w="2257"/>
          </w:tcPr>
          <w:p>
            <w:r>
              <w:rPr>
                <w:rFonts w:ascii="Arial" w:hAnsi="Arial"/>
                <w:sz w:val="18"/>
              </w:rPr>
              <w:t>GRI 404-1</w:t>
            </w:r>
          </w:p>
        </w:tc>
        <w:tc>
          <w:tcPr>
            <w:tcW w:type="dxa" w:w="2257"/>
          </w:tcPr>
          <w:p>
            <w:r>
              <w:rPr>
                <w:rFonts w:ascii="Arial" w:hAnsi="Arial"/>
                <w:sz w:val="18"/>
              </w:rPr>
              <w:t>Training hours per employee</w:t>
            </w:r>
          </w:p>
        </w:tc>
        <w:tc>
          <w:tcPr>
            <w:tcW w:type="dxa" w:w="2257"/>
          </w:tcPr>
          <w:p>
            <w:r>
              <w:rPr>
                <w:rFonts w:ascii="Arial" w:hAnsi="Arial"/>
                <w:sz w:val="18"/>
              </w:rPr>
              <w:t>Social</w:t>
            </w:r>
          </w:p>
        </w:tc>
        <w:tc>
          <w:tcPr>
            <w:tcW w:type="dxa" w:w="2257"/>
          </w:tcPr>
          <w:p>
            <w:r>
              <w:rPr>
                <w:rFonts w:ascii="Arial" w:hAnsi="Arial"/>
                <w:sz w:val="18"/>
              </w:rPr>
              <w:t>✅ Disclosed</w:t>
            </w:r>
          </w:p>
        </w:tc>
      </w:tr>
      <w:tr>
        <w:tc>
          <w:tcPr>
            <w:tcW w:type="dxa" w:w="2257"/>
            <w:shd w:fill="F2F6FC" w:val="clear"/>
          </w:tcPr>
          <w:p>
            <w:r>
              <w:rPr>
                <w:rFonts w:ascii="Arial" w:hAnsi="Arial"/>
                <w:sz w:val="18"/>
              </w:rPr>
              <w:t>GRI 405-1</w:t>
            </w:r>
          </w:p>
        </w:tc>
        <w:tc>
          <w:tcPr>
            <w:tcW w:type="dxa" w:w="2257"/>
            <w:shd w:fill="F2F6FC" w:val="clear"/>
          </w:tcPr>
          <w:p>
            <w:r>
              <w:rPr>
                <w:rFonts w:ascii="Arial" w:hAnsi="Arial"/>
                <w:sz w:val="18"/>
              </w:rPr>
              <w:t>Diversity of governance bodies</w:t>
            </w:r>
          </w:p>
        </w:tc>
        <w:tc>
          <w:tcPr>
            <w:tcW w:type="dxa" w:w="2257"/>
            <w:shd w:fill="F2F6FC" w:val="clear"/>
          </w:tcPr>
          <w:p>
            <w:r>
              <w:rPr>
                <w:rFonts w:ascii="Arial" w:hAnsi="Arial"/>
                <w:sz w:val="18"/>
              </w:rPr>
              <w:t>Social</w:t>
            </w:r>
          </w:p>
        </w:tc>
        <w:tc>
          <w:tcPr>
            <w:tcW w:type="dxa" w:w="2257"/>
            <w:shd w:fill="F2F6FC" w:val="clear"/>
          </w:tcPr>
          <w:p>
            <w:r>
              <w:rPr>
                <w:rFonts w:ascii="Arial" w:hAnsi="Arial"/>
                <w:sz w:val="18"/>
              </w:rPr>
              <w:t>✅ Disclosed</w:t>
            </w:r>
          </w:p>
        </w:tc>
      </w:tr>
      <w:tr>
        <w:tc>
          <w:tcPr>
            <w:tcW w:type="dxa" w:w="2257"/>
          </w:tcPr>
          <w:p>
            <w:r>
              <w:rPr>
                <w:rFonts w:ascii="Arial" w:hAnsi="Arial"/>
                <w:sz w:val="18"/>
              </w:rPr>
              <w:t>GRI 406-1</w:t>
            </w:r>
          </w:p>
        </w:tc>
        <w:tc>
          <w:tcPr>
            <w:tcW w:type="dxa" w:w="2257"/>
          </w:tcPr>
          <w:p>
            <w:r>
              <w:rPr>
                <w:rFonts w:ascii="Arial" w:hAnsi="Arial"/>
                <w:sz w:val="18"/>
              </w:rPr>
              <w:t>Discrimination incidents</w:t>
            </w:r>
          </w:p>
        </w:tc>
        <w:tc>
          <w:tcPr>
            <w:tcW w:type="dxa" w:w="2257"/>
          </w:tcPr>
          <w:p>
            <w:r>
              <w:rPr>
                <w:rFonts w:ascii="Arial" w:hAnsi="Arial"/>
                <w:sz w:val="18"/>
              </w:rPr>
              <w:t>Social</w:t>
            </w:r>
          </w:p>
        </w:tc>
        <w:tc>
          <w:tcPr>
            <w:tcW w:type="dxa" w:w="2257"/>
          </w:tcPr>
          <w:p>
            <w:r>
              <w:rPr>
                <w:rFonts w:ascii="Arial" w:hAnsi="Arial"/>
                <w:sz w:val="18"/>
              </w:rPr>
              <w:t>✅ Disclosed</w:t>
            </w:r>
          </w:p>
        </w:tc>
      </w:tr>
    </w:tbl>
    <w:p>
      <w:r>
        <w:rPr>
          <w:rFonts w:ascii="Arial" w:hAnsi="Arial"/>
          <w:i/>
          <w:sz w:val="16"/>
        </w:rPr>
        <w:t>Source: GRI Standards 2021. Note: GRI 102 (2025) supersedes GRI 305 from 2027.</w:t>
      </w:r>
    </w:p>
    <w:p/>
    <w:p>
      <w:r>
        <w:br w:type="page"/>
      </w:r>
    </w:p>
    <w:p>
      <w:pPr>
        <w:pStyle w:val="Heading1"/>
        <w:keepNext/>
        <w:spacing w:before="480" w:after="240"/>
      </w:pPr>
      <w:r>
        <w:rPr>
          <w:rFonts w:ascii="Arial" w:hAnsi="Arial"/>
          <w:b/>
          <w:color w:val="1B3A6B"/>
          <w:sz w:val="36"/>
        </w:rPr>
        <w:t>Appendix E: Framework Disclosure Cross-Reference</w:t>
      </w:r>
    </w:p>
    <w:p>
      <w:pPr>
        <w:spacing w:after="160" w:line="276" w:lineRule="auto"/>
      </w:pPr>
      <w:r>
        <w:t>This report simultaneously addresses requirements from four sustainability reporting frameworks. The table below maps report sections to specific disclosure requirements per framework.</w:t>
      </w:r>
    </w:p>
    <w:p>
      <w:r>
        <w:rPr>
          <w:rFonts w:ascii="Arial" w:hAnsi="Arial"/>
          <w:b/>
          <w:sz w:val="20"/>
        </w:rPr>
        <w:t>Table 75: Multi-Framework Disclosure Mapping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 Section</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Emissions</w:t>
            </w:r>
          </w:p>
        </w:tc>
        <w:tc>
          <w:tcPr>
            <w:tcW w:type="dxa" w:w="1806"/>
          </w:tcPr>
          <w:p>
            <w:r>
              <w:rPr>
                <w:rFonts w:ascii="Arial" w:hAnsi="Arial"/>
                <w:sz w:val="18"/>
              </w:rPr>
              <w:t>305-1 (a-g)</w:t>
            </w:r>
          </w:p>
        </w:tc>
        <w:tc>
          <w:tcPr>
            <w:tcW w:type="dxa" w:w="1806"/>
          </w:tcPr>
          <w:p>
            <w:r>
              <w:rPr>
                <w:rFonts w:ascii="Arial" w:hAnsi="Arial"/>
                <w:sz w:val="18"/>
              </w:rPr>
              <w:t>Para 29(a)(i)</w:t>
            </w:r>
          </w:p>
        </w:tc>
        <w:tc>
          <w:tcPr>
            <w:tcW w:type="dxa" w:w="1806"/>
          </w:tcPr>
          <w:p>
            <w:r>
              <w:rPr>
                <w:rFonts w:ascii="Arial" w:hAnsi="Arial"/>
                <w:sz w:val="18"/>
              </w:rPr>
              <w:t>DR E1-6 §44</w:t>
            </w:r>
          </w:p>
        </w:tc>
        <w:tc>
          <w:tcPr>
            <w:tcW w:type="dxa" w:w="1806"/>
          </w:tcPr>
          <w:p>
            <w:r>
              <w:rPr>
                <w:rFonts w:ascii="Arial" w:hAnsi="Arial"/>
                <w:sz w:val="18"/>
              </w:rPr>
              <w:t>Lampiran II.A.1</w:t>
            </w:r>
          </w:p>
        </w:tc>
      </w:tr>
      <w:tr>
        <w:tc>
          <w:tcPr>
            <w:tcW w:type="dxa" w:w="1806"/>
            <w:shd w:fill="F2F6FC" w:val="clear"/>
          </w:tcPr>
          <w:p>
            <w:r>
              <w:rPr>
                <w:rFonts w:ascii="Arial" w:hAnsi="Arial"/>
                <w:sz w:val="18"/>
              </w:rPr>
              <w:t>Scope 2 Emissions</w:t>
            </w:r>
          </w:p>
        </w:tc>
        <w:tc>
          <w:tcPr>
            <w:tcW w:type="dxa" w:w="1806"/>
            <w:shd w:fill="F2F6FC" w:val="clear"/>
          </w:tcPr>
          <w:p>
            <w:r>
              <w:rPr>
                <w:rFonts w:ascii="Arial" w:hAnsi="Arial"/>
                <w:sz w:val="18"/>
              </w:rPr>
              <w:t>305-2 (a-e)</w:t>
            </w:r>
          </w:p>
        </w:tc>
        <w:tc>
          <w:tcPr>
            <w:tcW w:type="dxa" w:w="1806"/>
            <w:shd w:fill="F2F6FC" w:val="clear"/>
          </w:tcPr>
          <w:p>
            <w:r>
              <w:rPr>
                <w:rFonts w:ascii="Arial" w:hAnsi="Arial"/>
                <w:sz w:val="18"/>
              </w:rPr>
              <w:t>Para 29(a)(ii)</w:t>
            </w:r>
          </w:p>
        </w:tc>
        <w:tc>
          <w:tcPr>
            <w:tcW w:type="dxa" w:w="1806"/>
            <w:shd w:fill="F2F6FC" w:val="clear"/>
          </w:tcPr>
          <w:p>
            <w:r>
              <w:rPr>
                <w:rFonts w:ascii="Arial" w:hAnsi="Arial"/>
                <w:sz w:val="18"/>
              </w:rPr>
              <w:t>DR E1-6 §47-48</w:t>
            </w:r>
          </w:p>
        </w:tc>
        <w:tc>
          <w:tcPr>
            <w:tcW w:type="dxa" w:w="1806"/>
            <w:shd w:fill="F2F6FC" w:val="clear"/>
          </w:tcPr>
          <w:p>
            <w:r>
              <w:rPr>
                <w:rFonts w:ascii="Arial" w:hAnsi="Arial"/>
                <w:sz w:val="18"/>
              </w:rPr>
              <w:t>Lampiran II.A.2</w:t>
            </w:r>
          </w:p>
        </w:tc>
      </w:tr>
      <w:tr>
        <w:tc>
          <w:tcPr>
            <w:tcW w:type="dxa" w:w="1806"/>
          </w:tcPr>
          <w:p>
            <w:r>
              <w:rPr>
                <w:rFonts w:ascii="Arial" w:hAnsi="Arial"/>
                <w:sz w:val="18"/>
              </w:rPr>
              <w:t>Scope 3 / Financed</w:t>
            </w:r>
          </w:p>
        </w:tc>
        <w:tc>
          <w:tcPr>
            <w:tcW w:type="dxa" w:w="1806"/>
          </w:tcPr>
          <w:p>
            <w:r>
              <w:rPr>
                <w:rFonts w:ascii="Arial" w:hAnsi="Arial"/>
                <w:sz w:val="18"/>
              </w:rPr>
              <w:t>305-3 (a-f)</w:t>
            </w:r>
          </w:p>
        </w:tc>
        <w:tc>
          <w:tcPr>
            <w:tcW w:type="dxa" w:w="1806"/>
          </w:tcPr>
          <w:p>
            <w:r>
              <w:rPr>
                <w:rFonts w:ascii="Arial" w:hAnsi="Arial"/>
                <w:sz w:val="18"/>
              </w:rPr>
              <w:t>Para 29(a)(iv)</w:t>
            </w:r>
          </w:p>
        </w:tc>
        <w:tc>
          <w:tcPr>
            <w:tcW w:type="dxa" w:w="1806"/>
          </w:tcPr>
          <w:p>
            <w:r>
              <w:rPr>
                <w:rFonts w:ascii="Arial" w:hAnsi="Arial"/>
                <w:sz w:val="18"/>
              </w:rPr>
              <w:t>DR E1-6 §51-54</w:t>
            </w:r>
          </w:p>
        </w:tc>
        <w:tc>
          <w:tcPr>
            <w:tcW w:type="dxa" w:w="1806"/>
          </w:tcPr>
          <w:p>
            <w:r>
              <w:rPr>
                <w:rFonts w:ascii="Arial" w:hAnsi="Arial"/>
                <w:sz w:val="18"/>
              </w:rPr>
              <w:t>Lampiran II.A.3</w:t>
            </w:r>
          </w:p>
        </w:tc>
      </w:tr>
      <w:tr>
        <w:tc>
          <w:tcPr>
            <w:tcW w:type="dxa" w:w="1806"/>
            <w:shd w:fill="F2F6FC" w:val="clear"/>
          </w:tcPr>
          <w:p>
            <w:r>
              <w:rPr>
                <w:rFonts w:ascii="Arial" w:hAnsi="Arial"/>
                <w:sz w:val="18"/>
              </w:rPr>
              <w:t>Intensity</w:t>
            </w:r>
          </w:p>
        </w:tc>
        <w:tc>
          <w:tcPr>
            <w:tcW w:type="dxa" w:w="1806"/>
            <w:shd w:fill="F2F6FC" w:val="clear"/>
          </w:tcPr>
          <w:p>
            <w:r>
              <w:rPr>
                <w:rFonts w:ascii="Arial" w:hAnsi="Arial"/>
                <w:sz w:val="18"/>
              </w:rPr>
              <w:t>305-4 (a-d)</w:t>
            </w:r>
          </w:p>
        </w:tc>
        <w:tc>
          <w:tcPr>
            <w:tcW w:type="dxa" w:w="1806"/>
            <w:shd w:fill="F2F6FC" w:val="clear"/>
          </w:tcPr>
          <w:p>
            <w:r>
              <w:rPr>
                <w:rFonts w:ascii="Arial" w:hAnsi="Arial"/>
                <w:sz w:val="18"/>
              </w:rPr>
              <w:t>Para 29(b)</w:t>
            </w:r>
          </w:p>
        </w:tc>
        <w:tc>
          <w:tcPr>
            <w:tcW w:type="dxa" w:w="1806"/>
            <w:shd w:fill="F2F6FC" w:val="clear"/>
          </w:tcPr>
          <w:p>
            <w:r>
              <w:rPr>
                <w:rFonts w:ascii="Arial" w:hAnsi="Arial"/>
                <w:sz w:val="18"/>
              </w:rPr>
              <w:t>DR E1-6 §55-56</w:t>
            </w:r>
          </w:p>
        </w:tc>
        <w:tc>
          <w:tcPr>
            <w:tcW w:type="dxa" w:w="1806"/>
            <w:shd w:fill="F2F6FC" w:val="clear"/>
          </w:tcPr>
          <w:p>
            <w:r>
              <w:rPr>
                <w:rFonts w:ascii="Arial" w:hAnsi="Arial"/>
                <w:sz w:val="18"/>
              </w:rPr>
              <w:t>Lampiran II.B</w:t>
            </w:r>
          </w:p>
        </w:tc>
      </w:tr>
      <w:tr>
        <w:tc>
          <w:tcPr>
            <w:tcW w:type="dxa" w:w="1806"/>
          </w:tcPr>
          <w:p>
            <w:r>
              <w:rPr>
                <w:rFonts w:ascii="Arial" w:hAnsi="Arial"/>
                <w:sz w:val="18"/>
              </w:rPr>
              <w:t>Reduction Targets</w:t>
            </w:r>
          </w:p>
        </w:tc>
        <w:tc>
          <w:tcPr>
            <w:tcW w:type="dxa" w:w="1806"/>
          </w:tcPr>
          <w:p>
            <w:r>
              <w:rPr>
                <w:rFonts w:ascii="Arial" w:hAnsi="Arial"/>
                <w:sz w:val="18"/>
              </w:rPr>
              <w:t>305-5 (a-e)</w:t>
            </w:r>
          </w:p>
        </w:tc>
        <w:tc>
          <w:tcPr>
            <w:tcW w:type="dxa" w:w="1806"/>
          </w:tcPr>
          <w:p>
            <w:r>
              <w:rPr>
                <w:rFonts w:ascii="Arial" w:hAnsi="Arial"/>
                <w:sz w:val="18"/>
              </w:rPr>
              <w:t>Para 33-36</w:t>
            </w:r>
          </w:p>
        </w:tc>
        <w:tc>
          <w:tcPr>
            <w:tcW w:type="dxa" w:w="1806"/>
          </w:tcPr>
          <w:p>
            <w:r>
              <w:rPr>
                <w:rFonts w:ascii="Arial" w:hAnsi="Arial"/>
                <w:sz w:val="18"/>
              </w:rPr>
              <w:t>DR E1-4 §34-42</w:t>
            </w:r>
          </w:p>
        </w:tc>
        <w:tc>
          <w:tcPr>
            <w:tcW w:type="dxa" w:w="1806"/>
          </w:tcPr>
          <w:p>
            <w:r>
              <w:rPr>
                <w:rFonts w:ascii="Arial" w:hAnsi="Arial"/>
                <w:sz w:val="18"/>
              </w:rPr>
              <w:t>Lampiran II.C</w:t>
            </w:r>
          </w:p>
        </w:tc>
      </w:tr>
      <w:tr>
        <w:tc>
          <w:tcPr>
            <w:tcW w:type="dxa" w:w="1806"/>
            <w:shd w:fill="F2F6FC" w:val="clear"/>
          </w:tcPr>
          <w:p>
            <w:r>
              <w:rPr>
                <w:rFonts w:ascii="Arial" w:hAnsi="Arial"/>
                <w:sz w:val="18"/>
              </w:rPr>
              <w:t>Governance</w:t>
            </w:r>
          </w:p>
        </w:tc>
        <w:tc>
          <w:tcPr>
            <w:tcW w:type="dxa" w:w="1806"/>
            <w:shd w:fill="F2F6FC" w:val="clear"/>
          </w:tcPr>
          <w:p>
            <w:r>
              <w:rPr>
                <w:rFonts w:ascii="Arial" w:hAnsi="Arial"/>
                <w:sz w:val="18"/>
              </w:rPr>
              <w:t>N/A</w:t>
            </w:r>
          </w:p>
        </w:tc>
        <w:tc>
          <w:tcPr>
            <w:tcW w:type="dxa" w:w="1806"/>
            <w:shd w:fill="F2F6FC" w:val="clear"/>
          </w:tcPr>
          <w:p>
            <w:r>
              <w:rPr>
                <w:rFonts w:ascii="Arial" w:hAnsi="Arial"/>
                <w:sz w:val="18"/>
              </w:rPr>
              <w:t>Para 5-9</w:t>
            </w:r>
          </w:p>
        </w:tc>
        <w:tc>
          <w:tcPr>
            <w:tcW w:type="dxa" w:w="1806"/>
            <w:shd w:fill="F2F6FC" w:val="clear"/>
          </w:tcPr>
          <w:p>
            <w:r>
              <w:rPr>
                <w:rFonts w:ascii="Arial" w:hAnsi="Arial"/>
                <w:sz w:val="18"/>
              </w:rPr>
              <w:t>ESRS 2 GOV-1</w:t>
            </w:r>
          </w:p>
        </w:tc>
        <w:tc>
          <w:tcPr>
            <w:tcW w:type="dxa" w:w="1806"/>
            <w:shd w:fill="F2F6FC" w:val="clear"/>
          </w:tcPr>
          <w:p>
            <w:r>
              <w:rPr>
                <w:rFonts w:ascii="Arial" w:hAnsi="Arial"/>
                <w:sz w:val="18"/>
              </w:rPr>
              <w:t>Lampiran I</w:t>
            </w:r>
          </w:p>
        </w:tc>
      </w:tr>
      <w:tr>
        <w:tc>
          <w:tcPr>
            <w:tcW w:type="dxa" w:w="1806"/>
          </w:tcPr>
          <w:p>
            <w:r>
              <w:rPr>
                <w:rFonts w:ascii="Arial" w:hAnsi="Arial"/>
                <w:sz w:val="18"/>
              </w:rPr>
              <w:t>Transition Plan</w:t>
            </w:r>
          </w:p>
        </w:tc>
        <w:tc>
          <w:tcPr>
            <w:tcW w:type="dxa" w:w="1806"/>
          </w:tcPr>
          <w:p>
            <w:r>
              <w:rPr>
                <w:rFonts w:ascii="Arial" w:hAnsi="Arial"/>
                <w:sz w:val="18"/>
              </w:rPr>
              <w:t>N/A</w:t>
            </w:r>
          </w:p>
        </w:tc>
        <w:tc>
          <w:tcPr>
            <w:tcW w:type="dxa" w:w="1806"/>
          </w:tcPr>
          <w:p>
            <w:r>
              <w:rPr>
                <w:rFonts w:ascii="Arial" w:hAnsi="Arial"/>
                <w:sz w:val="18"/>
              </w:rPr>
              <w:t>Para 14-15</w:t>
            </w:r>
          </w:p>
        </w:tc>
        <w:tc>
          <w:tcPr>
            <w:tcW w:type="dxa" w:w="1806"/>
          </w:tcPr>
          <w:p>
            <w:r>
              <w:rPr>
                <w:rFonts w:ascii="Arial" w:hAnsi="Arial"/>
                <w:sz w:val="18"/>
              </w:rPr>
              <w:t>DR E1-1 §14-19</w:t>
            </w:r>
          </w:p>
        </w:tc>
        <w:tc>
          <w:tcPr>
            <w:tcW w:type="dxa" w:w="1806"/>
          </w:tcPr>
          <w:p>
            <w:r>
              <w:rPr>
                <w:rFonts w:ascii="Arial" w:hAnsi="Arial"/>
                <w:sz w:val="18"/>
              </w:rPr>
              <w:t>Lampiran III</w:t>
            </w:r>
          </w:p>
        </w:tc>
      </w:tr>
      <w:tr>
        <w:tc>
          <w:tcPr>
            <w:tcW w:type="dxa" w:w="1806"/>
            <w:shd w:fill="F2F6FC" w:val="clear"/>
          </w:tcPr>
          <w:p>
            <w:r>
              <w:rPr>
                <w:rFonts w:ascii="Arial" w:hAnsi="Arial"/>
                <w:sz w:val="18"/>
              </w:rPr>
              <w:t>Social Metrics</w:t>
            </w:r>
          </w:p>
        </w:tc>
        <w:tc>
          <w:tcPr>
            <w:tcW w:type="dxa" w:w="1806"/>
            <w:shd w:fill="F2F6FC" w:val="clear"/>
          </w:tcPr>
          <w:p>
            <w:r>
              <w:rPr>
                <w:rFonts w:ascii="Arial" w:hAnsi="Arial"/>
                <w:sz w:val="18"/>
              </w:rPr>
              <w:t>401/404/405/406</w:t>
            </w:r>
          </w:p>
        </w:tc>
        <w:tc>
          <w:tcPr>
            <w:tcW w:type="dxa" w:w="1806"/>
            <w:shd w:fill="F2F6FC" w:val="clear"/>
          </w:tcPr>
          <w:p>
            <w:r>
              <w:rPr>
                <w:rFonts w:ascii="Arial" w:hAnsi="Arial"/>
                <w:sz w:val="18"/>
              </w:rPr>
              <w:t>N/A</w:t>
            </w:r>
          </w:p>
        </w:tc>
        <w:tc>
          <w:tcPr>
            <w:tcW w:type="dxa" w:w="1806"/>
            <w:shd w:fill="F2F6FC" w:val="clear"/>
          </w:tcPr>
          <w:p>
            <w:r>
              <w:rPr>
                <w:rFonts w:ascii="Arial" w:hAnsi="Arial"/>
                <w:sz w:val="18"/>
              </w:rPr>
              <w:t>ESRS S1</w:t>
            </w:r>
          </w:p>
        </w:tc>
        <w:tc>
          <w:tcPr>
            <w:tcW w:type="dxa" w:w="1806"/>
            <w:shd w:fill="F2F6FC" w:val="clear"/>
          </w:tcPr>
          <w:p>
            <w:r>
              <w:rPr>
                <w:rFonts w:ascii="Arial" w:hAnsi="Arial"/>
                <w:sz w:val="18"/>
              </w:rPr>
              <w:t>Lampiran IV</w:t>
            </w:r>
          </w:p>
        </w:tc>
      </w:tr>
    </w:tbl>
    <w:p>
      <w:r>
        <w:rPr>
          <w:rFonts w:ascii="Arial" w:hAnsi="Arial"/>
          <w:i/>
          <w:sz w:val="16"/>
        </w:rPr>
        <w:t>Source: Cross-reference per framework publication (GRI 2021, IFRS S2 2023, ESRS 2023, POJK 51/2017)</w:t>
      </w:r>
    </w:p>
    <w:p/>
    <w:p>
      <w:r>
        <w:br w:type="page"/>
      </w:r>
    </w:p>
    <w:p>
      <w:pPr>
        <w:pStyle w:val="Heading1"/>
        <w:keepNext/>
        <w:spacing w:before="480" w:after="240"/>
      </w:pPr>
      <w:r>
        <w:rPr>
          <w:rFonts w:ascii="Arial" w:hAnsi="Arial"/>
          <w:b/>
          <w:color w:val="1B3A6B"/>
          <w:sz w:val="36"/>
        </w:rPr>
        <w:t>Appendix F: Glossary of Terms &amp; Abbreviations</w:t>
      </w:r>
    </w:p>
    <w:p>
      <w:r>
        <w:rPr>
          <w:rFonts w:ascii="Arial" w:hAnsi="Arial"/>
          <w:b/>
          <w:sz w:val="20"/>
        </w:rPr>
        <w:t>Table 76: Glossary</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Term / Abbreviation</w:t>
            </w:r>
          </w:p>
        </w:tc>
        <w:tc>
          <w:tcPr>
            <w:tcW w:type="dxa" w:w="4514"/>
            <w:shd w:fill="1B3A6B" w:val="clear"/>
          </w:tcPr>
          <w:p>
            <w:r>
              <w:rPr>
                <w:rFonts w:ascii="Arial" w:hAnsi="Arial"/>
                <w:b/>
                <w:color w:val="FFFFFF"/>
                <w:sz w:val="18"/>
              </w:rPr>
              <w:t>Definition</w:t>
            </w:r>
          </w:p>
        </w:tc>
      </w:tr>
      <w:tr>
        <w:tc>
          <w:tcPr>
            <w:tcW w:type="dxa" w:w="4514"/>
          </w:tcPr>
          <w:p>
            <w:r>
              <w:rPr>
                <w:rFonts w:ascii="Arial" w:hAnsi="Arial"/>
                <w:sz w:val="18"/>
              </w:rPr>
              <w:t>tCO₂e</w:t>
            </w:r>
          </w:p>
        </w:tc>
        <w:tc>
          <w:tcPr>
            <w:tcW w:type="dxa" w:w="4514"/>
          </w:tcPr>
          <w:p>
            <w:r>
              <w:rPr>
                <w:rFonts w:ascii="Arial" w:hAnsi="Arial"/>
                <w:sz w:val="18"/>
              </w:rPr>
              <w:t>Tonnes of carbon dioxide equivalent</w:t>
            </w:r>
          </w:p>
        </w:tc>
      </w:tr>
      <w:tr>
        <w:tc>
          <w:tcPr>
            <w:tcW w:type="dxa" w:w="4514"/>
            <w:shd w:fill="F2F6FC" w:val="clear"/>
          </w:tcPr>
          <w:p>
            <w:r>
              <w:rPr>
                <w:rFonts w:ascii="Arial" w:hAnsi="Arial"/>
                <w:sz w:val="18"/>
              </w:rPr>
              <w:t>GHG</w:t>
            </w:r>
          </w:p>
        </w:tc>
        <w:tc>
          <w:tcPr>
            <w:tcW w:type="dxa" w:w="4514"/>
            <w:shd w:fill="F2F6FC" w:val="clear"/>
          </w:tcPr>
          <w:p>
            <w:r>
              <w:rPr>
                <w:rFonts w:ascii="Arial" w:hAnsi="Arial"/>
                <w:sz w:val="18"/>
              </w:rPr>
              <w:t>Greenhouse Gas</w:t>
            </w:r>
          </w:p>
        </w:tc>
      </w:tr>
      <w:tr>
        <w:tc>
          <w:tcPr>
            <w:tcW w:type="dxa" w:w="4514"/>
          </w:tcPr>
          <w:p>
            <w:r>
              <w:rPr>
                <w:rFonts w:ascii="Arial" w:hAnsi="Arial"/>
                <w:sz w:val="18"/>
              </w:rPr>
              <w:t>GWP</w:t>
            </w:r>
          </w:p>
        </w:tc>
        <w:tc>
          <w:tcPr>
            <w:tcW w:type="dxa" w:w="4514"/>
          </w:tcPr>
          <w:p>
            <w:r>
              <w:rPr>
                <w:rFonts w:ascii="Arial" w:hAnsi="Arial"/>
                <w:sz w:val="18"/>
              </w:rPr>
              <w:t>Global Warming Potential (100-year, IPCC AR6)</w:t>
            </w:r>
          </w:p>
        </w:tc>
      </w:tr>
      <w:tr>
        <w:tc>
          <w:tcPr>
            <w:tcW w:type="dxa" w:w="4514"/>
            <w:shd w:fill="F2F6FC" w:val="clear"/>
          </w:tcPr>
          <w:p>
            <w:r>
              <w:rPr>
                <w:rFonts w:ascii="Arial" w:hAnsi="Arial"/>
                <w:sz w:val="18"/>
              </w:rPr>
              <w:t>PCAF</w:t>
            </w:r>
          </w:p>
        </w:tc>
        <w:tc>
          <w:tcPr>
            <w:tcW w:type="dxa" w:w="4514"/>
            <w:shd w:fill="F2F6FC" w:val="clear"/>
          </w:tcPr>
          <w:p>
            <w:r>
              <w:rPr>
                <w:rFonts w:ascii="Arial" w:hAnsi="Arial"/>
                <w:sz w:val="18"/>
              </w:rPr>
              <w:t>Partnership for Carbon Accounting Financials</w:t>
            </w:r>
          </w:p>
        </w:tc>
      </w:tr>
      <w:tr>
        <w:tc>
          <w:tcPr>
            <w:tcW w:type="dxa" w:w="4514"/>
          </w:tcPr>
          <w:p>
            <w:r>
              <w:rPr>
                <w:rFonts w:ascii="Arial" w:hAnsi="Arial"/>
                <w:sz w:val="18"/>
              </w:rPr>
              <w:t>SBTi</w:t>
            </w:r>
          </w:p>
        </w:tc>
        <w:tc>
          <w:tcPr>
            <w:tcW w:type="dxa" w:w="4514"/>
          </w:tcPr>
          <w:p>
            <w:r>
              <w:rPr>
                <w:rFonts w:ascii="Arial" w:hAnsi="Arial"/>
                <w:sz w:val="18"/>
              </w:rPr>
              <w:t>Science Based Targets initiative</w:t>
            </w:r>
          </w:p>
        </w:tc>
      </w:tr>
      <w:tr>
        <w:tc>
          <w:tcPr>
            <w:tcW w:type="dxa" w:w="4514"/>
            <w:shd w:fill="F2F6FC" w:val="clear"/>
          </w:tcPr>
          <w:p>
            <w:r>
              <w:rPr>
                <w:rFonts w:ascii="Arial" w:hAnsi="Arial"/>
                <w:sz w:val="18"/>
              </w:rPr>
              <w:t>NZBA</w:t>
            </w:r>
          </w:p>
        </w:tc>
        <w:tc>
          <w:tcPr>
            <w:tcW w:type="dxa" w:w="4514"/>
            <w:shd w:fill="F2F6FC" w:val="clear"/>
          </w:tcPr>
          <w:p>
            <w:r>
              <w:rPr>
                <w:rFonts w:ascii="Arial" w:hAnsi="Arial"/>
                <w:sz w:val="18"/>
              </w:rPr>
              <w:t>Net-Zero Banking Alliance</w:t>
            </w:r>
          </w:p>
        </w:tc>
      </w:tr>
      <w:tr>
        <w:tc>
          <w:tcPr>
            <w:tcW w:type="dxa" w:w="4514"/>
          </w:tcPr>
          <w:p>
            <w:r>
              <w:rPr>
                <w:rFonts w:ascii="Arial" w:hAnsi="Arial"/>
                <w:sz w:val="18"/>
              </w:rPr>
              <w:t>NDC</w:t>
            </w:r>
          </w:p>
        </w:tc>
        <w:tc>
          <w:tcPr>
            <w:tcW w:type="dxa" w:w="4514"/>
          </w:tcPr>
          <w:p>
            <w:r>
              <w:rPr>
                <w:rFonts w:ascii="Arial" w:hAnsi="Arial"/>
                <w:sz w:val="18"/>
              </w:rPr>
              <w:t>Nationally Determined Contribution (Paris Agreement)</w:t>
            </w:r>
          </w:p>
        </w:tc>
      </w:tr>
      <w:tr>
        <w:tc>
          <w:tcPr>
            <w:tcW w:type="dxa" w:w="4514"/>
            <w:shd w:fill="F2F6FC" w:val="clear"/>
          </w:tcPr>
          <w:p>
            <w:r>
              <w:rPr>
                <w:rFonts w:ascii="Arial" w:hAnsi="Arial"/>
                <w:sz w:val="18"/>
              </w:rPr>
              <w:t>RECs</w:t>
            </w:r>
          </w:p>
        </w:tc>
        <w:tc>
          <w:tcPr>
            <w:tcW w:type="dxa" w:w="4514"/>
            <w:shd w:fill="F2F6FC" w:val="clear"/>
          </w:tcPr>
          <w:p>
            <w:r>
              <w:rPr>
                <w:rFonts w:ascii="Arial" w:hAnsi="Arial"/>
                <w:sz w:val="18"/>
              </w:rPr>
              <w:t>Renewable Energy Certificates</w:t>
            </w:r>
          </w:p>
        </w:tc>
      </w:tr>
      <w:tr>
        <w:tc>
          <w:tcPr>
            <w:tcW w:type="dxa" w:w="4514"/>
          </w:tcPr>
          <w:p>
            <w:r>
              <w:rPr>
                <w:rFonts w:ascii="Arial" w:hAnsi="Arial"/>
                <w:sz w:val="18"/>
              </w:rPr>
              <w:t>PPA</w:t>
            </w:r>
          </w:p>
        </w:tc>
        <w:tc>
          <w:tcPr>
            <w:tcW w:type="dxa" w:w="4514"/>
          </w:tcPr>
          <w:p>
            <w:r>
              <w:rPr>
                <w:rFonts w:ascii="Arial" w:hAnsi="Arial"/>
                <w:sz w:val="18"/>
              </w:rPr>
              <w:t>Power Purchase Agreement</w:t>
            </w:r>
          </w:p>
        </w:tc>
      </w:tr>
      <w:tr>
        <w:tc>
          <w:tcPr>
            <w:tcW w:type="dxa" w:w="4514"/>
            <w:shd w:fill="F2F6FC" w:val="clear"/>
          </w:tcPr>
          <w:p>
            <w:r>
              <w:rPr>
                <w:rFonts w:ascii="Arial" w:hAnsi="Arial"/>
                <w:sz w:val="18"/>
              </w:rPr>
              <w:t>EF</w:t>
            </w:r>
          </w:p>
        </w:tc>
        <w:tc>
          <w:tcPr>
            <w:tcW w:type="dxa" w:w="4514"/>
            <w:shd w:fill="F2F6FC" w:val="clear"/>
          </w:tcPr>
          <w:p>
            <w:r>
              <w:rPr>
                <w:rFonts w:ascii="Arial" w:hAnsi="Arial"/>
                <w:sz w:val="18"/>
              </w:rPr>
              <w:t>Emission Factor</w:t>
            </w:r>
          </w:p>
        </w:tc>
      </w:tr>
      <w:tr>
        <w:tc>
          <w:tcPr>
            <w:tcW w:type="dxa" w:w="4514"/>
          </w:tcPr>
          <w:p>
            <w:r>
              <w:rPr>
                <w:rFonts w:ascii="Arial" w:hAnsi="Arial"/>
                <w:sz w:val="18"/>
              </w:rPr>
              <w:t>FTE</w:t>
            </w:r>
          </w:p>
        </w:tc>
        <w:tc>
          <w:tcPr>
            <w:tcW w:type="dxa" w:w="4514"/>
          </w:tcPr>
          <w:p>
            <w:r>
              <w:rPr>
                <w:rFonts w:ascii="Arial" w:hAnsi="Arial"/>
                <w:sz w:val="18"/>
              </w:rPr>
              <w:t>Full-Time Equivalent (headcount)</w:t>
            </w:r>
          </w:p>
        </w:tc>
      </w:tr>
      <w:tr>
        <w:tc>
          <w:tcPr>
            <w:tcW w:type="dxa" w:w="4514"/>
            <w:shd w:fill="F2F6FC" w:val="clear"/>
          </w:tcPr>
          <w:p>
            <w:r>
              <w:rPr>
                <w:rFonts w:ascii="Arial" w:hAnsi="Arial"/>
                <w:sz w:val="18"/>
              </w:rPr>
              <w:t>YoY</w:t>
            </w:r>
          </w:p>
        </w:tc>
        <w:tc>
          <w:tcPr>
            <w:tcW w:type="dxa" w:w="4514"/>
            <w:shd w:fill="F2F6FC" w:val="clear"/>
          </w:tcPr>
          <w:p>
            <w:r>
              <w:rPr>
                <w:rFonts w:ascii="Arial" w:hAnsi="Arial"/>
                <w:sz w:val="18"/>
              </w:rPr>
              <w:t>Year-over-Year</w:t>
            </w:r>
          </w:p>
        </w:tc>
      </w:tr>
      <w:tr>
        <w:tc>
          <w:tcPr>
            <w:tcW w:type="dxa" w:w="4514"/>
          </w:tcPr>
          <w:p>
            <w:r>
              <w:rPr>
                <w:rFonts w:ascii="Arial" w:hAnsi="Arial"/>
                <w:sz w:val="18"/>
              </w:rPr>
              <w:t>EEIO</w:t>
            </w:r>
          </w:p>
        </w:tc>
        <w:tc>
          <w:tcPr>
            <w:tcW w:type="dxa" w:w="4514"/>
          </w:tcPr>
          <w:p>
            <w:r>
              <w:rPr>
                <w:rFonts w:ascii="Arial" w:hAnsi="Arial"/>
                <w:sz w:val="18"/>
              </w:rPr>
              <w:t>Environmentally Extended Input-Output (model)</w:t>
            </w:r>
          </w:p>
        </w:tc>
      </w:tr>
      <w:tr>
        <w:tc>
          <w:tcPr>
            <w:tcW w:type="dxa" w:w="4514"/>
            <w:shd w:fill="F2F6FC" w:val="clear"/>
          </w:tcPr>
          <w:p>
            <w:r>
              <w:rPr>
                <w:rFonts w:ascii="Arial" w:hAnsi="Arial"/>
                <w:sz w:val="18"/>
              </w:rPr>
              <w:t>GRI</w:t>
            </w:r>
          </w:p>
        </w:tc>
        <w:tc>
          <w:tcPr>
            <w:tcW w:type="dxa" w:w="4514"/>
            <w:shd w:fill="F2F6FC" w:val="clear"/>
          </w:tcPr>
          <w:p>
            <w:r>
              <w:rPr>
                <w:rFonts w:ascii="Arial" w:hAnsi="Arial"/>
                <w:sz w:val="18"/>
              </w:rPr>
              <w:t>Global Reporting Initiative</w:t>
            </w:r>
          </w:p>
        </w:tc>
      </w:tr>
      <w:tr>
        <w:tc>
          <w:tcPr>
            <w:tcW w:type="dxa" w:w="4514"/>
          </w:tcPr>
          <w:p>
            <w:r>
              <w:rPr>
                <w:rFonts w:ascii="Arial" w:hAnsi="Arial"/>
                <w:sz w:val="18"/>
              </w:rPr>
              <w:t>IFRS S2</w:t>
            </w:r>
          </w:p>
        </w:tc>
        <w:tc>
          <w:tcPr>
            <w:tcW w:type="dxa" w:w="4514"/>
          </w:tcPr>
          <w:p>
            <w:r>
              <w:rPr>
                <w:rFonts w:ascii="Arial" w:hAnsi="Arial"/>
                <w:sz w:val="18"/>
              </w:rPr>
              <w:t>IFRS Sustainability Disclosure Standard S2 (Climate)</w:t>
            </w:r>
          </w:p>
        </w:tc>
      </w:tr>
      <w:tr>
        <w:tc>
          <w:tcPr>
            <w:tcW w:type="dxa" w:w="4514"/>
            <w:shd w:fill="F2F6FC" w:val="clear"/>
          </w:tcPr>
          <w:p>
            <w:r>
              <w:rPr>
                <w:rFonts w:ascii="Arial" w:hAnsi="Arial"/>
                <w:sz w:val="18"/>
              </w:rPr>
              <w:t>ESRS E1</w:t>
            </w:r>
          </w:p>
        </w:tc>
        <w:tc>
          <w:tcPr>
            <w:tcW w:type="dxa" w:w="4514"/>
            <w:shd w:fill="F2F6FC" w:val="clear"/>
          </w:tcPr>
          <w:p>
            <w:r>
              <w:rPr>
                <w:rFonts w:ascii="Arial" w:hAnsi="Arial"/>
                <w:sz w:val="18"/>
              </w:rPr>
              <w:t>European Sustainability Reporting Standard E1 (Climate Change)</w:t>
            </w:r>
          </w:p>
        </w:tc>
      </w:tr>
      <w:tr>
        <w:tc>
          <w:tcPr>
            <w:tcW w:type="dxa" w:w="4514"/>
          </w:tcPr>
          <w:p>
            <w:r>
              <w:rPr>
                <w:rFonts w:ascii="Arial" w:hAnsi="Arial"/>
                <w:sz w:val="18"/>
              </w:rPr>
              <w:t>CSRD</w:t>
            </w:r>
          </w:p>
        </w:tc>
        <w:tc>
          <w:tcPr>
            <w:tcW w:type="dxa" w:w="4514"/>
          </w:tcPr>
          <w:p>
            <w:r>
              <w:rPr>
                <w:rFonts w:ascii="Arial" w:hAnsi="Arial"/>
                <w:sz w:val="18"/>
              </w:rPr>
              <w:t>Corporate Sustainability Reporting Directive (EU)</w:t>
            </w:r>
          </w:p>
        </w:tc>
      </w:tr>
      <w:tr>
        <w:tc>
          <w:tcPr>
            <w:tcW w:type="dxa" w:w="4514"/>
            <w:shd w:fill="F2F6FC" w:val="clear"/>
          </w:tcPr>
          <w:p>
            <w:r>
              <w:rPr>
                <w:rFonts w:ascii="Arial" w:hAnsi="Arial"/>
                <w:sz w:val="18"/>
              </w:rPr>
              <w:t>OJK</w:t>
            </w:r>
          </w:p>
        </w:tc>
        <w:tc>
          <w:tcPr>
            <w:tcW w:type="dxa" w:w="4514"/>
            <w:shd w:fill="F2F6FC" w:val="clear"/>
          </w:tcPr>
          <w:p>
            <w:r>
              <w:rPr>
                <w:rFonts w:ascii="Arial" w:hAnsi="Arial"/>
                <w:sz w:val="18"/>
              </w:rPr>
              <w:t>Otoritas Jasa Keuangan (Financial Services Authority, Indonesia)</w:t>
            </w:r>
          </w:p>
        </w:tc>
      </w:tr>
      <w:tr>
        <w:tc>
          <w:tcPr>
            <w:tcW w:type="dxa" w:w="4514"/>
          </w:tcPr>
          <w:p>
            <w:r>
              <w:rPr>
                <w:rFonts w:ascii="Arial" w:hAnsi="Arial"/>
                <w:sz w:val="18"/>
              </w:rPr>
              <w:t>POJK</w:t>
            </w:r>
          </w:p>
        </w:tc>
        <w:tc>
          <w:tcPr>
            <w:tcW w:type="dxa" w:w="4514"/>
          </w:tcPr>
          <w:p>
            <w:r>
              <w:rPr>
                <w:rFonts w:ascii="Arial" w:hAnsi="Arial"/>
                <w:sz w:val="18"/>
              </w:rPr>
              <w:t>Peraturan Otoritas Jasa Keuangan (OJK Regulation)</w:t>
            </w:r>
          </w:p>
        </w:tc>
      </w:tr>
      <w:tr>
        <w:tc>
          <w:tcPr>
            <w:tcW w:type="dxa" w:w="4514"/>
            <w:shd w:fill="F2F6FC" w:val="clear"/>
          </w:tcPr>
          <w:p>
            <w:r>
              <w:rPr>
                <w:rFonts w:ascii="Arial" w:hAnsi="Arial"/>
                <w:sz w:val="18"/>
              </w:rPr>
              <w:t>PSPK</w:t>
            </w:r>
          </w:p>
        </w:tc>
        <w:tc>
          <w:tcPr>
            <w:tcW w:type="dxa" w:w="4514"/>
            <w:shd w:fill="F2F6FC" w:val="clear"/>
          </w:tcPr>
          <w:p>
            <w:r>
              <w:rPr>
                <w:rFonts w:ascii="Arial" w:hAnsi="Arial"/>
                <w:sz w:val="18"/>
              </w:rPr>
              <w:t>Penerapan Keuangan Berkelanjutan (Sustainable Finance Implementation)</w:t>
            </w:r>
          </w:p>
        </w:tc>
      </w:tr>
      <w:tr>
        <w:tc>
          <w:tcPr>
            <w:tcW w:type="dxa" w:w="4514"/>
          </w:tcPr>
          <w:p>
            <w:r>
              <w:rPr>
                <w:rFonts w:ascii="Arial" w:hAnsi="Arial"/>
                <w:sz w:val="18"/>
              </w:rPr>
              <w:t>PLN</w:t>
            </w:r>
          </w:p>
        </w:tc>
        <w:tc>
          <w:tcPr>
            <w:tcW w:type="dxa" w:w="4514"/>
          </w:tcPr>
          <w:p>
            <w:r>
              <w:rPr>
                <w:rFonts w:ascii="Arial" w:hAnsi="Arial"/>
                <w:sz w:val="18"/>
              </w:rPr>
              <w:t>Perusahaan Listrik Negara (State Electricity Company, Indonesia)</w:t>
            </w:r>
          </w:p>
        </w:tc>
      </w:tr>
      <w:tr>
        <w:tc>
          <w:tcPr>
            <w:tcW w:type="dxa" w:w="4514"/>
            <w:shd w:fill="F2F6FC" w:val="clear"/>
          </w:tcPr>
          <w:p>
            <w:r>
              <w:rPr>
                <w:rFonts w:ascii="Arial" w:hAnsi="Arial"/>
                <w:sz w:val="18"/>
              </w:rPr>
              <w:t>DJK-ESDM</w:t>
            </w:r>
          </w:p>
        </w:tc>
        <w:tc>
          <w:tcPr>
            <w:tcW w:type="dxa" w:w="4514"/>
            <w:shd w:fill="F2F6FC" w:val="clear"/>
          </w:tcPr>
          <w:p>
            <w:r>
              <w:rPr>
                <w:rFonts w:ascii="Arial" w:hAnsi="Arial"/>
                <w:sz w:val="18"/>
              </w:rPr>
              <w:t>Directorate General of Electricity, Ministry of Energy</w:t>
            </w:r>
          </w:p>
        </w:tc>
      </w:tr>
    </w:tbl>
    <w:p>
      <w:r>
        <w:rPr>
          <w:rFonts w:ascii="Arial" w:hAnsi="Arial"/>
          <w:i/>
          <w:sz w:val="16"/>
        </w:rPr>
        <w:t>Source: Compiled from GHG Protocol, PCAF Standard, and regulatory publications</w:t>
      </w:r>
    </w:p>
    <w:p/>
    <w:sectPr w:rsidR="00FC693F" w:rsidRPr="0006063C" w:rsidSect="00034616">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arn:aws:states:us-east-1:061039769766:execution:ESGReportGenerationStateMachine:af4b9a3d-18d8-4ef9-b45b-71c61633eb4f</dc:description>
  <cp:lastModifiedBy/>
  <cp:revision>1</cp:revision>
  <dcterms:created xsi:type="dcterms:W3CDTF">2013-12-23T23:15:00Z</dcterms:created>
  <dcterms:modified xsi:type="dcterms:W3CDTF">2013-12-23T23:15:00Z</dcterms:modified>
  <cp:category>ESG Sustainability Report</cp:category>
</cp:coreProperties>
</file>