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2026-06-12 15:35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separate"/>
      </w:r>
      <w:r>
        <w:rPr>
          <w:i/>
          <w:color w:val="999999"/>
        </w:rPr>
        <w:t>Table of Contents — Update this field (Ctrl+A → F9)</w:t>
      </w:r>
      <w:r>
        <w:fldChar w:fldCharType="end"/>
      </w:r>
    </w:p>
    <w:p>
      <w:r>
        <w:br w:type="page"/>
      </w:r>
    </w:p>
    <w:p>
      <w:r>
        <w:br w:type="page"/>
      </w:r>
    </w:p>
    <w:p>
      <w:pPr>
        <w:pStyle w:val="Heading1"/>
        <w:keepNext/>
        <w:spacing w:before="480" w:after="240"/>
      </w:pPr>
      <w:r>
        <w:rPr>
          <w:rFonts w:ascii="Arial" w:hAnsi="Arial"/>
          <w:b/>
          <w:color w:val="1B3A6B"/>
          <w:sz w:val="36"/>
        </w:rPr>
        <w:t>Executive Summary</w:t>
      </w:r>
    </w:p>
    <w:p>
      <w:pPr>
        <w:pStyle w:val="Heading2"/>
        <w:keepNext/>
        <w:spacing w:before="360" w:after="160"/>
      </w:pPr>
      <w:r>
        <w:rPr>
          <w:rFonts w:ascii="Arial" w:hAnsi="Arial"/>
          <w:b/>
          <w:color w:val="3D6094"/>
          <w:sz w:val="28"/>
        </w:rPr>
        <w:t>Strategic Brief</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21976797.3</w:t>
            </w:r>
            <w:r>
              <w:rPr>
                <w:color w:val="757575"/>
                <w:sz w:val="18"/>
              </w:rPr>
              <w:t xml:space="preserve"> tCO₂e</w:t>
            </w:r>
          </w:p>
        </w:tc>
        <w:tc>
          <w:tcPr>
            <w:tcW w:type="dxa" w:w="2257"/>
            <w:shd w:fill="F2F6FA" w:val="clear"/>
          </w:tcPr>
          <w:p>
            <w:pPr>
              <w:jc w:val="center"/>
            </w:pPr>
            <w:r>
              <w:rPr>
                <w:b/>
                <w:color w:val="1B3A6B"/>
                <w:sz w:val="36"/>
              </w:rPr>
              <w:t>239.400139</w:t>
            </w:r>
            <w:r>
              <w:rPr>
                <w:color w:val="757575"/>
                <w:sz w:val="18"/>
              </w:rPr>
              <w:t xml:space="preserve"> tCO₂e/IDR Bn</w:t>
            </w:r>
          </w:p>
        </w:tc>
        <w:tc>
          <w:tcPr>
            <w:tcW w:type="dxa" w:w="2257"/>
            <w:shd w:fill="F2F6FA" w:val="clear"/>
          </w:tcPr>
          <w:p>
            <w:pPr>
              <w:jc w:val="center"/>
            </w:pPr>
            <w:r>
              <w:rPr>
                <w:b/>
                <w:color w:val="1B3A6B"/>
                <w:sz w:val="36"/>
              </w:rPr>
              <w:t>3.36</w:t>
            </w:r>
            <w:r>
              <w:rPr>
                <w:color w:val="757575"/>
                <w:sz w:val="18"/>
              </w:rPr>
              <w:t xml:space="preserve"> score (1-5)</w:t>
            </w:r>
          </w:p>
        </w:tc>
        <w:tc>
          <w:tcPr>
            <w:tcW w:type="dxa" w:w="2257"/>
            <w:shd w:fill="F2F6FA" w:val="clear"/>
          </w:tcPr>
          <w:p>
            <w:pPr>
              <w:jc w:val="center"/>
            </w:pPr>
            <w:r>
              <w:rPr>
                <w:b/>
                <w:color w:val="1B3A6B"/>
                <w:sz w:val="36"/>
              </w:rPr>
              <w:t>69.53</w:t>
            </w:r>
            <w:r>
              <w:rPr>
                <w:color w:val="757575"/>
                <w:sz w:val="18"/>
              </w:rPr>
              <w:t xml:space="preserve"> %</w:t>
            </w:r>
          </w:p>
        </w:tc>
      </w:tr>
      <w:tr>
        <w:tc>
          <w:tcPr>
            <w:tcW w:type="dxa" w:w="2257"/>
            <w:shd w:fill="F2F6FA" w:val="clear"/>
          </w:tcPr>
          <w:p>
            <w:pPr>
              <w:jc w:val="center"/>
            </w:pPr>
            <w:r>
              <w:rPr>
                <w:color w:val="757575"/>
                <w:sz w:val="16"/>
              </w:rPr>
              <w:t>Total GHG Emissions (Scope 1+2+3)</w:t>
            </w:r>
          </w:p>
        </w:tc>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Financed Emissions Coverage</w:t>
            </w:r>
          </w:p>
        </w:tc>
      </w:tr>
    </w:tbl>
    <w:p/>
    <w:p>
      <w:pPr>
        <w:spacing w:after="160" w:line="276" w:lineRule="auto"/>
      </w:pPr>
      <w:r>
        <w:rPr>
          <w:rFonts w:ascii="Arial" w:hAnsi="Arial"/>
          <w:sz w:val="22"/>
        </w:rPr>
        <w:t>The institution's total greenhouse gas footprint for 2024 reached 21,976,797.3 tCO₂e across all scopes, representing a 4.07% reduction from the prior year baseline of 22,911,991.05 tCO₂e. This decrease was driven primarily by improved portfolio emission intensity, declining from 270.12 to 239.40 tCO₂e per IDR billion in outstanding loans—an 11.37% improvement in carbon efficiency. The institution's financed emissions remain concentrated in three carbon-intensive sectors: Energy - Oil &amp; Gas (43.56% of total financed emissions), Manufacturing - Cement (26.45%), and Manufacturing - Steel (15.92%), collectively representing 85.93% of Scope 3 Category 15 emissions despite comprising only 20.70% of the total loan portfolio. Immediate Board attention is required to establish sector-specific decarbonization targets and enhance climate risk governance frameworks to align with emerging regulatory expectations.</w:t>
      </w:r>
    </w:p>
    <w:p/>
    <w:p>
      <w:r>
        <w:rPr>
          <w:b/>
          <w:color w:val="2E7D32"/>
          <w:sz w:val="24"/>
        </w:rPr>
        <w:t>⚡ Priority Actions</w:t>
      </w:r>
    </w:p>
    <w:p>
      <w:r>
        <w:rPr>
          <w:b/>
          <w:sz w:val="22"/>
        </w:rPr>
        <w:t>🔴 1. Establish sector-specific financed emission reduction targets for Oil &amp; Gas, Cement, and Steel portfolios — These three sectors account for 85.93% of financed emissions but lack differentiated transition strategies (Q2 2025)</w:t>
      </w:r>
    </w:p>
    <w:p>
      <w:r>
        <w:rPr>
          <w:b/>
          <w:sz w:val="22"/>
        </w:rPr>
        <w:t>🔴 2. Upgrade PCAF data quality from current 3.36 average to ≤3.0 through direct borrower engagement — Current score indicates reliance on sector-average proxies rather than borrower-specific data, limiting risk assessment accuracy (Q4 2025)</w:t>
      </w:r>
    </w:p>
    <w:p>
      <w:r>
        <w:rPr>
          <w:b/>
          <w:sz w:val="22"/>
        </w:rPr>
        <w:t>🟡 3. Implement external assurance for Scope 1, 2, and material Scope 3 categories — Current 'none' assurance level creates credibility gap with investors and regulators (FY2025 reporting cycle)</w:t>
      </w:r>
    </w:p>
    <w:p/>
    <w:p>
      <w:pPr>
        <w:spacing w:after="160" w:line="276" w:lineRule="auto"/>
      </w:pPr>
      <w:r>
        <w:rPr>
          <w:rFonts w:ascii="Arial" w:hAnsi="Arial"/>
          <w:i/>
          <w:sz w:val="22"/>
        </w:rPr>
        <w:t>Forward-looking statement:</w:t>
      </w:r>
      <w:r>
        <w:rPr>
          <w:rFonts w:ascii="Arial" w:hAnsi="Arial"/>
          <w:sz w:val="22"/>
        </w:rPr>
        <w:t xml:space="preserve"> Subject to market conditions and regulatory developments, the institution anticipates continued improvement in emission intensity metrics through 2025-2026 as the portfolio composition shifts toward lower-carbon sectors and existing high-emission borrowers implement transition plans. Achievement of these projections depends on: (1) successful engagement with top 20 financed emission counterparties representing 60-70% of Scope 3 footprint, (2) implementation of climate risk integration into credit underwriting processes by Q3 2025, and (3) regulatory clarity on Indonesia's updated Nationally Determined Contribution targets and sectoral transition pathways under the Just Energy Transition Partnership framework.</w:t>
      </w:r>
    </w:p>
    <w:p>
      <w:r>
        <w:rPr>
          <w:rFonts w:ascii="Arial" w:hAnsi="Arial"/>
          <w:b/>
          <w:sz w:val="20"/>
        </w:rPr>
        <w:t>Table 2: ESG Scorecard</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Dimension</w:t>
            </w:r>
          </w:p>
        </w:tc>
        <w:tc>
          <w:tcPr>
            <w:tcW w:type="dxa" w:w="3010"/>
            <w:shd w:fill="1B3A6B" w:val="clear"/>
          </w:tcPr>
          <w:p>
            <w:r>
              <w:rPr>
                <w:rFonts w:ascii="Arial" w:hAnsi="Arial"/>
                <w:b/>
                <w:color w:val="FFFFFF"/>
                <w:sz w:val="18"/>
              </w:rPr>
              <w:t>Rating</w:t>
            </w:r>
          </w:p>
        </w:tc>
        <w:tc>
          <w:tcPr>
            <w:tcW w:type="dxa" w:w="3010"/>
            <w:shd w:fill="1B3A6B" w:val="clear"/>
          </w:tcPr>
          <w:p>
            <w:r>
              <w:rPr>
                <w:rFonts w:ascii="Arial" w:hAnsi="Arial"/>
                <w:b/>
                <w:color w:val="FFFFFF"/>
                <w:sz w:val="18"/>
              </w:rPr>
              <w:t>Key Driver</w:t>
            </w:r>
          </w:p>
        </w:tc>
      </w:tr>
      <w:tr>
        <w:tc>
          <w:tcPr>
            <w:tcW w:type="dxa" w:w="3010"/>
          </w:tcPr>
          <w:p>
            <w:r>
              <w:rPr>
                <w:rFonts w:ascii="Arial" w:hAnsi="Arial"/>
                <w:sz w:val="18"/>
              </w:rPr>
              <w:t>Environmental</w:t>
            </w:r>
          </w:p>
        </w:tc>
        <w:tc>
          <w:tcPr>
            <w:tcW w:type="dxa" w:w="3010"/>
          </w:tcPr>
          <w:p>
            <w:r>
              <w:rPr>
                <w:rFonts w:ascii="Arial" w:hAnsi="Arial"/>
                <w:sz w:val="18"/>
              </w:rPr>
              <w:t>🟢</w:t>
            </w:r>
          </w:p>
        </w:tc>
        <w:tc>
          <w:tcPr>
            <w:tcW w:type="dxa" w:w="3010"/>
          </w:tcPr>
          <w:p>
            <w:r>
              <w:rPr>
                <w:rFonts w:ascii="Arial" w:hAnsi="Arial"/>
                <w:sz w:val="18"/>
              </w:rPr>
              <w:t>Total emissions decreased 4.07% YoY; revenue intensity improved 11.37%</w:t>
            </w:r>
          </w:p>
        </w:tc>
      </w:tr>
      <w:tr>
        <w:tc>
          <w:tcPr>
            <w:tcW w:type="dxa" w:w="3010"/>
            <w:shd w:fill="F2F6FC" w:val="clear"/>
          </w:tcPr>
          <w:p>
            <w:r>
              <w:rPr>
                <w:rFonts w:ascii="Arial" w:hAnsi="Arial"/>
                <w:sz w:val="18"/>
              </w:rPr>
              <w:t>Social</w:t>
            </w:r>
          </w:p>
        </w:tc>
        <w:tc>
          <w:tcPr>
            <w:tcW w:type="dxa" w:w="3010"/>
            <w:shd w:fill="F2F6FC" w:val="clear"/>
          </w:tcPr>
          <w:p>
            <w:r>
              <w:rPr>
                <w:rFonts w:ascii="Arial" w:hAnsi="Arial"/>
                <w:sz w:val="18"/>
              </w:rPr>
              <w:t>🟡</w:t>
            </w:r>
          </w:p>
        </w:tc>
        <w:tc>
          <w:tcPr>
            <w:tcW w:type="dxa" w:w="3010"/>
            <w:shd w:fill="F2F6FC" w:val="clear"/>
          </w:tcPr>
          <w:p>
            <w:r>
              <w:rPr>
                <w:rFonts w:ascii="Arial" w:hAnsi="Arial"/>
                <w:sz w:val="18"/>
              </w:rPr>
              <w:t>Female representation 42.32% (meets threshold) but training hours 49.3 (below 30hr threshold creates partial rating)</w:t>
            </w:r>
          </w:p>
        </w:tc>
      </w:tr>
      <w:tr>
        <w:tc>
          <w:tcPr>
            <w:tcW w:type="dxa" w:w="3010"/>
          </w:tcPr>
          <w:p>
            <w:r>
              <w:rPr>
                <w:rFonts w:ascii="Arial" w:hAnsi="Arial"/>
                <w:sz w:val="18"/>
              </w:rPr>
              <w:t>Governance</w:t>
            </w:r>
          </w:p>
        </w:tc>
        <w:tc>
          <w:tcPr>
            <w:tcW w:type="dxa" w:w="3010"/>
          </w:tcPr>
          <w:p>
            <w:r>
              <w:rPr>
                <w:rFonts w:ascii="Arial" w:hAnsi="Arial"/>
                <w:sz w:val="18"/>
              </w:rPr>
              <w:t>🟡</w:t>
            </w:r>
          </w:p>
        </w:tc>
        <w:tc>
          <w:tcPr>
            <w:tcW w:type="dxa" w:w="3010"/>
          </w:tcPr>
          <w:p>
            <w:r>
              <w:rPr>
                <w:rFonts w:ascii="Arial" w:hAnsi="Arial"/>
                <w:sz w:val="18"/>
              </w:rPr>
              <w:t>Climate governance structures present but lack external assurance and formal transition plan disclosure</w:t>
            </w:r>
          </w:p>
        </w:tc>
      </w:tr>
    </w:tbl>
    <w:p>
      <w:r>
        <w:rPr>
          <w:rFonts w:ascii="Arial" w:hAnsi="Arial"/>
          <w:i/>
          <w:sz w:val="16"/>
        </w:rPr>
        <w:t>Source: Ratings derived from quantitative thresholds applied to reported metrics</w:t>
      </w:r>
    </w:p>
    <w:p/>
    <w:p>
      <w:r>
        <w:rPr>
          <w:rFonts w:ascii="Arial" w:hAnsi="Arial"/>
          <w:b/>
          <w:sz w:val="20"/>
        </w:rPr>
        <w:t>Table 4: Risk &amp; Opportunity Matrix</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r>
          </w:p>
        </w:tc>
        <w:tc>
          <w:tcPr>
            <w:tcW w:type="dxa" w:w="3010"/>
            <w:shd w:fill="1B3A6B" w:val="clear"/>
          </w:tcPr>
          <w:p>
            <w:r>
              <w:rPr>
                <w:rFonts w:ascii="Arial" w:hAnsi="Arial"/>
                <w:b/>
                <w:color w:val="FFFFFF"/>
                <w:sz w:val="18"/>
              </w:rPr>
              <w:t>Short-term (1-2 years)</w:t>
            </w:r>
          </w:p>
        </w:tc>
        <w:tc>
          <w:tcPr>
            <w:tcW w:type="dxa" w:w="3010"/>
            <w:shd w:fill="1B3A6B" w:val="clear"/>
          </w:tcPr>
          <w:p>
            <w:r>
              <w:rPr>
                <w:rFonts w:ascii="Arial" w:hAnsi="Arial"/>
                <w:b/>
                <w:color w:val="FFFFFF"/>
                <w:sz w:val="18"/>
              </w:rPr>
              <w:t>Medium-term (3-5 years)</w:t>
            </w:r>
          </w:p>
        </w:tc>
      </w:tr>
      <w:tr>
        <w:tc>
          <w:tcPr>
            <w:tcW w:type="dxa" w:w="3010"/>
          </w:tcPr>
          <w:p>
            <w:r>
              <w:rPr>
                <w:rFonts w:ascii="Arial" w:hAnsi="Arial"/>
                <w:sz w:val="18"/>
              </w:rPr>
              <w:t>Risks</w:t>
            </w:r>
          </w:p>
        </w:tc>
        <w:tc>
          <w:tcPr>
            <w:tcW w:type="dxa" w:w="3010"/>
          </w:tcPr>
          <w:p>
            <w:r>
              <w:rPr>
                <w:rFonts w:ascii="Arial" w:hAnsi="Arial"/>
                <w:sz w:val="18"/>
              </w:rPr>
              <w:t>• Regulatory compliance gaps: No external assurance creates audit risk</w:t>
              <w:br/>
              <w:t>• Portfolio concentration: 85.93% of financed emissions in 3 sectors limits diversification</w:t>
            </w:r>
          </w:p>
        </w:tc>
        <w:tc>
          <w:tcPr>
            <w:tcW w:type="dxa" w:w="3010"/>
          </w:tcPr>
          <w:p>
            <w:r>
              <w:rPr>
                <w:rFonts w:ascii="Arial" w:hAnsi="Arial"/>
                <w:sz w:val="18"/>
              </w:rPr>
              <w:t>• Transition risk: High-carbon borrowers may face stranded asset exposure</w:t>
              <w:br/>
              <w:t>• Reputational risk: PCAF score 3.36 indicates data quality below peer benchmarks</w:t>
            </w:r>
          </w:p>
        </w:tc>
      </w:tr>
      <w:tr>
        <w:tc>
          <w:tcPr>
            <w:tcW w:type="dxa" w:w="3010"/>
            <w:shd w:fill="F2F6FC" w:val="clear"/>
          </w:tcPr>
          <w:p>
            <w:r>
              <w:rPr>
                <w:rFonts w:ascii="Arial" w:hAnsi="Arial"/>
                <w:sz w:val="18"/>
              </w:rPr>
              <w:t>Opportunities</w:t>
            </w:r>
          </w:p>
        </w:tc>
        <w:tc>
          <w:tcPr>
            <w:tcW w:type="dxa" w:w="3010"/>
            <w:shd w:fill="F2F6FC" w:val="clear"/>
          </w:tcPr>
          <w:p>
            <w:r>
              <w:rPr>
                <w:rFonts w:ascii="Arial" w:hAnsi="Arial"/>
                <w:sz w:val="18"/>
              </w:rPr>
              <w:t>• Green finance growth: Lower-carbon sectors (Real Estate, Financial Services) show expansion potential</w:t>
              <w:br/>
              <w:t>• Operational efficiency: Scope 1+2 intensity improvement demonstrates cost reduction capability</w:t>
            </w:r>
          </w:p>
        </w:tc>
        <w:tc>
          <w:tcPr>
            <w:tcW w:type="dxa" w:w="3010"/>
            <w:shd w:fill="F2F6FC" w:val="clear"/>
          </w:tcPr>
          <w:p>
            <w:r>
              <w:rPr>
                <w:rFonts w:ascii="Arial" w:hAnsi="Arial"/>
                <w:sz w:val="18"/>
              </w:rPr>
              <w:t>• Market differentiation: Early adoption of borrower-specific emission tracking creates competitive advantage</w:t>
              <w:br/>
              <w:t>• Regulatory alignment: Proactive SFAP compliance positions institution for preferential treatment</w:t>
            </w:r>
          </w:p>
        </w:tc>
      </w:tr>
    </w:tbl>
    <w:p>
      <w:r>
        <w:rPr>
          <w:rFonts w:ascii="Arial" w:hAnsi="Arial"/>
          <w:i/>
          <w:sz w:val="16"/>
        </w:rPr>
        <w:t>Source: Risk and opportunity assessment based on current portfolio composition and regulatory trajectory</w:t>
      </w:r>
    </w:p>
    <w:p/>
    <w:p>
      <w:r>
        <w:br w:type="page"/>
      </w:r>
    </w:p>
    <w:p>
      <w:pPr>
        <w:pStyle w:val="Heading2"/>
        <w:keepNext/>
        <w:spacing w:before="360" w:after="160"/>
      </w:pPr>
      <w:r>
        <w:rPr>
          <w:rFonts w:ascii="Arial" w:hAnsi="Arial"/>
          <w:b/>
          <w:color w:val="3D6094"/>
          <w:sz w:val="28"/>
        </w:rPr>
        <w:t>Detailed Performance Summary</w:t>
      </w:r>
    </w:p>
    <w:p>
      <w:pPr>
        <w:spacing w:after="160" w:line="276" w:lineRule="auto"/>
      </w:pPr>
      <w:r>
        <w:rPr>
          <w:rFonts w:ascii="Arial" w:hAnsi="Arial"/>
          <w:sz w:val="22"/>
        </w:rPr>
        <w:t>The institution's environmental performance in 2024 demonstrates measurable progress in operational efficiency and portfolio decarbonization. Scope 1 direct emissions increased marginally by 2.36% to 3,402.997 tCO₂e (from 3,324.521 tCO₂e in 2023), driven by increased diesel consumption at non-grid-connected facilities (2,203.2044 tCO₂e vs 2,125.4888 tCO₂e prior year) while natural gas consumption remained stable at 1,199.7924 tCO₂e. Scope 2 location-based emissions increased slightly to 44,613.876 tCO₂e from 44,599.44 tCO₂e, while market-based emissions rose to 44,612.518 tCO₂e from 44,598.118 tCO₂e, reflecting minimal renewable energy procurement. The institution's operational footprint (Scope 1+2 market-based) totaled 48,015.515 tCO₂e, representing only 0.22% of the total GHG inventory, with financed emissions (Scope 3 Category 15) dominating at 99.78% of the footprint. The 4.07% year-over-year reduction in total emissions was achieved despite a 2.03% increase in workforce headcount to 24,997 FTE, resulting in improved per-employee intensity from 1.956 to 1.9209 tCO₂e/FTE.</w:t>
      </w:r>
    </w:p>
    <w:p>
      <w:pPr>
        <w:spacing w:after="160" w:line="276" w:lineRule="auto"/>
      </w:pPr>
      <w:r>
        <w:rPr>
          <w:rFonts w:ascii="Arial" w:hAnsi="Arial"/>
          <w:sz w:val="22"/>
        </w:rPr>
        <w:t>Social performance metrics reveal mixed progress in workforce diversity and development. Female representation in the total workforce declined from 46.2% to 42.32% (a 3.88 percentage point decrease), while female representation in management positions decreased from 28.45% to 26.67% (a 1.78 percentage point decrease). These declines occurred despite an overall workforce expansion of 497 FTE. Positively, voluntary turnover improved significantly from 14.24% to 8.45% (a 40.66% reduction), indicating enhanced employee retention. However, training intensity decreased from 64.14 to 49.3 hours per FTE (a 23.14% decline), potentially impacting long-term capability development. The institution recorded 2 discrimination cases in 2024 compared to 3 in 2023. New hire intake decreased to 2,595 employees (10.38% hiring rate) from 3,169 in the prior year (12.93% hiring rate), reflecting more conservative workforce planning.</w:t>
      </w:r>
    </w:p>
    <w:p>
      <w:pPr>
        <w:spacing w:after="160" w:line="276" w:lineRule="auto"/>
      </w:pPr>
      <w:r>
        <w:rPr>
          <w:rFonts w:ascii="Arial" w:hAnsi="Arial"/>
          <w:sz w:val="22"/>
        </w:rPr>
        <w:t>Data quality assessment indicates moderate reliance on estimated emissions factors. The portfolio-weighted PCAF data quality score of 3.36 suggests that financed emissions calculations predominantly utilize sector-average emission factors rather than borrower-specific activity data or verified emissions reports. This scoring methodology (where 1 = highest quality verified data and 5 = lowest quality sector proxies) indicates significant opportunity for accuracy improvement through direct borrower engagement and data collection protocols. The 30.47% gap between gross financed emissions (21,976,797.3 tCO₂e) and attribution-weighted financed emissions (15,280,174.14 tCO₂e) reflects the institution's proportional share of borrower emissions based on outstanding loan amounts relative to total borrower enterprise value. All Scope 1, 2, and 3 figures reported for 2024 have not been subject to external assurance, as indicated by assurance_level = 'none'.</w:t>
      </w:r>
    </w:p>
    <w:p>
      <w:r>
        <w:rPr>
          <w:rFonts w:ascii="Arial" w:hAnsi="Arial"/>
          <w:b/>
          <w:sz w:val="20"/>
        </w:rPr>
        <w:t>Table 6: Environmental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Scope 1 Direct Emissions</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+2.36%</w:t>
            </w:r>
          </w:p>
        </w:tc>
        <w:tc>
          <w:tcPr>
            <w:tcW w:type="dxa" w:w="1806"/>
          </w:tcPr>
          <w:p>
            <w:r>
              <w:rPr>
                <w:rFonts w:ascii="Arial" w:hAnsi="Arial"/>
                <w:sz w:val="18"/>
              </w:rPr>
              <w:t>tCO₂e</w:t>
            </w:r>
          </w:p>
        </w:tc>
      </w:tr>
      <w:tr>
        <w:tc>
          <w:tcPr>
            <w:tcW w:type="dxa" w:w="1806"/>
            <w:shd w:fill="F2F6FC" w:val="clear"/>
          </w:tcPr>
          <w:p>
            <w:r>
              <w:rPr>
                <w:rFonts w:ascii="Arial" w:hAnsi="Arial"/>
                <w:sz w:val="18"/>
              </w:rPr>
              <w:t>Scope 2 Location-Based</w:t>
            </w:r>
          </w:p>
        </w:tc>
        <w:tc>
          <w:tcPr>
            <w:tcW w:type="dxa" w:w="1806"/>
            <w:shd w:fill="F2F6FC" w:val="clear"/>
          </w:tcPr>
          <w:p>
            <w:pPr>
              <w:jc w:val="right"/>
            </w:pPr>
            <w:r>
              <w:rPr>
                <w:rFonts w:ascii="Arial" w:hAnsi="Arial"/>
                <w:sz w:val="18"/>
              </w:rPr>
              <w:t>44,599.44</w:t>
            </w:r>
          </w:p>
        </w:tc>
        <w:tc>
          <w:tcPr>
            <w:tcW w:type="dxa" w:w="1806"/>
            <w:shd w:fill="F2F6FC" w:val="clear"/>
          </w:tcPr>
          <w:p>
            <w:pPr>
              <w:jc w:val="right"/>
            </w:pPr>
            <w:r>
              <w:rPr>
                <w:rFonts w:ascii="Arial" w:hAnsi="Arial"/>
                <w:sz w:val="18"/>
              </w:rPr>
              <w:t>44,613.876</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tCO₂e</w:t>
            </w:r>
          </w:p>
        </w:tc>
      </w:tr>
      <w:tr>
        <w:tc>
          <w:tcPr>
            <w:tcW w:type="dxa" w:w="1806"/>
          </w:tcPr>
          <w:p>
            <w:r>
              <w:rPr>
                <w:rFonts w:ascii="Arial" w:hAnsi="Arial"/>
                <w:sz w:val="18"/>
              </w:rPr>
              <w:t>Scope 2 Market-Based</w:t>
            </w:r>
          </w:p>
        </w:tc>
        <w:tc>
          <w:tcPr>
            <w:tcW w:type="dxa" w:w="1806"/>
          </w:tcPr>
          <w:p>
            <w:pPr>
              <w:jc w:val="right"/>
            </w:pPr>
            <w:r>
              <w:rPr>
                <w:rFonts w:ascii="Arial" w:hAnsi="Arial"/>
                <w:sz w:val="18"/>
              </w:rPr>
              <w:t>44,598.118</w:t>
            </w:r>
          </w:p>
        </w:tc>
        <w:tc>
          <w:tcPr>
            <w:tcW w:type="dxa" w:w="1806"/>
          </w:tcPr>
          <w:p>
            <w:pPr>
              <w:jc w:val="right"/>
            </w:pPr>
            <w:r>
              <w:rPr>
                <w:rFonts w:ascii="Arial" w:hAnsi="Arial"/>
                <w:sz w:val="18"/>
              </w:rPr>
              <w:t>44,612.518</w:t>
            </w:r>
          </w:p>
        </w:tc>
        <w:tc>
          <w:tcPr>
            <w:tcW w:type="dxa" w:w="1806"/>
          </w:tcPr>
          <w:p>
            <w:pPr>
              <w:jc w:val="right"/>
            </w:pPr>
            <w:r>
              <w:rPr>
                <w:rFonts w:ascii="Arial" w:hAnsi="Arial"/>
                <w:sz w:val="18"/>
              </w:rPr>
              <w:t>+0.03%</w:t>
            </w:r>
          </w:p>
        </w:tc>
        <w:tc>
          <w:tcPr>
            <w:tcW w:type="dxa" w:w="1806"/>
          </w:tcPr>
          <w:p>
            <w:r>
              <w:rPr>
                <w:rFonts w:ascii="Arial" w:hAnsi="Arial"/>
                <w:sz w:val="18"/>
              </w:rPr>
              <w:t>tCO₂e</w:t>
            </w:r>
          </w:p>
        </w:tc>
      </w:tr>
      <w:tr>
        <w:tc>
          <w:tcPr>
            <w:tcW w:type="dxa" w:w="1806"/>
            <w:shd w:fill="F2F6FC" w:val="clear"/>
          </w:tcPr>
          <w:p>
            <w:r>
              <w:rPr>
                <w:rFonts w:ascii="Arial" w:hAnsi="Arial"/>
                <w:sz w:val="18"/>
              </w:rPr>
              <w:t>Scope 3 Cat 15 Gross</w:t>
            </w:r>
          </w:p>
        </w:tc>
        <w:tc>
          <w:tcPr>
            <w:tcW w:type="dxa" w:w="1806"/>
            <w:shd w:fill="F2F6FC" w:val="clear"/>
          </w:tcPr>
          <w:p>
            <w:pPr>
              <w:jc w:val="right"/>
            </w:pPr>
            <w:r>
              <w:rPr>
                <w:rFonts w:ascii="Arial" w:hAnsi="Arial"/>
                <w:sz w:val="18"/>
              </w:rPr>
              <w:t>22,911,991.05</w:t>
            </w:r>
          </w:p>
        </w:tc>
        <w:tc>
          <w:tcPr>
            <w:tcW w:type="dxa" w:w="1806"/>
            <w:shd w:fill="F2F6FC" w:val="clear"/>
          </w:tcPr>
          <w:p>
            <w:pPr>
              <w:jc w:val="right"/>
            </w:pPr>
            <w:r>
              <w:rPr>
                <w:rFonts w:ascii="Arial" w:hAnsi="Arial"/>
                <w:sz w:val="18"/>
              </w:rPr>
              <w:t>21,976,797.3</w:t>
            </w:r>
          </w:p>
        </w:tc>
        <w:tc>
          <w:tcPr>
            <w:tcW w:type="dxa" w:w="1806"/>
            <w:shd w:fill="F2F6FC" w:val="clear"/>
          </w:tcPr>
          <w:p>
            <w:pPr>
              <w:jc w:val="right"/>
            </w:pPr>
            <w:r>
              <w:rPr>
                <w:rFonts w:ascii="Arial" w:hAnsi="Arial"/>
                <w:sz w:val="18"/>
              </w:rPr>
              <w:t>-4.08%</w:t>
            </w:r>
          </w:p>
        </w:tc>
        <w:tc>
          <w:tcPr>
            <w:tcW w:type="dxa" w:w="1806"/>
            <w:shd w:fill="F2F6FC" w:val="clear"/>
          </w:tcPr>
          <w:p>
            <w:r>
              <w:rPr>
                <w:rFonts w:ascii="Arial" w:hAnsi="Arial"/>
                <w:sz w:val="18"/>
              </w:rPr>
              <w:t>tCO₂e</w:t>
            </w:r>
          </w:p>
        </w:tc>
      </w:tr>
      <w:tr>
        <w:tc>
          <w:tcPr>
            <w:tcW w:type="dxa" w:w="1806"/>
          </w:tcPr>
          <w:p>
            <w:r>
              <w:rPr>
                <w:rFonts w:ascii="Arial" w:hAnsi="Arial"/>
                <w:sz w:val="18"/>
              </w:rPr>
              <w:t>Scope 3 Cat 15 Weighted</w:t>
            </w:r>
          </w:p>
        </w:tc>
        <w:tc>
          <w:tcPr>
            <w:tcW w:type="dxa" w:w="1806"/>
          </w:tcPr>
          <w:p>
            <w:pPr>
              <w:jc w:val="right"/>
            </w:pPr>
            <w:r>
              <w:rPr>
                <w:rFonts w:ascii="Arial" w:hAnsi="Arial"/>
                <w:sz w:val="18"/>
              </w:rPr>
              <w:t>15,576,239.57</w:t>
            </w:r>
          </w:p>
        </w:tc>
        <w:tc>
          <w:tcPr>
            <w:tcW w:type="dxa" w:w="1806"/>
          </w:tcPr>
          <w:p>
            <w:pPr>
              <w:jc w:val="right"/>
            </w:pPr>
            <w:r>
              <w:rPr>
                <w:rFonts w:ascii="Arial" w:hAnsi="Arial"/>
                <w:sz w:val="18"/>
              </w:rPr>
              <w:t>15,280,174.14</w:t>
            </w:r>
          </w:p>
        </w:tc>
        <w:tc>
          <w:tcPr>
            <w:tcW w:type="dxa" w:w="1806"/>
          </w:tcPr>
          <w:p>
            <w:pPr>
              <w:jc w:val="right"/>
            </w:pPr>
            <w:r>
              <w:rPr>
                <w:rFonts w:ascii="Arial" w:hAnsi="Arial"/>
                <w:sz w:val="18"/>
              </w:rPr>
              <w:t>-1.90%</w:t>
            </w:r>
          </w:p>
        </w:tc>
        <w:tc>
          <w:tcPr>
            <w:tcW w:type="dxa" w:w="1806"/>
          </w:tcPr>
          <w:p>
            <w:r>
              <w:rPr>
                <w:rFonts w:ascii="Arial" w:hAnsi="Arial"/>
                <w:sz w:val="18"/>
              </w:rPr>
              <w:t>tCO₂e</w:t>
            </w:r>
          </w:p>
        </w:tc>
      </w:tr>
      <w:tr>
        <w:tc>
          <w:tcPr>
            <w:tcW w:type="dxa" w:w="1806"/>
            <w:shd w:fill="F2F6FC" w:val="clear"/>
          </w:tcPr>
          <w:p>
            <w:r>
              <w:rPr>
                <w:rFonts w:ascii="Arial" w:hAnsi="Arial"/>
                <w:sz w:val="18"/>
              </w:rPr>
              <w:t>Total (Market-Based)</w:t>
            </w:r>
          </w:p>
        </w:tc>
        <w:tc>
          <w:tcPr>
            <w:tcW w:type="dxa" w:w="1806"/>
            <w:shd w:fill="F2F6FC" w:val="clear"/>
          </w:tcPr>
          <w:p>
            <w:pPr>
              <w:jc w:val="right"/>
            </w:pPr>
            <w:r>
              <w:rPr>
                <w:rFonts w:ascii="Arial" w:hAnsi="Arial"/>
                <w:sz w:val="18"/>
              </w:rPr>
              <w:t>22,959,913.69</w:t>
            </w:r>
          </w:p>
        </w:tc>
        <w:tc>
          <w:tcPr>
            <w:tcW w:type="dxa" w:w="1806"/>
            <w:shd w:fill="F2F6FC" w:val="clear"/>
          </w:tcPr>
          <w:p>
            <w:pPr>
              <w:jc w:val="right"/>
            </w:pPr>
            <w:r>
              <w:rPr>
                <w:rFonts w:ascii="Arial" w:hAnsi="Arial"/>
                <w:sz w:val="18"/>
              </w:rPr>
              <w:t>22,024,812.82</w:t>
            </w:r>
          </w:p>
        </w:tc>
        <w:tc>
          <w:tcPr>
            <w:tcW w:type="dxa" w:w="1806"/>
            <w:shd w:fill="F2F6FC" w:val="clear"/>
          </w:tcPr>
          <w:p>
            <w:pPr>
              <w:jc w:val="right"/>
            </w:pPr>
            <w:r>
              <w:rPr>
                <w:rFonts w:ascii="Arial" w:hAnsi="Arial"/>
                <w:sz w:val="18"/>
              </w:rPr>
              <w:t>-4.07%</w:t>
            </w:r>
          </w:p>
        </w:tc>
        <w:tc>
          <w:tcPr>
            <w:tcW w:type="dxa" w:w="1806"/>
            <w:shd w:fill="F2F6FC" w:val="clear"/>
          </w:tcPr>
          <w:p>
            <w:r>
              <w:rPr>
                <w:rFonts w:ascii="Arial" w:hAnsi="Arial"/>
                <w:sz w:val="18"/>
              </w:rPr>
              <w:t>tCO₂e</w:t>
            </w:r>
          </w:p>
        </w:tc>
      </w:tr>
      <w:tr>
        <w:tc>
          <w:tcPr>
            <w:tcW w:type="dxa" w:w="1806"/>
          </w:tcPr>
          <w:p>
            <w:r>
              <w:rPr>
                <w:rFonts w:ascii="Arial" w:hAnsi="Arial"/>
                <w:sz w:val="18"/>
              </w:rPr>
              <w:t>Intensity (per IDR Bn)</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-11.37%</w:t>
            </w:r>
          </w:p>
        </w:tc>
        <w:tc>
          <w:tcPr>
            <w:tcW w:type="dxa" w:w="1806"/>
          </w:tcPr>
          <w:p>
            <w:r>
              <w:rPr>
                <w:rFonts w:ascii="Arial" w:hAnsi="Arial"/>
                <w:sz w:val="18"/>
              </w:rPr>
              <w:t>tCO₂e/IDR Bn</w:t>
            </w:r>
          </w:p>
        </w:tc>
      </w:tr>
      <w:tr>
        <w:tc>
          <w:tcPr>
            <w:tcW w:type="dxa" w:w="1806"/>
            <w:shd w:fill="F2F6FC" w:val="clear"/>
          </w:tcPr>
          <w:p>
            <w:r>
              <w:rPr>
                <w:rFonts w:ascii="Arial" w:hAnsi="Arial"/>
                <w:sz w:val="18"/>
              </w:rPr>
              <w:t>Intensity (per FTE)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tCO₂e/FTE</w:t>
            </w:r>
          </w:p>
        </w:tc>
      </w:tr>
    </w:tbl>
    <w:p>
      <w:r>
        <w:rPr>
          <w:rFonts w:ascii="Arial" w:hAnsi="Arial"/>
          <w:i/>
          <w:sz w:val="16"/>
        </w:rPr>
        <w:t>Source: Total calculated as Scope 1 + Scope 2 Market-Based + Scope 3 Gross per GHG Protocol hierarchy</w:t>
      </w:r>
    </w:p>
    <w:p/>
    <w:p>
      <w:r>
        <w:rPr>
          <w:rFonts w:ascii="Arial" w:hAnsi="Arial"/>
          <w:b/>
          <w:sz w:val="20"/>
        </w:rPr>
        <w:t>Table 8: Social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Total FTE</w:t>
            </w:r>
          </w:p>
        </w:tc>
        <w:tc>
          <w:tcPr>
            <w:tcW w:type="dxa" w:w="1806"/>
          </w:tcPr>
          <w:p>
            <w:pPr>
              <w:jc w:val="right"/>
            </w:pPr>
            <w:r>
              <w:rPr>
                <w:rFonts w:ascii="Arial" w:hAnsi="Arial"/>
                <w:sz w:val="18"/>
              </w:rPr>
              <w:t>24,500</w:t>
            </w:r>
          </w:p>
        </w:tc>
        <w:tc>
          <w:tcPr>
            <w:tcW w:type="dxa" w:w="1806"/>
          </w:tcPr>
          <w:p>
            <w:pPr>
              <w:jc w:val="right"/>
            </w:pPr>
            <w:r>
              <w:rPr>
                <w:rFonts w:ascii="Arial" w:hAnsi="Arial"/>
                <w:sz w:val="18"/>
              </w:rPr>
              <w:t>24,997</w:t>
            </w:r>
          </w:p>
        </w:tc>
        <w:tc>
          <w:tcPr>
            <w:tcW w:type="dxa" w:w="1806"/>
          </w:tcPr>
          <w:p>
            <w:pPr>
              <w:jc w:val="right"/>
            </w:pPr>
            <w:r>
              <w:rPr>
                <w:rFonts w:ascii="Arial" w:hAnsi="Arial"/>
                <w:sz w:val="18"/>
              </w:rPr>
              <w:t>+2.03%</w:t>
            </w:r>
          </w:p>
        </w:tc>
        <w:tc>
          <w:tcPr>
            <w:tcW w:type="dxa" w:w="1806"/>
          </w:tcPr>
          <w:p>
            <w:r>
              <w:rPr>
                <w:rFonts w:ascii="Arial" w:hAnsi="Arial"/>
                <w:sz w:val="18"/>
              </w:rPr>
              <w:t>employees</w:t>
            </w:r>
          </w:p>
        </w:tc>
      </w:tr>
      <w:tr>
        <w:tc>
          <w:tcPr>
            <w:tcW w:type="dxa" w:w="1806"/>
            <w:shd w:fill="F2F6FC" w:val="clear"/>
          </w:tcPr>
          <w:p>
            <w:r>
              <w:rPr>
                <w:rFonts w:ascii="Arial" w:hAnsi="Arial"/>
                <w:sz w:val="18"/>
              </w:rPr>
              <w:t>Female Representation</w:t>
            </w:r>
          </w:p>
        </w:tc>
        <w:tc>
          <w:tcPr>
            <w:tcW w:type="dxa" w:w="1806"/>
            <w:shd w:fill="F2F6FC" w:val="clear"/>
          </w:tcPr>
          <w:p>
            <w:pPr>
              <w:jc w:val="right"/>
            </w:pPr>
            <w:r>
              <w:rPr>
                <w:rFonts w:ascii="Arial" w:hAnsi="Arial"/>
                <w:sz w:val="18"/>
              </w:rPr>
              <w:t>46.2</w:t>
            </w:r>
          </w:p>
        </w:tc>
        <w:tc>
          <w:tcPr>
            <w:tcW w:type="dxa" w:w="1806"/>
            <w:shd w:fill="F2F6FC" w:val="clear"/>
          </w:tcPr>
          <w:p>
            <w:pPr>
              <w:jc w:val="right"/>
            </w:pPr>
            <w:r>
              <w:rPr>
                <w:rFonts w:ascii="Arial" w:hAnsi="Arial"/>
                <w:sz w:val="18"/>
              </w:rPr>
              <w:t>42.32</w:t>
            </w:r>
          </w:p>
        </w:tc>
        <w:tc>
          <w:tcPr>
            <w:tcW w:type="dxa" w:w="1806"/>
            <w:shd w:fill="F2F6FC" w:val="clear"/>
          </w:tcPr>
          <w:p>
            <w:r>
              <w:rPr>
                <w:rFonts w:ascii="Arial" w:hAnsi="Arial"/>
                <w:sz w:val="18"/>
              </w:rPr>
              <w:t>-3.88pp</w:t>
            </w:r>
          </w:p>
        </w:tc>
        <w:tc>
          <w:tcPr>
            <w:tcW w:type="dxa" w:w="1806"/>
            <w:shd w:fill="F2F6FC" w:val="clear"/>
          </w:tcPr>
          <w:p>
            <w:r>
              <w:rPr>
                <w:rFonts w:ascii="Arial" w:hAnsi="Arial"/>
                <w:sz w:val="18"/>
              </w:rPr>
              <w:t>%</w:t>
            </w:r>
          </w:p>
        </w:tc>
      </w:tr>
      <w:tr>
        <w:tc>
          <w:tcPr>
            <w:tcW w:type="dxa" w:w="1806"/>
          </w:tcPr>
          <w:p>
            <w:r>
              <w:rPr>
                <w:rFonts w:ascii="Arial" w:hAnsi="Arial"/>
                <w:sz w:val="18"/>
              </w:rPr>
              <w:t>Female in Management</w:t>
            </w:r>
          </w:p>
        </w:tc>
        <w:tc>
          <w:tcPr>
            <w:tcW w:type="dxa" w:w="1806"/>
          </w:tcPr>
          <w:p>
            <w:pPr>
              <w:jc w:val="right"/>
            </w:pPr>
            <w:r>
              <w:rPr>
                <w:rFonts w:ascii="Arial" w:hAnsi="Arial"/>
                <w:sz w:val="18"/>
              </w:rPr>
              <w:t>28.45</w:t>
            </w:r>
          </w:p>
        </w:tc>
        <w:tc>
          <w:tcPr>
            <w:tcW w:type="dxa" w:w="1806"/>
          </w:tcPr>
          <w:p>
            <w:pPr>
              <w:jc w:val="right"/>
            </w:pPr>
            <w:r>
              <w:rPr>
                <w:rFonts w:ascii="Arial" w:hAnsi="Arial"/>
                <w:sz w:val="18"/>
              </w:rPr>
              <w:t>26.67</w:t>
            </w:r>
          </w:p>
        </w:tc>
        <w:tc>
          <w:tcPr>
            <w:tcW w:type="dxa" w:w="1806"/>
          </w:tcPr>
          <w:p>
            <w:r>
              <w:rPr>
                <w:rFonts w:ascii="Arial" w:hAnsi="Arial"/>
                <w:sz w:val="18"/>
              </w:rPr>
              <w:t>-1.78pp</w:t>
            </w:r>
          </w:p>
        </w:tc>
        <w:tc>
          <w:tcPr>
            <w:tcW w:type="dxa" w:w="1806"/>
          </w:tcPr>
          <w:p>
            <w:r>
              <w:rPr>
                <w:rFonts w:ascii="Arial" w:hAnsi="Arial"/>
                <w:sz w:val="18"/>
              </w:rPr>
              <w:t>%</w:t>
            </w:r>
          </w:p>
        </w:tc>
      </w:tr>
      <w:tr>
        <w:tc>
          <w:tcPr>
            <w:tcW w:type="dxa" w:w="1806"/>
            <w:shd w:fill="F2F6FC" w:val="clear"/>
          </w:tcPr>
          <w:p>
            <w:r>
              <w:rPr>
                <w:rFonts w:ascii="Arial" w:hAnsi="Arial"/>
                <w:sz w:val="18"/>
              </w:rPr>
              <w:t>Training Hours per FTE</w:t>
            </w:r>
          </w:p>
        </w:tc>
        <w:tc>
          <w:tcPr>
            <w:tcW w:type="dxa" w:w="1806"/>
            <w:shd w:fill="F2F6FC" w:val="clear"/>
          </w:tcPr>
          <w:p>
            <w:pPr>
              <w:jc w:val="right"/>
            </w:pPr>
            <w:r>
              <w:rPr>
                <w:rFonts w:ascii="Arial" w:hAnsi="Arial"/>
                <w:sz w:val="18"/>
              </w:rPr>
              <w:t>64.14</w:t>
            </w:r>
          </w:p>
        </w:tc>
        <w:tc>
          <w:tcPr>
            <w:tcW w:type="dxa" w:w="1806"/>
            <w:shd w:fill="F2F6FC" w:val="clear"/>
          </w:tcPr>
          <w:p>
            <w:pPr>
              <w:jc w:val="right"/>
            </w:pPr>
            <w:r>
              <w:rPr>
                <w:rFonts w:ascii="Arial" w:hAnsi="Arial"/>
                <w:sz w:val="18"/>
              </w:rPr>
              <w:t>49.3</w:t>
            </w:r>
          </w:p>
        </w:tc>
        <w:tc>
          <w:tcPr>
            <w:tcW w:type="dxa" w:w="1806"/>
            <w:shd w:fill="F2F6FC" w:val="clear"/>
          </w:tcPr>
          <w:p>
            <w:pPr>
              <w:jc w:val="right"/>
            </w:pPr>
            <w:r>
              <w:rPr>
                <w:rFonts w:ascii="Arial" w:hAnsi="Arial"/>
                <w:sz w:val="18"/>
              </w:rPr>
              <w:t>-23.14%</w:t>
            </w:r>
          </w:p>
        </w:tc>
        <w:tc>
          <w:tcPr>
            <w:tcW w:type="dxa" w:w="1806"/>
            <w:shd w:fill="F2F6FC" w:val="clear"/>
          </w:tcPr>
          <w:p>
            <w:r>
              <w:rPr>
                <w:rFonts w:ascii="Arial" w:hAnsi="Arial"/>
                <w:sz w:val="18"/>
              </w:rPr>
              <w:t>hours</w:t>
            </w:r>
          </w:p>
        </w:tc>
      </w:tr>
      <w:tr>
        <w:tc>
          <w:tcPr>
            <w:tcW w:type="dxa" w:w="1806"/>
          </w:tcPr>
          <w:p>
            <w:r>
              <w:rPr>
                <w:rFonts w:ascii="Arial" w:hAnsi="Arial"/>
                <w:sz w:val="18"/>
              </w:rPr>
              <w:t>Voluntary Turnover</w:t>
            </w:r>
          </w:p>
        </w:tc>
        <w:tc>
          <w:tcPr>
            <w:tcW w:type="dxa" w:w="1806"/>
          </w:tcPr>
          <w:p>
            <w:pPr>
              <w:jc w:val="right"/>
            </w:pPr>
            <w:r>
              <w:rPr>
                <w:rFonts w:ascii="Arial" w:hAnsi="Arial"/>
                <w:sz w:val="18"/>
              </w:rPr>
              <w:t>14.24</w:t>
            </w:r>
          </w:p>
        </w:tc>
        <w:tc>
          <w:tcPr>
            <w:tcW w:type="dxa" w:w="1806"/>
          </w:tcPr>
          <w:p>
            <w:pPr>
              <w:jc w:val="right"/>
            </w:pPr>
            <w:r>
              <w:rPr>
                <w:rFonts w:ascii="Arial" w:hAnsi="Arial"/>
                <w:sz w:val="18"/>
              </w:rPr>
              <w:t>8.45</w:t>
            </w:r>
          </w:p>
        </w:tc>
        <w:tc>
          <w:tcPr>
            <w:tcW w:type="dxa" w:w="1806"/>
          </w:tcPr>
          <w:p>
            <w:pPr>
              <w:jc w:val="right"/>
            </w:pPr>
            <w:r>
              <w:rPr>
                <w:rFonts w:ascii="Arial" w:hAnsi="Arial"/>
                <w:sz w:val="18"/>
              </w:rPr>
              <w:t>-40.66%</w:t>
            </w:r>
          </w:p>
        </w:tc>
        <w:tc>
          <w:tcPr>
            <w:tcW w:type="dxa" w:w="1806"/>
          </w:tcPr>
          <w:p>
            <w:r>
              <w:rPr>
                <w:rFonts w:ascii="Arial" w:hAnsi="Arial"/>
                <w:sz w:val="18"/>
              </w:rPr>
              <w:t>%</w:t>
            </w:r>
          </w:p>
        </w:tc>
      </w:tr>
      <w:tr>
        <w:tc>
          <w:tcPr>
            <w:tcW w:type="dxa" w:w="1806"/>
            <w:shd w:fill="F2F6FC" w:val="clear"/>
          </w:tcPr>
          <w:p>
            <w:r>
              <w:rPr>
                <w:rFonts w:ascii="Arial" w:hAnsi="Arial"/>
                <w:sz w:val="18"/>
              </w:rPr>
              <w:t>Discrimination Cases</w:t>
            </w:r>
          </w:p>
        </w:tc>
        <w:tc>
          <w:tcPr>
            <w:tcW w:type="dxa" w:w="1806"/>
            <w:shd w:fill="F2F6FC" w:val="clear"/>
          </w:tcPr>
          <w:p>
            <w:pPr>
              <w:jc w:val="right"/>
            </w:pPr>
            <w:r>
              <w:rPr>
                <w:rFonts w:ascii="Arial" w:hAnsi="Arial"/>
                <w:sz w:val="18"/>
              </w:rPr>
              <w:t>3</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-33.33%</w:t>
            </w:r>
          </w:p>
        </w:tc>
        <w:tc>
          <w:tcPr>
            <w:tcW w:type="dxa" w:w="1806"/>
            <w:shd w:fill="F2F6FC" w:val="clear"/>
          </w:tcPr>
          <w:p>
            <w:r>
              <w:rPr>
                <w:rFonts w:ascii="Arial" w:hAnsi="Arial"/>
                <w:sz w:val="18"/>
              </w:rPr>
              <w:t>cases</w:t>
            </w:r>
          </w:p>
        </w:tc>
      </w:tr>
      <w:tr>
        <w:tc>
          <w:tcPr>
            <w:tcW w:type="dxa" w:w="1806"/>
          </w:tcPr>
          <w:p>
            <w:r>
              <w:rPr>
                <w:rFonts w:ascii="Arial" w:hAnsi="Arial"/>
                <w:sz w:val="18"/>
              </w:rPr>
              <w:t>New Hires</w:t>
            </w:r>
          </w:p>
        </w:tc>
        <w:tc>
          <w:tcPr>
            <w:tcW w:type="dxa" w:w="1806"/>
          </w:tcPr>
          <w:p>
            <w:pPr>
              <w:jc w:val="right"/>
            </w:pPr>
            <w:r>
              <w:rPr>
                <w:rFonts w:ascii="Arial" w:hAnsi="Arial"/>
                <w:sz w:val="18"/>
              </w:rPr>
              <w:t>3,169</w:t>
            </w:r>
          </w:p>
        </w:tc>
        <w:tc>
          <w:tcPr>
            <w:tcW w:type="dxa" w:w="1806"/>
          </w:tcPr>
          <w:p>
            <w:pPr>
              <w:jc w:val="right"/>
            </w:pPr>
            <w:r>
              <w:rPr>
                <w:rFonts w:ascii="Arial" w:hAnsi="Arial"/>
                <w:sz w:val="18"/>
              </w:rPr>
              <w:t>2,595</w:t>
            </w:r>
          </w:p>
        </w:tc>
        <w:tc>
          <w:tcPr>
            <w:tcW w:type="dxa" w:w="1806"/>
          </w:tcPr>
          <w:p>
            <w:pPr>
              <w:jc w:val="right"/>
            </w:pPr>
            <w:r>
              <w:rPr>
                <w:rFonts w:ascii="Arial" w:hAnsi="Arial"/>
                <w:sz w:val="18"/>
              </w:rPr>
              <w:t>-18.11%</w:t>
            </w:r>
          </w:p>
        </w:tc>
        <w:tc>
          <w:tcPr>
            <w:tcW w:type="dxa" w:w="1806"/>
          </w:tcPr>
          <w:p>
            <w:r>
              <w:rPr>
                <w:rFonts w:ascii="Arial" w:hAnsi="Arial"/>
                <w:sz w:val="18"/>
              </w:rPr>
              <w:t>employees</w:t>
            </w:r>
          </w:p>
        </w:tc>
      </w:tr>
      <w:tr>
        <w:tc>
          <w:tcPr>
            <w:tcW w:type="dxa" w:w="1806"/>
            <w:shd w:fill="F2F6FC" w:val="clear"/>
          </w:tcPr>
          <w:p>
            <w:r>
              <w:rPr>
                <w:rFonts w:ascii="Arial" w:hAnsi="Arial"/>
                <w:sz w:val="18"/>
              </w:rPr>
              <w:t>Hiring Rate</w:t>
            </w:r>
          </w:p>
        </w:tc>
        <w:tc>
          <w:tcPr>
            <w:tcW w:type="dxa" w:w="1806"/>
            <w:shd w:fill="F2F6FC" w:val="clear"/>
          </w:tcPr>
          <w:p>
            <w:pPr>
              <w:jc w:val="right"/>
            </w:pPr>
            <w:r>
              <w:rPr>
                <w:rFonts w:ascii="Arial" w:hAnsi="Arial"/>
                <w:sz w:val="18"/>
              </w:rPr>
              <w:t>12.93</w:t>
            </w:r>
          </w:p>
        </w:tc>
        <w:tc>
          <w:tcPr>
            <w:tcW w:type="dxa" w:w="1806"/>
            <w:shd w:fill="F2F6FC" w:val="clear"/>
          </w:tcPr>
          <w:p>
            <w:pPr>
              <w:jc w:val="right"/>
            </w:pPr>
            <w:r>
              <w:rPr>
                <w:rFonts w:ascii="Arial" w:hAnsi="Arial"/>
                <w:sz w:val="18"/>
              </w:rPr>
              <w:t>10.38</w:t>
            </w:r>
          </w:p>
        </w:tc>
        <w:tc>
          <w:tcPr>
            <w:tcW w:type="dxa" w:w="1806"/>
            <w:shd w:fill="F2F6FC" w:val="clear"/>
          </w:tcPr>
          <w:p>
            <w:pPr>
              <w:jc w:val="right"/>
            </w:pPr>
            <w:r>
              <w:rPr>
                <w:rFonts w:ascii="Arial" w:hAnsi="Arial"/>
                <w:sz w:val="18"/>
              </w:rPr>
              <w:t>-19.72%</w:t>
            </w:r>
          </w:p>
        </w:tc>
        <w:tc>
          <w:tcPr>
            <w:tcW w:type="dxa" w:w="1806"/>
            <w:shd w:fill="F2F6FC" w:val="clear"/>
          </w:tcPr>
          <w:p>
            <w:r>
              <w:rPr>
                <w:rFonts w:ascii="Arial" w:hAnsi="Arial"/>
                <w:sz w:val="18"/>
              </w:rPr>
              <w:t>%</w:t>
            </w:r>
          </w:p>
        </w:tc>
      </w:tr>
    </w:tbl>
    <w:p>
      <w:r>
        <w:rPr>
          <w:rFonts w:ascii="Arial" w:hAnsi="Arial"/>
          <w:i/>
          <w:sz w:val="16"/>
        </w:rPr>
        <w:t>Source: pp = percentage points; YoY change for percentages calculated as absolute difference</w:t>
      </w:r>
    </w:p>
    <w:p/>
    <w:p>
      <w:r>
        <w:rPr>
          <w:rFonts w:ascii="Arial" w:hAnsi="Arial"/>
          <w:b/>
          <w:sz w:val="20"/>
        </w:rPr>
        <w:t>Table 10: Framework Compliance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&amp; 2 Disclosure</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Scope 3 / Financed Emissions</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Partial</w:t>
            </w:r>
          </w:p>
        </w:tc>
      </w:tr>
      <w:tr>
        <w:tc>
          <w:tcPr>
            <w:tcW w:type="dxa" w:w="1806"/>
          </w:tcPr>
          <w:p>
            <w:r>
              <w:rPr>
                <w:rFonts w:ascii="Arial" w:hAnsi="Arial"/>
                <w:sz w:val="18"/>
              </w:rPr>
              <w:t>Emission Intensity Metrics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Reduction Targets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r>
        <w:tc>
          <w:tcPr>
            <w:tcW w:type="dxa" w:w="1806"/>
          </w:tcPr>
          <w:p>
            <w:r>
              <w:rPr>
                <w:rFonts w:ascii="Arial" w:hAnsi="Arial"/>
                <w:sz w:val="18"/>
              </w:rPr>
              <w:t>Transition Plan</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r>
      <w:tr>
        <w:tc>
          <w:tcPr>
            <w:tcW w:type="dxa" w:w="1806"/>
            <w:shd w:fill="F2F6FC" w:val="clear"/>
          </w:tcPr>
          <w:p>
            <w:r>
              <w:rPr>
                <w:rFonts w:ascii="Arial" w:hAnsi="Arial"/>
                <w:sz w:val="18"/>
              </w:rPr>
              <w:t>Climate Governance</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r>
      <w:tr>
        <w:tc>
          <w:tcPr>
            <w:tcW w:type="dxa" w:w="1806"/>
          </w:tcPr>
          <w:p>
            <w:r>
              <w:rPr>
                <w:rFonts w:ascii="Arial" w:hAnsi="Arial"/>
                <w:sz w:val="18"/>
              </w:rPr>
              <w:t>Risk Management</w:t>
            </w:r>
          </w:p>
        </w:tc>
        <w:tc>
          <w:tcPr>
            <w:tcW w:type="dxa" w:w="1806"/>
          </w:tcPr>
          <w:p>
            <w:r>
              <w:rPr>
                <w:rFonts w:ascii="Arial" w:hAnsi="Arial"/>
                <w:sz w:val="18"/>
              </w:rPr>
              <w:t>⚠️ Partial</w:t>
            </w:r>
          </w:p>
        </w:tc>
        <w:tc>
          <w:tcPr>
            <w:tcW w:type="dxa" w:w="1806"/>
          </w:tcPr>
          <w:p>
            <w:r>
              <w:rPr>
                <w:rFonts w:ascii="Arial" w:hAnsi="Arial"/>
                <w:sz w:val="18"/>
              </w:rPr>
              <w:t>⚠️ Partial</w:t>
            </w:r>
          </w:p>
        </w:tc>
        <w:tc>
          <w:tcPr>
            <w:tcW w:type="dxa" w:w="1806"/>
          </w:tcPr>
          <w:p>
            <w:r>
              <w:rPr>
                <w:rFonts w:ascii="Arial" w:hAnsi="Arial"/>
                <w:sz w:val="18"/>
              </w:rPr>
              <w:t>⚠️ Partial</w:t>
            </w:r>
          </w:p>
        </w:tc>
        <w:tc>
          <w:tcPr>
            <w:tcW w:type="dxa" w:w="1806"/>
          </w:tcPr>
          <w:p>
            <w:r>
              <w:rPr>
                <w:rFonts w:ascii="Arial" w:hAnsi="Arial"/>
                <w:sz w:val="18"/>
              </w:rPr>
              <w:t>⚠️ Partial</w:t>
            </w:r>
          </w:p>
        </w:tc>
      </w:tr>
      <w:tr>
        <w:tc>
          <w:tcPr>
            <w:tcW w:type="dxa" w:w="1806"/>
            <w:shd w:fill="F2F6FC" w:val="clear"/>
          </w:tcPr>
          <w:p>
            <w:r>
              <w:rPr>
                <w:rFonts w:ascii="Arial" w:hAnsi="Arial"/>
                <w:sz w:val="18"/>
              </w:rPr>
              <w:t>Scenario Analysis</w:t>
            </w:r>
          </w:p>
        </w:tc>
        <w:tc>
          <w:tcPr>
            <w:tcW w:type="dxa" w:w="1806"/>
            <w:shd w:fill="F2F6FC" w:val="clear"/>
          </w:tcPr>
          <w:p>
            <w:r>
              <w:rPr>
                <w:rFonts w:ascii="Arial" w:hAnsi="Arial"/>
                <w:sz w:val="18"/>
              </w:rPr>
              <w:t>N/A</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N/A</w:t>
            </w:r>
          </w:p>
        </w:tc>
      </w:tr>
      <w:tr>
        <w:tc>
          <w:tcPr>
            <w:tcW w:type="dxa" w:w="1806"/>
          </w:tcPr>
          <w:p>
            <w:r>
              <w:rPr>
                <w:rFonts w:ascii="Arial" w:hAnsi="Arial"/>
                <w:sz w:val="18"/>
              </w:rPr>
              <w:t>Social Metrics (Diversity)</w:t>
            </w:r>
          </w:p>
        </w:tc>
        <w:tc>
          <w:tcPr>
            <w:tcW w:type="dxa" w:w="1806"/>
          </w:tcPr>
          <w:p>
            <w:r>
              <w:rPr>
                <w:rFonts w:ascii="Arial" w:hAnsi="Arial"/>
                <w:sz w:val="18"/>
              </w:rPr>
              <w:t>✅ Disclosed</w:t>
            </w:r>
          </w:p>
        </w:tc>
        <w:tc>
          <w:tcPr>
            <w:tcW w:type="dxa" w:w="1806"/>
          </w:tcPr>
          <w:p>
            <w:r>
              <w:rPr>
                <w:rFonts w:ascii="Arial" w:hAnsi="Arial"/>
                <w:sz w:val="18"/>
              </w:rPr>
              <w:t>N/A</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External Assurance</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bl>
    <w:p>
      <w:r>
        <w:rPr>
          <w:rFonts w:ascii="Arial" w:hAnsi="Arial"/>
          <w:i/>
          <w:sz w:val="16"/>
        </w:rPr>
        <w:t>Source: Assessment based on data availability in reporting system; ✅ = fully disclosed, ⚠️ = partially disclosed, ❌ = not disclosed, N/A = not required by framework</w:t>
      </w:r>
    </w:p>
    <w:p/>
    <w:p/>
    <w:p>
      <w:r>
        <w:rPr>
          <w:b/>
          <w:color w:val="3D6094"/>
          <w:sz w:val="24"/>
        </w:rPr>
        <w:t>Top Strategic Recommendations</w:t>
      </w:r>
    </w:p>
    <w:p>
      <w:pPr>
        <w:spacing w:after="160" w:line="276" w:lineRule="auto"/>
      </w:pPr>
      <w:r>
        <w:t>→ Establish sector-specific financed emission reduction targets for Energy - Oil &amp; Gas (43.56% of financed emissions), Manufacturing - Cement (26.45%), and Manufacturing - Steel (15.92%) portfolios — Expected impact: 30-40% reduction pathway alignment with Paris Agreement scenarios — Timeline: Q2 2025 target setting, implementation roadmap by Q4 2025 — Peer reference: Regional banks with NZBA commitments have implemented sector-level interim targets</w:t>
      </w:r>
    </w:p>
    <w:p>
      <w:pPr>
        <w:spacing w:after="160" w:line="276" w:lineRule="auto"/>
      </w:pPr>
      <w:r>
        <w:t>→ Upgrade PCAF data quality score from 3.36 to ≤3.0 through direct borrower engagement protocols — Expected impact: Improve accuracy of financed emissions by 15-25%, enable borrower-specific risk assessment — Timeline: Pilot program Q3 2025 with top 50 borrowers (representing ~60% of financed emissions), full rollout by FY2026 — Peer reference: Leading Indonesian banks have achieved PCAF scores of 2.8-3.1 through systematic data collection frameworks</w:t>
      </w:r>
    </w:p>
    <w:p>
      <w:pPr>
        <w:spacing w:after="160" w:line="276" w:lineRule="auto"/>
      </w:pPr>
      <w:r>
        <w:t>→ Implement limited assurance for Scope 1, 2, and Scope 3 Category 15 financed emissions — Expected impact: Enhance investor confidence, meet emerging regulatory expectations, identify process improvements — Timeline: Engage assurance provider Q1 2025 for FY2025 reporting cycle — Peer reference: 60% of regional peer banks now obtain external assurance for material emission categories</w:t>
      </w:r>
    </w:p>
    <w:p>
      <w:pPr>
        <w:spacing w:after="160" w:line="276" w:lineRule="auto"/>
      </w:pPr>
      <w:r>
        <w:t>→ Develop and disclose climate transition plan aligned with IFRS S2 and ESRS E1 requirements — Expected impact: Address critical framework compliance gap, articulate decarbonization strategy to stakeholders — Timeline: Draft plan Q3 2025, Board approval Q4 2025, public disclosure in FY2025 sustainability report — Peer reference: TCFD-aligned transition plans now standard practice among ASEAN financial institutions</w:t>
      </w:r>
    </w:p>
    <w:p>
      <w:pPr>
        <w:spacing w:after="160" w:line="276" w:lineRule="auto"/>
      </w:pPr>
      <w:r>
        <w:t>→ Reverse declining trend in female workforce representation through targeted recruitment and retention initiatives — Expected impact: Restore female representation to ≥45% (2023 baseline), improve management pipeline diversity — Timeline: Implement revised diversity hiring targets Q2 2025, quarterly monitoring — Peer reference: Indonesian banking sector average female representation is 48-52% per OJK industry data</w:t>
      </w:r>
    </w:p>
    <w:p>
      <w:r>
        <w:rPr>
          <w:i/>
          <w:color w:val="3D6094"/>
          <w:sz w:val="18"/>
        </w:rPr>
        <w:t>Framework references: GRI 305-1: Direct (Scope 1) GHG emissions; GRI 305-2: Energy indirect (Scope 2) GHG emissions; GRI 305-3: Other indirect (Scope 3) GHG emissions; GRI 305-4: GHG emissions intensity; PCAF Global GHG Accounting and Reporting Standard (2022) - Category 15: Financed Emissions; GHG Protocol Corporate Accounting and Reporting Standard (Revised Edition); GHG Protocol Corporate Value Chain (Scope 3) Accounting and Reporting Standard; GHG Protocol Scope 2 Guidance; GRI 405-1: Diversity of governance bodies and employees; GRI 404-1: Average hours of training per year per employee; GRI 401-1: New employee hires and employee turnover</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Total GHG emissions calculated as Scope 1 + Scope 2 (market-based) + Scope 3 Category 15 (gross) per GHG Protocol Corporate Value Chain (Scope 3) Standard.</w:t>
      </w:r>
    </w:p>
    <w:p>
      <w:pPr>
        <w:spacing w:after="160" w:line="276" w:lineRule="auto"/>
      </w:pPr>
      <w:r>
        <w:rPr>
          <w:rFonts w:ascii="Arial" w:hAnsi="Arial"/>
          <w:i/>
          <w:color w:val="646464"/>
          <w:sz w:val="18"/>
        </w:rPr>
        <w:t>Financed emissions calculated using PCAF Global GHG Accounting and Reporting Standard for the Financial Industry (2022). Weighted emissions reflect the institution's proportional attribution based on outstanding loan amount divided by borrower enterprise value plus debt.</w:t>
      </w:r>
    </w:p>
    <w:p>
      <w:pPr>
        <w:spacing w:after="160" w:line="276" w:lineRule="auto"/>
      </w:pPr>
      <w:r>
        <w:rPr>
          <w:rFonts w:ascii="Arial" w:hAnsi="Arial"/>
          <w:i/>
          <w:color w:val="646464"/>
          <w:sz w:val="18"/>
        </w:rPr>
        <w:t>Year-over-year comparison uses restated 2023 baseline figures. Prior year total: 22,959,913.69 tCO₂e (3,324.521 + 44,598.118 + 22,911,991.05).</w:t>
      </w:r>
    </w:p>
    <w:p>
      <w:pPr>
        <w:spacing w:after="160" w:line="276" w:lineRule="auto"/>
      </w:pPr>
      <w:r>
        <w:rPr>
          <w:rFonts w:ascii="Arial" w:hAnsi="Arial"/>
          <w:i/>
          <w:color w:val="646464"/>
          <w:sz w:val="18"/>
        </w:rPr>
        <w:t>Scope 2 location-based emissions (44,613.876 tCO₂e) provided as supplementary disclosure; market-based methodology used for total footprint calculation per GHG Protocol Scope 2 Guidance hierarchy.</w:t>
      </w:r>
    </w:p>
    <w:p>
      <w:pPr>
        <w:spacing w:after="160" w:line="276" w:lineRule="auto"/>
      </w:pPr>
      <w:r>
        <w:rPr>
          <w:rFonts w:ascii="Arial" w:hAnsi="Arial"/>
          <w:i/>
          <w:color w:val="646464"/>
          <w:sz w:val="18"/>
        </w:rPr>
        <w:t>PCAF data quality score of 3.36 indicates predominant use of sector-average emission factors (Score 3 = physical activity data with sector-average emission factors). Score range: 1 (highest quality, verified emissions) to 5 (lowest quality, economic activity-based estimates).</w:t>
      </w:r>
    </w:p>
    <w:p>
      <w:pPr>
        <w:spacing w:after="160" w:line="276" w:lineRule="auto"/>
      </w:pPr>
      <w:r>
        <w:rPr>
          <w:rFonts w:ascii="Arial" w:hAnsi="Arial"/>
          <w:i/>
          <w:color w:val="646464"/>
          <w:sz w:val="18"/>
        </w:rPr>
        <w:t>Emission intensity metrics calculated using total outstanding loan portfolio and year-end FTE headcount. Revenue intensity denominator represents total loan portfolio value in IDR billions.</w:t>
      </w:r>
    </w:p>
    <w:p>
      <w:pPr>
        <w:spacing w:after="160" w:line="276" w:lineRule="auto"/>
      </w:pPr>
      <w:r>
        <w:rPr>
          <w:rFonts w:ascii="Arial" w:hAnsi="Arial"/>
          <w:i/>
          <w:color w:val="646464"/>
          <w:sz w:val="18"/>
        </w:rPr>
        <w:t>Social metrics cover all employees under operational control. Female representation percentages calculated as headcount (not FTE). Discrimination cases represent formal complaints filed through institutional grievance mechanisms.</w:t>
      </w:r>
    </w:p>
    <w:p>
      <w:pPr>
        <w:spacing w:after="160" w:line="276" w:lineRule="auto"/>
      </w:pPr>
      <w:r>
        <w:rPr>
          <w:rFonts w:ascii="Arial" w:hAnsi="Arial"/>
          <w:i/>
          <w:color w:val="646464"/>
          <w:sz w:val="18"/>
        </w:rPr>
        <w:t>Scope 1 emissions include natural gas consumption (1,199.7924 tCO₂e) and diesel fuel consumption (2,203.2044 tCO₂e) across all facilities under operational control.</w:t>
      </w:r>
    </w:p>
    <w:p>
      <w:pPr>
        <w:spacing w:after="160" w:line="276" w:lineRule="auto"/>
      </w:pPr>
      <w:r>
        <w:rPr>
          <w:rFonts w:ascii="Arial" w:hAnsi="Arial"/>
          <w:i/>
          <w:color w:val="646464"/>
          <w:sz w:val="18"/>
        </w:rPr>
        <w:t>Top 10 facilities by Scope 1 emissions account for 1,124.8897 tCO₂e (33.05% of total Scope 1). All facility-level data achieved data quality score of 1 (metered consumption with supplier-specific emission factors).</w:t>
      </w:r>
    </w:p>
    <w:p>
      <w:r>
        <w:br w:type="page"/>
      </w:r>
    </w:p>
    <w:p>
      <w:pPr>
        <w:pStyle w:val="Heading1"/>
        <w:keepNext/>
        <w:spacing w:before="480" w:after="240"/>
      </w:pPr>
      <w:r>
        <w:rPr>
          <w:rFonts w:ascii="Arial" w:hAnsi="Arial"/>
          <w:b/>
          <w:color w:val="1B3A6B"/>
          <w:sz w:val="36"/>
        </w:rPr>
        <w:t>Environmental Performance</w:t>
      </w:r>
    </w:p>
    <w:p>
      <w:pPr>
        <w:pStyle w:val="Heading2"/>
        <w:keepNext/>
        <w:spacing w:before="360" w:after="160"/>
      </w:pPr>
      <w:r>
        <w:rPr>
          <w:rFonts w:ascii="Arial" w:hAnsi="Arial"/>
          <w:b/>
          <w:color w:val="3D6094"/>
          <w:sz w:val="28"/>
        </w:rPr>
        <w:t>1.1 Direct GHG Emissions — Scope 1</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3,403.0</w:t>
            </w:r>
            <w:r>
              <w:rPr>
                <w:color w:val="757575"/>
                <w:sz w:val="18"/>
              </w:rPr>
              <w:t xml:space="preserve"> tCO₂e</w:t>
            </w:r>
            <w:r>
              <w:rPr>
                <w:b/>
                <w:color w:val="C62828"/>
                <w:sz w:val="20"/>
              </w:rPr>
              <w:br/>
              <w:t>+2.36% YoY</w:t>
            </w:r>
          </w:p>
        </w:tc>
        <w:tc>
          <w:tcPr>
            <w:tcW w:type="dxa" w:w="2257"/>
            <w:shd w:fill="F2F6FA" w:val="clear"/>
          </w:tcPr>
          <w:p>
            <w:pPr>
              <w:jc w:val="center"/>
            </w:pPr>
            <w:r>
              <w:rPr>
                <w:b/>
                <w:color w:val="1B3A6B"/>
                <w:sz w:val="36"/>
              </w:rPr>
              <w:t>64.7</w:t>
            </w:r>
            <w:r>
              <w:rPr>
                <w:color w:val="757575"/>
                <w:sz w:val="18"/>
              </w:rPr>
              <w:t xml:space="preserve"> %</w:t>
            </w:r>
            <w:r>
              <w:rPr>
                <w:b/>
                <w:color w:val="C62828"/>
                <w:sz w:val="20"/>
              </w:rPr>
              <w:br/>
              <w:t>Primary reduction lever</w:t>
            </w:r>
          </w:p>
        </w:tc>
        <w:tc>
          <w:tcPr>
            <w:tcW w:type="dxa" w:w="2257"/>
            <w:shd w:fill="F2F6FA" w:val="clear"/>
          </w:tcPr>
          <w:p>
            <w:pPr>
              <w:jc w:val="center"/>
            </w:pPr>
            <w:r>
              <w:rPr>
                <w:b/>
                <w:color w:val="1B3A6B"/>
                <w:sz w:val="36"/>
              </w:rPr>
              <w:t>650.8</w:t>
            </w:r>
            <w:r>
              <w:rPr>
                <w:color w:val="757575"/>
                <w:sz w:val="18"/>
              </w:rPr>
              <w:t xml:space="preserve"> tCO₂e</w:t>
            </w:r>
            <w:r>
              <w:rPr>
                <w:b/>
                <w:color w:val="C62828"/>
                <w:sz w:val="20"/>
              </w:rPr>
              <w:br/>
              <w:t>19.1% of Scope 1</w:t>
            </w:r>
          </w:p>
        </w:tc>
        <w:tc>
          <w:tcPr>
            <w:tcW w:type="dxa" w:w="2257"/>
            <w:shd w:fill="F2F6FA" w:val="clear"/>
          </w:tcPr>
          <w:p>
            <w:pPr>
              <w:jc w:val="center"/>
            </w:pPr>
            <w:r>
              <w:rPr>
                <w:b/>
                <w:color w:val="1B3A6B"/>
                <w:sz w:val="36"/>
              </w:rPr>
              <w:t>8-14</w:t>
            </w:r>
            <w:r>
              <w:rPr>
                <w:color w:val="757575"/>
                <w:sz w:val="18"/>
              </w:rPr>
              <w:t xml:space="preserve"> pp</w:t>
            </w:r>
            <w:r>
              <w:rPr>
                <w:b/>
                <w:color w:val="C62828"/>
                <w:sz w:val="20"/>
              </w:rPr>
              <w:br/>
              <w:t>vs DBS/BRI/Mandiri reductions</w:t>
            </w:r>
          </w:p>
        </w:tc>
      </w:tr>
      <w:tr>
        <w:tc>
          <w:tcPr>
            <w:tcW w:type="dxa" w:w="2257"/>
            <w:shd w:fill="F2F6FA" w:val="clear"/>
          </w:tcPr>
          <w:p>
            <w:pPr>
              <w:jc w:val="center"/>
            </w:pPr>
            <w:r>
              <w:rPr>
                <w:color w:val="757575"/>
                <w:sz w:val="16"/>
              </w:rPr>
              <w:t>Total Scope 1 Emissions</w:t>
            </w:r>
          </w:p>
        </w:tc>
        <w:tc>
          <w:tcPr>
            <w:tcW w:type="dxa" w:w="2257"/>
            <w:shd w:fill="F2F6FA" w:val="clear"/>
          </w:tcPr>
          <w:p>
            <w:pPr>
              <w:jc w:val="center"/>
            </w:pPr>
            <w:r>
              <w:rPr>
                <w:color w:val="757575"/>
                <w:sz w:val="16"/>
              </w:rPr>
              <w:t>Diesel Contribution</w:t>
            </w:r>
          </w:p>
        </w:tc>
        <w:tc>
          <w:tcPr>
            <w:tcW w:type="dxa" w:w="2257"/>
            <w:shd w:fill="F2F6FA" w:val="clear"/>
          </w:tcPr>
          <w:p>
            <w:pPr>
              <w:jc w:val="center"/>
            </w:pPr>
            <w:r>
              <w:rPr>
                <w:color w:val="757575"/>
                <w:sz w:val="16"/>
              </w:rPr>
              <w:t>Top 5 Facilities</w:t>
            </w:r>
          </w:p>
        </w:tc>
        <w:tc>
          <w:tcPr>
            <w:tcW w:type="dxa" w:w="2257"/>
            <w:shd w:fill="F2F6FA" w:val="clear"/>
          </w:tcPr>
          <w:p>
            <w:pPr>
              <w:jc w:val="center"/>
            </w:pPr>
            <w:r>
              <w:rPr>
                <w:color w:val="757575"/>
                <w:sz w:val="16"/>
              </w:rPr>
              <w:t>Peer Performance Gap</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naik 2.36% sementara peers turun 8-12% — diesel over-reliance adalah gap driver utama</w:t>
            </w:r>
          </w:p>
          <w:p>
            <w:r>
              <w:rPr>
                <w:sz w:val="20"/>
              </w:rPr>
              <w:t>Emisi Scope 1 tumbuh 78.5 tCO₂e YoY, didominasi diesel (64.7%), kontras dengan DBS (-12%), BRI (-3.2%), Mandiri (-5.1%) yang telah deploy solar+EV. Gap ini menciptakan risiko regulasi (OJK POJK 51 intensifikasi 2025) dan reputasi (investor ESG). Top 5 fasilitas (19% emisi) adalah target intervensi prioritas dengan ROI 4-5 tahun.</w:t>
            </w:r>
          </w:p>
        </w:tc>
      </w:tr>
    </w:tbl>
    <w:p/>
    <w:p>
      <w:pPr>
        <w:spacing w:after="160" w:line="276" w:lineRule="auto"/>
      </w:pPr>
      <w:r>
        <w:rPr>
          <w:rFonts w:ascii="Arial" w:hAnsi="Arial"/>
          <w:sz w:val="22"/>
        </w:rPr>
        <w:t>For the reporting period ending 31 December 2024, the institution's gross direct (Scope 1) greenhouse gas emissions totaled 3402.997 metric tons of carbon dioxide equivalent (tCO₂e). These emissions arise from fuel combustion in stationary and mobile sources under the institution's operational control, encompassing all facilities, branches, and vehicle fleets where the institution holds operational authority as defined by the GHG Protocol Corporate Standard. The operational boundary applies the operational control approach, consolidating 100% of emissions from entities where the institution exercises operational control, consistent with ESRS E1 Application Requirement 40.</w:t>
      </w:r>
    </w:p>
    <w:p>
      <w:pPr>
        <w:spacing w:after="160" w:line="276" w:lineRule="auto"/>
      </w:pPr>
      <w:r>
        <w:rPr>
          <w:rFonts w:ascii="Arial" w:hAnsi="Arial"/>
          <w:sz w:val="22"/>
        </w:rPr>
        <w:t>Scope 1 emissions derive from two primary combustion sources: diesel fuel consumed in backup generators and vehicle fleets contributed 2203.2044 tCO₂e (64.7% of total Scope 1), while natural gas combustion in heating systems and kitchen facilities accounted for 1199.7924 tCO₂e (35.3%). The diesel-dominant emission profile reflects the institution's reliance on backup power generation during grid instability events and operational vehicle requirements across the branch network. This source composition presents a strategic opportunity for emission reduction through renewable energy integration and fleet electrification, as demonstrated by peer institutions in the Indonesian banking sector.</w:t>
      </w:r>
    </w:p>
    <w:p>
      <w:pPr>
        <w:spacing w:after="160" w:line="276" w:lineRule="auto"/>
      </w:pPr>
      <w:r>
        <w:rPr>
          <w:rFonts w:ascii="Arial" w:hAnsi="Arial"/>
          <w:sz w:val="22"/>
        </w:rPr>
        <w:t>The institution applies the GHG Protocol Corporate Standard (Revised Edition, 2015) as the foundational methodology for Scope 1 emission quantification, supplemented by guidance from ISO 14064-1:2018 for quality assurance. Emission factors for diesel combustion (2.5712 kgCO₂e/liter) and natural gas combustion (0.0562 kgCO₂e/MJ) are sourced from the Indonesian Ministry of Energy and Mineral Resources (MEMR) National Emission Factor Database (version 2023), aligned with IPCC Tier 2 methodology. Global Warming Potential (GWP) values follow IPCC Sixth Assessment Report (AR6) with a 100-year time horizon: CO₂ = 1, CH₄ = 29.8, N₂O = 273.0. The calculation encompasses three greenhouse gases—carbon dioxide (CO₂), methane (CH₄), and nitrous oxide (N₂O)—representing all material GHG species from combustion sources. Biogenic CO₂ emissions are not applicable to the institution's operational activities for the reporting period.</w:t>
      </w:r>
    </w:p>
    <w:p>
      <w:pPr>
        <w:spacing w:after="160" w:line="276" w:lineRule="auto"/>
      </w:pPr>
      <w:r>
        <w:rPr>
          <w:rFonts w:ascii="Arial" w:hAnsi="Arial"/>
          <w:sz w:val="22"/>
        </w:rPr>
        <w:t>Compared to the prior reporting period (2023: 3324.521 tCO₂e), Scope 1 emissions increased by 78.476 tCO₂e, representing a year-over-year growth of 2.36%. This increase is attributable to two operational factors: (1) expanded branch network operations requiring additional backup power capacity during the monsoon season (Q4 2024), resulting in 47.7156 tCO₂e additional diesel consumption, and (2) increased natural gas usage (0.7603 tCO₂e) from extended operating hours at newly commissioned facilities. The growth trajectory contrasts with peer institution performance, where leading Indonesian banks achieved Scope 1 reductions of 3-12% during the same period through renewable energy integration and fleet electrification programs.</w:t>
      </w:r>
    </w:p>
    <w:p>
      <w:pPr>
        <w:spacing w:after="160" w:line="276" w:lineRule="auto"/>
      </w:pPr>
      <w:r>
        <w:rPr>
          <w:rFonts w:ascii="Arial" w:hAnsi="Arial"/>
          <w:sz w:val="22"/>
        </w:rPr>
        <w:t>Facility-level analysis identifies concentration of emissions across the institution's operational footprint. The top five emitting facilities collectively account for 611.3897 tCO₂e (18.0% of total Scope 1), with FAC-0197 representing the highest individual contributor at 147.7152 tCO₂e. All top-ten facilities maintain Data Quality Score 1 (highest quality per PCAF methodology), indicating primary metered data with no estimation required. This granular visibility enables targeted intervention strategies, particularly for high-emission sites where renewable energy retrofits and energy efficiency measures can deliver material emission reductions with favorable return on investment profiles.</w:t>
      </w:r>
    </w:p>
    <w:p>
      <w:pPr>
        <w:spacing w:after="160" w:line="276" w:lineRule="auto"/>
      </w:pPr>
      <w:r>
        <w:rPr>
          <w:rFonts w:ascii="Arial" w:hAnsi="Arial"/>
          <w:sz w:val="22"/>
        </w:rPr>
        <w:t>These figures have not been subject to external assurance for the current reporting period.</w:t>
      </w:r>
    </w:p>
    <w:p>
      <w:r>
        <w:rPr>
          <w:rFonts w:ascii="Arial" w:hAnsi="Arial"/>
          <w:b/>
          <w:sz w:val="20"/>
        </w:rPr>
        <w:t>Table 12: Table 1.1.1: Scope 1 Emissions by Combustion Source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Scope 1</w:t>
            </w:r>
          </w:p>
        </w:tc>
        <w:tc>
          <w:tcPr>
            <w:tcW w:type="dxa" w:w="2257"/>
            <w:shd w:fill="1B3A6B" w:val="clear"/>
          </w:tcPr>
          <w:p>
            <w:r>
              <w:rPr>
                <w:rFonts w:ascii="Arial" w:hAnsi="Arial"/>
                <w:b/>
                <w:color w:val="FFFFFF"/>
                <w:sz w:val="18"/>
              </w:rPr>
              <w:t>Activity Data</w:t>
            </w:r>
          </w:p>
        </w:tc>
      </w:tr>
      <w:tr>
        <w:tc>
          <w:tcPr>
            <w:tcW w:type="dxa" w:w="2257"/>
          </w:tcPr>
          <w:p>
            <w:r>
              <w:rPr>
                <w:rFonts w:ascii="Arial" w:hAnsi="Arial"/>
                <w:sz w:val="18"/>
              </w:rPr>
              <w:t>Diesel combustion (generators &amp; vehicles)</w:t>
            </w:r>
          </w:p>
        </w:tc>
        <w:tc>
          <w:tcPr>
            <w:tcW w:type="dxa" w:w="2257"/>
          </w:tcPr>
          <w:p>
            <w:pPr>
              <w:jc w:val="right"/>
            </w:pPr>
            <w:r>
              <w:rPr>
                <w:rFonts w:ascii="Arial" w:hAnsi="Arial"/>
                <w:sz w:val="18"/>
              </w:rPr>
              <w:t>2203.2044</w:t>
            </w:r>
          </w:p>
        </w:tc>
        <w:tc>
          <w:tcPr>
            <w:tcW w:type="dxa" w:w="2257"/>
          </w:tcPr>
          <w:p>
            <w:pPr>
              <w:jc w:val="right"/>
            </w:pPr>
            <w:r>
              <w:rPr>
                <w:rFonts w:ascii="Arial" w:hAnsi="Arial"/>
                <w:sz w:val="18"/>
              </w:rPr>
              <w:t>64.7%</w:t>
            </w:r>
          </w:p>
        </w:tc>
        <w:tc>
          <w:tcPr>
            <w:tcW w:type="dxa" w:w="2257"/>
          </w:tcPr>
          <w:p>
            <w:r>
              <w:rPr>
                <w:rFonts w:ascii="Arial" w:hAnsi="Arial"/>
                <w:sz w:val="18"/>
              </w:rPr>
              <w:t>857,147 liters</w:t>
            </w:r>
          </w:p>
        </w:tc>
      </w:tr>
      <w:tr>
        <w:tc>
          <w:tcPr>
            <w:tcW w:type="dxa" w:w="2257"/>
            <w:shd w:fill="F2F6FC" w:val="clear"/>
          </w:tcPr>
          <w:p>
            <w:r>
              <w:rPr>
                <w:rFonts w:ascii="Arial" w:hAnsi="Arial"/>
                <w:sz w:val="18"/>
              </w:rPr>
              <w:t>Natural gas combustion (heating &amp; facilities)</w:t>
            </w:r>
          </w:p>
        </w:tc>
        <w:tc>
          <w:tcPr>
            <w:tcW w:type="dxa" w:w="2257"/>
            <w:shd w:fill="F2F6FC" w:val="clear"/>
          </w:tcPr>
          <w:p>
            <w:pPr>
              <w:jc w:val="right"/>
            </w:pPr>
            <w:r>
              <w:rPr>
                <w:rFonts w:ascii="Arial" w:hAnsi="Arial"/>
                <w:sz w:val="18"/>
              </w:rPr>
              <w:t>1199.7924</w:t>
            </w:r>
          </w:p>
        </w:tc>
        <w:tc>
          <w:tcPr>
            <w:tcW w:type="dxa" w:w="2257"/>
            <w:shd w:fill="F2F6FC" w:val="clear"/>
          </w:tcPr>
          <w:p>
            <w:pPr>
              <w:jc w:val="right"/>
            </w:pPr>
            <w:r>
              <w:rPr>
                <w:rFonts w:ascii="Arial" w:hAnsi="Arial"/>
                <w:sz w:val="18"/>
              </w:rPr>
              <w:t>35.3%</w:t>
            </w:r>
          </w:p>
        </w:tc>
        <w:tc>
          <w:tcPr>
            <w:tcW w:type="dxa" w:w="2257"/>
            <w:shd w:fill="F2F6FC" w:val="clear"/>
          </w:tcPr>
          <w:p>
            <w:r>
              <w:rPr>
                <w:rFonts w:ascii="Arial" w:hAnsi="Arial"/>
                <w:sz w:val="18"/>
              </w:rPr>
              <w:t>21,351 GJ</w:t>
            </w:r>
          </w:p>
        </w:tc>
      </w:tr>
      <w:tr>
        <w:tc>
          <w:tcPr>
            <w:tcW w:type="dxa" w:w="2257"/>
          </w:tcPr>
          <w:p>
            <w:r>
              <w:rPr>
                <w:rFonts w:ascii="Arial" w:hAnsi="Arial"/>
                <w:sz w:val="18"/>
              </w:rPr>
              <w:t>**Total Scope 1**</w:t>
            </w:r>
          </w:p>
        </w:tc>
        <w:tc>
          <w:tcPr>
            <w:tcW w:type="dxa" w:w="2257"/>
          </w:tcPr>
          <w:p>
            <w:r>
              <w:rPr>
                <w:rFonts w:ascii="Arial" w:hAnsi="Arial"/>
                <w:sz w:val="18"/>
              </w:rPr>
              <w:t>**3402.997**</w:t>
            </w:r>
          </w:p>
        </w:tc>
        <w:tc>
          <w:tcPr>
            <w:tcW w:type="dxa" w:w="2257"/>
          </w:tcPr>
          <w:p>
            <w:r>
              <w:rPr>
                <w:rFonts w:ascii="Arial" w:hAnsi="Arial"/>
                <w:sz w:val="18"/>
              </w:rPr>
              <w:t>**100.0%**</w:t>
            </w:r>
          </w:p>
        </w:tc>
        <w:tc>
          <w:tcPr>
            <w:tcW w:type="dxa" w:w="2257"/>
          </w:tcPr>
          <w:p>
            <w:r>
              <w:rPr>
                <w:rFonts w:ascii="Arial" w:hAnsi="Arial"/>
                <w:sz w:val="18"/>
              </w:rPr>
              <w:t>—</w:t>
            </w:r>
          </w:p>
        </w:tc>
      </w:tr>
    </w:tbl>
    <w:p>
      <w:r>
        <w:rPr>
          <w:rFonts w:ascii="Arial" w:hAnsi="Arial"/>
          <w:i/>
          <w:sz w:val="16"/>
        </w:rPr>
        <w:t>Source: Source: Institution operational data 2024. Emission factors: MEMR National Database 2023.</w:t>
      </w:r>
    </w:p>
    <w:p/>
    <w:p>
      <w:r>
        <w:rPr>
          <w:rFonts w:ascii="Arial" w:hAnsi="Arial"/>
          <w:b/>
          <w:sz w:val="20"/>
        </w:rPr>
        <w:t>Table 14: Table 1.1.2: Year-over-Year Scope 1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Percentage Change</w:t>
            </w:r>
          </w:p>
        </w:tc>
      </w:tr>
      <w:tr>
        <w:tc>
          <w:tcPr>
            <w:tcW w:type="dxa" w:w="1806"/>
          </w:tcPr>
          <w:p>
            <w:r>
              <w:rPr>
                <w:rFonts w:ascii="Arial" w:hAnsi="Arial"/>
                <w:sz w:val="18"/>
              </w:rPr>
              <w:t>Diesel combustion (tCO₂e)</w:t>
            </w:r>
          </w:p>
        </w:tc>
        <w:tc>
          <w:tcPr>
            <w:tcW w:type="dxa" w:w="1806"/>
          </w:tcPr>
          <w:p>
            <w:pPr>
              <w:jc w:val="right"/>
            </w:pPr>
            <w:r>
              <w:rPr>
                <w:rFonts w:ascii="Arial" w:hAnsi="Arial"/>
                <w:sz w:val="18"/>
              </w:rPr>
              <w:t>2125.4888</w:t>
            </w:r>
          </w:p>
        </w:tc>
        <w:tc>
          <w:tcPr>
            <w:tcW w:type="dxa" w:w="1806"/>
          </w:tcPr>
          <w:p>
            <w:pPr>
              <w:jc w:val="right"/>
            </w:pPr>
            <w:r>
              <w:rPr>
                <w:rFonts w:ascii="Arial" w:hAnsi="Arial"/>
                <w:sz w:val="18"/>
              </w:rPr>
              <w:t>2203.2044</w:t>
            </w:r>
          </w:p>
        </w:tc>
        <w:tc>
          <w:tcPr>
            <w:tcW w:type="dxa" w:w="1806"/>
          </w:tcPr>
          <w:p>
            <w:pPr>
              <w:jc w:val="right"/>
            </w:pPr>
            <w:r>
              <w:rPr>
                <w:rFonts w:ascii="Arial" w:hAnsi="Arial"/>
                <w:sz w:val="18"/>
              </w:rPr>
              <w:t>+77.7156</w:t>
            </w:r>
          </w:p>
        </w:tc>
        <w:tc>
          <w:tcPr>
            <w:tcW w:type="dxa" w:w="1806"/>
          </w:tcPr>
          <w:p>
            <w:pPr>
              <w:jc w:val="right"/>
            </w:pPr>
            <w:r>
              <w:rPr>
                <w:rFonts w:ascii="Arial" w:hAnsi="Arial"/>
                <w:sz w:val="18"/>
              </w:rPr>
              <w:t>+3.66%</w:t>
            </w:r>
          </w:p>
        </w:tc>
      </w:tr>
      <w:tr>
        <w:tc>
          <w:tcPr>
            <w:tcW w:type="dxa" w:w="1806"/>
            <w:shd w:fill="F2F6FC" w:val="clear"/>
          </w:tcPr>
          <w:p>
            <w:r>
              <w:rPr>
                <w:rFonts w:ascii="Arial" w:hAnsi="Arial"/>
                <w:sz w:val="18"/>
              </w:rPr>
              <w:t>Natural gas combustion (tCO₂e)</w:t>
            </w:r>
          </w:p>
        </w:tc>
        <w:tc>
          <w:tcPr>
            <w:tcW w:type="dxa" w:w="1806"/>
            <w:shd w:fill="F2F6FC" w:val="clear"/>
          </w:tcPr>
          <w:p>
            <w:pPr>
              <w:jc w:val="right"/>
            </w:pPr>
            <w:r>
              <w:rPr>
                <w:rFonts w:ascii="Arial" w:hAnsi="Arial"/>
                <w:sz w:val="18"/>
              </w:rPr>
              <w:t>1199.0321</w:t>
            </w:r>
          </w:p>
        </w:tc>
        <w:tc>
          <w:tcPr>
            <w:tcW w:type="dxa" w:w="1806"/>
            <w:shd w:fill="F2F6FC" w:val="clear"/>
          </w:tcPr>
          <w:p>
            <w:pPr>
              <w:jc w:val="right"/>
            </w:pPr>
            <w:r>
              <w:rPr>
                <w:rFonts w:ascii="Arial" w:hAnsi="Arial"/>
                <w:sz w:val="18"/>
              </w:rPr>
              <w:t>1199.7924</w:t>
            </w:r>
          </w:p>
        </w:tc>
        <w:tc>
          <w:tcPr>
            <w:tcW w:type="dxa" w:w="1806"/>
            <w:shd w:fill="F2F6FC" w:val="clear"/>
          </w:tcPr>
          <w:p>
            <w:pPr>
              <w:jc w:val="right"/>
            </w:pPr>
            <w:r>
              <w:rPr>
                <w:rFonts w:ascii="Arial" w:hAnsi="Arial"/>
                <w:sz w:val="18"/>
              </w:rPr>
              <w:t>+0.7603</w:t>
            </w:r>
          </w:p>
        </w:tc>
        <w:tc>
          <w:tcPr>
            <w:tcW w:type="dxa" w:w="1806"/>
            <w:shd w:fill="F2F6FC" w:val="clear"/>
          </w:tcPr>
          <w:p>
            <w:pPr>
              <w:jc w:val="right"/>
            </w:pPr>
            <w:r>
              <w:rPr>
                <w:rFonts w:ascii="Arial" w:hAnsi="Arial"/>
                <w:sz w:val="18"/>
              </w:rPr>
              <w:t>+0.06%</w:t>
            </w:r>
          </w:p>
        </w:tc>
      </w:tr>
      <w:tr>
        <w:tc>
          <w:tcPr>
            <w:tcW w:type="dxa" w:w="1806"/>
          </w:tcPr>
          <w:p>
            <w:r>
              <w:rPr>
                <w:rFonts w:ascii="Arial" w:hAnsi="Arial"/>
                <w:sz w:val="18"/>
              </w:rPr>
              <w:t>**Total Scope 1 (tCO₂e)**</w:t>
            </w:r>
          </w:p>
        </w:tc>
        <w:tc>
          <w:tcPr>
            <w:tcW w:type="dxa" w:w="1806"/>
          </w:tcPr>
          <w:p>
            <w:r>
              <w:rPr>
                <w:rFonts w:ascii="Arial" w:hAnsi="Arial"/>
                <w:sz w:val="18"/>
              </w:rPr>
              <w:t>**3324.521**</w:t>
            </w:r>
          </w:p>
        </w:tc>
        <w:tc>
          <w:tcPr>
            <w:tcW w:type="dxa" w:w="1806"/>
          </w:tcPr>
          <w:p>
            <w:r>
              <w:rPr>
                <w:rFonts w:ascii="Arial" w:hAnsi="Arial"/>
                <w:sz w:val="18"/>
              </w:rPr>
              <w:t>**3402.997**</w:t>
            </w:r>
          </w:p>
        </w:tc>
        <w:tc>
          <w:tcPr>
            <w:tcW w:type="dxa" w:w="1806"/>
          </w:tcPr>
          <w:p>
            <w:r>
              <w:rPr>
                <w:rFonts w:ascii="Arial" w:hAnsi="Arial"/>
                <w:sz w:val="18"/>
              </w:rPr>
              <w:t>**+78.476**</w:t>
            </w:r>
          </w:p>
        </w:tc>
        <w:tc>
          <w:tcPr>
            <w:tcW w:type="dxa" w:w="1806"/>
          </w:tcPr>
          <w:p>
            <w:r>
              <w:rPr>
                <w:rFonts w:ascii="Arial" w:hAnsi="Arial"/>
                <w:sz w:val="18"/>
              </w:rPr>
              <w:t>**+2.36%**</w:t>
            </w:r>
          </w:p>
        </w:tc>
      </w:tr>
    </w:tbl>
    <w:p>
      <w:r>
        <w:rPr>
          <w:rFonts w:ascii="Arial" w:hAnsi="Arial"/>
          <w:i/>
          <w:sz w:val="16"/>
        </w:rPr>
        <w:t>Source: Source: Institution GHG inventory 2023-2024.</w:t>
      </w:r>
    </w:p>
    <w:p/>
    <w:p>
      <w:r>
        <w:rPr>
          <w:rFonts w:ascii="Arial" w:hAnsi="Arial"/>
          <w:b/>
          <w:sz w:val="20"/>
        </w:rPr>
        <w:t>Table 16: Table 1.1.3: Top Five Emitting Facilities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147.7152</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54.4460</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131.4422</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74.4220</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109.4122</w:t>
            </w:r>
          </w:p>
        </w:tc>
        <w:tc>
          <w:tcPr>
            <w:tcW w:type="dxa" w:w="1806"/>
          </w:tcPr>
          <w:p>
            <w:pPr>
              <w:jc w:val="right"/>
            </w:pPr>
            <w:r>
              <w:rPr>
                <w:rFonts w:ascii="Arial" w:hAnsi="Arial"/>
                <w:sz w:val="18"/>
              </w:rPr>
              <w:t>52.0150</w:t>
            </w:r>
          </w:p>
        </w:tc>
        <w:tc>
          <w:tcPr>
            <w:tcW w:type="dxa" w:w="1806"/>
          </w:tcPr>
          <w:p>
            <w:pPr>
              <w:jc w:val="right"/>
            </w:pPr>
            <w:r>
              <w:rPr>
                <w:rFonts w:ascii="Arial" w:hAnsi="Arial"/>
                <w:sz w:val="18"/>
              </w:rPr>
              <w:t>57.3972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**Top 5 Subtotal**</w:t>
            </w:r>
          </w:p>
        </w:tc>
        <w:tc>
          <w:tcPr>
            <w:tcW w:type="dxa" w:w="1806"/>
            <w:shd w:fill="F2F6FC" w:val="clear"/>
          </w:tcPr>
          <w:p>
            <w:r>
              <w:rPr>
                <w:rFonts w:ascii="Arial" w:hAnsi="Arial"/>
                <w:sz w:val="18"/>
              </w:rPr>
              <w:t>**650.8296**</w:t>
            </w:r>
          </w:p>
        </w:tc>
        <w:tc>
          <w:tcPr>
            <w:tcW w:type="dxa" w:w="1806"/>
            <w:shd w:fill="F2F6FC" w:val="clear"/>
          </w:tcPr>
          <w:p>
            <w:r>
              <w:rPr>
                <w:rFonts w:ascii="Arial" w:hAnsi="Arial"/>
                <w:sz w:val="18"/>
              </w:rPr>
              <w:t>**280.4087**</w:t>
            </w:r>
          </w:p>
        </w:tc>
        <w:tc>
          <w:tcPr>
            <w:tcW w:type="dxa" w:w="1806"/>
            <w:shd w:fill="F2F6FC" w:val="clear"/>
          </w:tcPr>
          <w:p>
            <w:r>
              <w:rPr>
                <w:rFonts w:ascii="Arial" w:hAnsi="Arial"/>
                <w:sz w:val="18"/>
              </w:rPr>
              <w:t>**370.4209**</w:t>
            </w:r>
          </w:p>
        </w:tc>
        <w:tc>
          <w:tcPr>
            <w:tcW w:type="dxa" w:w="1806"/>
            <w:shd w:fill="F2F6FC" w:val="clear"/>
          </w:tcPr>
          <w:p>
            <w:r>
              <w:rPr>
                <w:rFonts w:ascii="Arial" w:hAnsi="Arial"/>
                <w:sz w:val="18"/>
              </w:rPr>
              <w:t>—</w:t>
            </w:r>
          </w:p>
        </w:tc>
      </w:tr>
      <w:tr>
        <w:tc>
          <w:tcPr>
            <w:tcW w:type="dxa" w:w="1806"/>
          </w:tcPr>
          <w:p>
            <w:r>
              <w:rPr>
                <w:rFonts w:ascii="Arial" w:hAnsi="Arial"/>
                <w:sz w:val="18"/>
              </w:rPr>
              <w:t>**% of Total Scope 1**</w:t>
            </w:r>
          </w:p>
        </w:tc>
        <w:tc>
          <w:tcPr>
            <w:tcW w:type="dxa" w:w="1806"/>
          </w:tcPr>
          <w:p>
            <w:r>
              <w:rPr>
                <w:rFonts w:ascii="Arial" w:hAnsi="Arial"/>
                <w:sz w:val="18"/>
              </w:rPr>
              <w:t>**19.1%**</w:t>
            </w:r>
          </w:p>
        </w:tc>
        <w:tc>
          <w:tcPr>
            <w:tcW w:type="dxa" w:w="1806"/>
          </w:tcPr>
          <w:p>
            <w:r>
              <w:rPr>
                <w:rFonts w:ascii="Arial" w:hAnsi="Arial"/>
                <w:sz w:val="18"/>
              </w:rPr>
              <w:t>**23.4%**</w:t>
            </w:r>
          </w:p>
        </w:tc>
        <w:tc>
          <w:tcPr>
            <w:tcW w:type="dxa" w:w="1806"/>
          </w:tcPr>
          <w:p>
            <w:r>
              <w:rPr>
                <w:rFonts w:ascii="Arial" w:hAnsi="Arial"/>
                <w:sz w:val="18"/>
              </w:rPr>
              <w:t>**16.8%**</w:t>
            </w:r>
          </w:p>
        </w:tc>
        <w:tc>
          <w:tcPr>
            <w:tcW w:type="dxa" w:w="1806"/>
          </w:tcPr>
          <w:p>
            <w:r>
              <w:rPr>
                <w:rFonts w:ascii="Arial" w:hAnsi="Arial"/>
                <w:sz w:val="18"/>
              </w:rPr>
              <w:t>—</w:t>
            </w:r>
          </w:p>
        </w:tc>
      </w:tr>
    </w:tbl>
    <w:p>
      <w:r>
        <w:rPr>
          <w:rFonts w:ascii="Arial" w:hAnsi="Arial"/>
          <w:i/>
          <w:sz w:val="16"/>
        </w:rPr>
        <w:t>Source: Source: Facility-level metered data 2024. Data Quality Score 1 = primary metered data (PCAF).</w:t>
      </w:r>
    </w:p>
    <w:p/>
    <w:p>
      <w:r>
        <w:rPr>
          <w:rFonts w:ascii="Arial" w:hAnsi="Arial"/>
          <w:b/>
          <w:sz w:val="20"/>
        </w:rPr>
        <w:t>Table 18: Table 1.1.4: Framework Cross-Reference — Scope 1 Disclosure Compliance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305-1</w:t>
            </w:r>
          </w:p>
        </w:tc>
        <w:tc>
          <w:tcPr>
            <w:tcW w:type="dxa" w:w="2257"/>
          </w:tcPr>
          <w:p>
            <w:r>
              <w:rPr>
                <w:rFonts w:ascii="Arial" w:hAnsi="Arial"/>
                <w:sz w:val="18"/>
              </w:rPr>
              <w:t>305-1a</w:t>
            </w:r>
          </w:p>
        </w:tc>
        <w:tc>
          <w:tcPr>
            <w:tcW w:type="dxa" w:w="2257"/>
          </w:tcPr>
          <w:p>
            <w:r>
              <w:rPr>
                <w:rFonts w:ascii="Arial" w:hAnsi="Arial"/>
                <w:sz w:val="18"/>
              </w:rPr>
              <w:t>Gross direct (Scope 1) GHG emissions in tCO₂e</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305-1b</w:t>
            </w:r>
          </w:p>
        </w:tc>
        <w:tc>
          <w:tcPr>
            <w:tcW w:type="dxa" w:w="2257"/>
            <w:shd w:fill="F2F6FC" w:val="clear"/>
          </w:tcPr>
          <w:p>
            <w:r>
              <w:rPr>
                <w:rFonts w:ascii="Arial" w:hAnsi="Arial"/>
                <w:sz w:val="18"/>
              </w:rPr>
              <w:t>Gases included in calculation (CO₂, CH₄, N₂O)</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305-1c</w:t>
            </w:r>
          </w:p>
        </w:tc>
        <w:tc>
          <w:tcPr>
            <w:tcW w:type="dxa" w:w="2257"/>
          </w:tcPr>
          <w:p>
            <w:r>
              <w:rPr>
                <w:rFonts w:ascii="Arial" w:hAnsi="Arial"/>
                <w:sz w:val="18"/>
              </w:rPr>
              <w:t>Biogenic CO₂ emissions separately</w:t>
            </w:r>
          </w:p>
        </w:tc>
        <w:tc>
          <w:tcPr>
            <w:tcW w:type="dxa" w:w="2257"/>
          </w:tcPr>
          <w:p>
            <w:r>
              <w:rPr>
                <w:rFonts w:ascii="Arial" w:hAnsi="Arial"/>
                <w:sz w:val="18"/>
              </w:rPr>
              <w:t>✅ Not applicable</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305-1e</w:t>
            </w:r>
          </w:p>
        </w:tc>
        <w:tc>
          <w:tcPr>
            <w:tcW w:type="dxa" w:w="2257"/>
            <w:shd w:fill="F2F6FC" w:val="clear"/>
          </w:tcPr>
          <w:p>
            <w:r>
              <w:rPr>
                <w:rFonts w:ascii="Arial" w:hAnsi="Arial"/>
                <w:sz w:val="18"/>
              </w:rPr>
              <w:t>Emission factors and GWP values source</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305-1f</w:t>
            </w:r>
          </w:p>
        </w:tc>
        <w:tc>
          <w:tcPr>
            <w:tcW w:type="dxa" w:w="2257"/>
          </w:tcPr>
          <w:p>
            <w:r>
              <w:rPr>
                <w:rFonts w:ascii="Arial" w:hAnsi="Arial"/>
                <w:sz w:val="18"/>
              </w:rPr>
              <w:t>Consolidation approach for emissions</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305-1g</w:t>
            </w:r>
          </w:p>
        </w:tc>
        <w:tc>
          <w:tcPr>
            <w:tcW w:type="dxa" w:w="2257"/>
            <w:shd w:fill="F2F6FC" w:val="clear"/>
          </w:tcPr>
          <w:p>
            <w:r>
              <w:rPr>
                <w:rFonts w:ascii="Arial" w:hAnsi="Arial"/>
                <w:sz w:val="18"/>
              </w:rPr>
              <w:t>Standards, methodologies, assumptions used</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29(a)(i)</w:t>
            </w:r>
          </w:p>
        </w:tc>
        <w:tc>
          <w:tcPr>
            <w:tcW w:type="dxa" w:w="2257"/>
          </w:tcPr>
          <w:p>
            <w:r>
              <w:rPr>
                <w:rFonts w:ascii="Arial" w:hAnsi="Arial"/>
                <w:sz w:val="18"/>
              </w:rPr>
              <w:t>Absolute gross Scope 1 GHG emissions (tCO₂e)</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29(b)</w:t>
            </w:r>
          </w:p>
        </w:tc>
        <w:tc>
          <w:tcPr>
            <w:tcW w:type="dxa" w:w="2257"/>
            <w:shd w:fill="F2F6FC" w:val="clear"/>
          </w:tcPr>
          <w:p>
            <w:r>
              <w:rPr>
                <w:rFonts w:ascii="Arial" w:hAnsi="Arial"/>
                <w:sz w:val="18"/>
              </w:rPr>
              <w:t>Trend over time (YoY change)</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29(c)</w:t>
            </w:r>
          </w:p>
        </w:tc>
        <w:tc>
          <w:tcPr>
            <w:tcW w:type="dxa" w:w="2257"/>
          </w:tcPr>
          <w:p>
            <w:r>
              <w:rPr>
                <w:rFonts w:ascii="Arial" w:hAnsi="Arial"/>
                <w:sz w:val="18"/>
              </w:rPr>
              <w:t>Measurement approach and inputs</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DR E1-6.44</w:t>
            </w:r>
          </w:p>
        </w:tc>
        <w:tc>
          <w:tcPr>
            <w:tcW w:type="dxa" w:w="2257"/>
            <w:shd w:fill="F2F6FC" w:val="clear"/>
          </w:tcPr>
          <w:p>
            <w:r>
              <w:rPr>
                <w:rFonts w:ascii="Arial" w:hAnsi="Arial"/>
                <w:sz w:val="18"/>
              </w:rPr>
              <w:t>Gross Scope 1 GHG emissions (tCO₂e)</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AR 39(a)</w:t>
            </w:r>
          </w:p>
        </w:tc>
        <w:tc>
          <w:tcPr>
            <w:tcW w:type="dxa" w:w="2257"/>
          </w:tcPr>
          <w:p>
            <w:r>
              <w:rPr>
                <w:rFonts w:ascii="Arial" w:hAnsi="Arial"/>
                <w:sz w:val="18"/>
              </w:rPr>
              <w:t>GHG Protocol Corporate Standard application</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AR 39(d)</w:t>
            </w:r>
          </w:p>
        </w:tc>
        <w:tc>
          <w:tcPr>
            <w:tcW w:type="dxa" w:w="2257"/>
            <w:shd w:fill="F2F6FC" w:val="clear"/>
          </w:tcPr>
          <w:p>
            <w:r>
              <w:rPr>
                <w:rFonts w:ascii="Arial" w:hAnsi="Arial"/>
                <w:sz w:val="18"/>
              </w:rPr>
              <w:t>IPCC GWP values (100-year horizon)</w:t>
            </w:r>
          </w:p>
        </w:tc>
        <w:tc>
          <w:tcPr>
            <w:tcW w:type="dxa" w:w="2257"/>
            <w:shd w:fill="F2F6FC" w:val="clear"/>
          </w:tcPr>
          <w:p>
            <w:r>
              <w:rPr>
                <w:rFonts w:ascii="Arial" w:hAnsi="Arial"/>
                <w:sz w:val="18"/>
              </w:rPr>
              <w:t>✅ Disclosed</w:t>
            </w:r>
          </w:p>
        </w:tc>
      </w:tr>
      <w:tr>
        <w:tc>
          <w:tcPr>
            <w:tcW w:type="dxa" w:w="2257"/>
          </w:tcPr>
          <w:p>
            <w:r>
              <w:rPr>
                <w:rFonts w:ascii="Arial" w:hAnsi="Arial"/>
                <w:sz w:val="18"/>
              </w:rPr>
              <w:t>OJK PSPK</w:t>
            </w:r>
          </w:p>
        </w:tc>
        <w:tc>
          <w:tcPr>
            <w:tcW w:type="dxa" w:w="2257"/>
          </w:tcPr>
          <w:p>
            <w:r>
              <w:rPr>
                <w:rFonts w:ascii="Arial" w:hAnsi="Arial"/>
                <w:sz w:val="18"/>
              </w:rPr>
              <w:t>Emisi GRK Langsung</w:t>
            </w:r>
          </w:p>
        </w:tc>
        <w:tc>
          <w:tcPr>
            <w:tcW w:type="dxa" w:w="2257"/>
          </w:tcPr>
          <w:p>
            <w:r>
              <w:rPr>
                <w:rFonts w:ascii="Arial" w:hAnsi="Arial"/>
                <w:sz w:val="18"/>
              </w:rPr>
              <w:t>Emisi Lingkup 1 (tCO₂e)</w:t>
            </w:r>
          </w:p>
        </w:tc>
        <w:tc>
          <w:tcPr>
            <w:tcW w:type="dxa" w:w="2257"/>
          </w:tcPr>
          <w:p>
            <w:r>
              <w:rPr>
                <w:rFonts w:ascii="Arial" w:hAnsi="Arial"/>
                <w:sz w:val="18"/>
              </w:rPr>
              <w:t>✅ Disclosed</w:t>
            </w:r>
          </w:p>
        </w:tc>
      </w:tr>
    </w:tbl>
    <w:p>
      <w:r>
        <w:rPr>
          <w:rFonts w:ascii="Arial" w:hAnsi="Arial"/>
          <w:i/>
          <w:sz w:val="16"/>
        </w:rPr>
        <w:t>Source: Compliance assessment as of reporting period end 31 December 2024.</w:t>
      </w:r>
    </w:p>
    <w:p/>
    <w:p/>
    <w:p>
      <w:r>
        <w:drawing>
          <wp:inline xmlns:a="http://schemas.openxmlformats.org/drawingml/2006/main" xmlns:pic="http://schemas.openxmlformats.org/drawingml/2006/picture">
            <wp:extent cx="5029200" cy="28899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889950"/>
                    </a:xfrm>
                    <a:prstGeom prst="rect"/>
                  </pic:spPr>
                </pic:pic>
              </a:graphicData>
            </a:graphic>
          </wp:inline>
        </w:drawing>
      </w:r>
    </w:p>
    <w:p>
      <w:pPr>
        <w:jc w:val="center"/>
      </w:pPr>
      <w:r>
        <w:rPr>
          <w:i/>
          <w:color w:val="666666"/>
          <w:sz w:val="18"/>
        </w:rPr>
        <w:t>Figure 1: Scope 1 Emissions by Combustion Source (2024)</w:t>
      </w:r>
    </w:p>
    <w:p>
      <w:pPr>
        <w:jc w:val="center"/>
      </w:pPr>
      <w:r>
        <w:rPr>
          <w:i/>
          <w:color w:val="757575"/>
          <w:sz w:val="18"/>
        </w:rPr>
        <w:t>Diesel dominates at 64.7% — primary lever for reduction via solar-battery hybrid systems and fleet electrification</w:t>
      </w:r>
    </w:p>
    <w:p/>
    <w:p>
      <w:r>
        <w:drawing>
          <wp:inline xmlns:a="http://schemas.openxmlformats.org/drawingml/2006/main" xmlns:pic="http://schemas.openxmlformats.org/drawingml/2006/picture">
            <wp:extent cx="5029200" cy="332457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324578"/>
                    </a:xfrm>
                    <a:prstGeom prst="rect"/>
                  </pic:spPr>
                </pic:pic>
              </a:graphicData>
            </a:graphic>
          </wp:inline>
        </w:drawing>
      </w:r>
    </w:p>
    <w:p>
      <w:pPr>
        <w:jc w:val="center"/>
      </w:pPr>
      <w:r>
        <w:rPr>
          <w:i/>
          <w:color w:val="666666"/>
          <w:sz w:val="18"/>
        </w:rPr>
        <w:t>Figure 2: Scope 1 Emissions: Year-over-Year Comparison (2023 vs 2024)</w:t>
      </w:r>
    </w:p>
    <w:p>
      <w:pPr>
        <w:jc w:val="center"/>
      </w:pPr>
      <w:r>
        <w:rPr>
          <w:i/>
          <w:color w:val="757575"/>
          <w:sz w:val="18"/>
        </w:rPr>
        <w:t>2.36% increase driven by diesel (+3.66%) — contrasts with peer reductions of 3-12%</w:t>
      </w:r>
    </w:p>
    <w:p/>
    <w:p>
      <w:r>
        <w:drawing>
          <wp:inline xmlns:a="http://schemas.openxmlformats.org/drawingml/2006/main" xmlns:pic="http://schemas.openxmlformats.org/drawingml/2006/picture">
            <wp:extent cx="5029200" cy="334334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343340"/>
                    </a:xfrm>
                    <a:prstGeom prst="rect"/>
                  </pic:spPr>
                </pic:pic>
              </a:graphicData>
            </a:graphic>
          </wp:inline>
        </w:drawing>
      </w:r>
    </w:p>
    <w:p>
      <w:pPr>
        <w:jc w:val="center"/>
      </w:pPr>
      <w:r>
        <w:rPr>
          <w:i/>
          <w:color w:val="666666"/>
          <w:sz w:val="18"/>
        </w:rPr>
        <w:t>Figure 3: Top 5 Emitting Facilities — Scope 1 (2024)</w:t>
      </w:r>
    </w:p>
    <w:p>
      <w:pPr>
        <w:jc w:val="center"/>
      </w:pPr>
      <w:r>
        <w:rPr>
          <w:i/>
          <w:color w:val="757575"/>
          <w:sz w:val="18"/>
        </w:rPr>
        <w:t>Top 5 facilities account for 19.1% of Scope 1 — concentrated intervention opportunity with 4-5 year ROI</w:t>
      </w:r>
    </w:p>
    <w:p/>
    <w:p>
      <w:r>
        <w:drawing>
          <wp:inline xmlns:a="http://schemas.openxmlformats.org/drawingml/2006/main" xmlns:pic="http://schemas.openxmlformats.org/drawingml/2006/picture">
            <wp:extent cx="5029200" cy="333205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32057"/>
                    </a:xfrm>
                    <a:prstGeom prst="rect"/>
                  </pic:spPr>
                </pic:pic>
              </a:graphicData>
            </a:graphic>
          </wp:inline>
        </w:drawing>
      </w:r>
    </w:p>
    <w:p>
      <w:pPr>
        <w:jc w:val="center"/>
      </w:pPr>
      <w:r>
        <w:rPr>
          <w:i/>
          <w:color w:val="666666"/>
          <w:sz w:val="18"/>
        </w:rPr>
        <w:t>Figure 4: Scope 1 YoY Change: Institution vs Indonesian Banking Peers</w:t>
      </w:r>
    </w:p>
    <w:p>
      <w:pPr>
        <w:jc w:val="center"/>
      </w:pPr>
      <w:r>
        <w:rPr>
          <w:i/>
          <w:color w:val="757575"/>
          <w:sz w:val="18"/>
        </w:rPr>
        <w:t>Institution's +2.36% increase contrasts sharply with peer reductions — 8-14 percentage point gap indicates delayed decarbonization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Pertumbuhan Scope 1 sebesar 2.36% disebabkan oleh dua faktor struktural: (1) ekspansi jaringan cabang yang meningkatkan kebutuhan backup power diesel selama musim hujan Q4 2024 (+47.7 tCO₂e), dan (2) ketergantungan pada genset konvensional tanpa integrasi renewable energy, berbeda dengan peers yang telah mengadopsi solar-battery hybrid systems. Konsentrasi emisi di 5 fasilitas teratas (19.1% dari total Scope 1) mengindikasikan peluang intervensi terfokus dengan impact material. Peer benchmarking menunjukkan bahwa institusi tertinggal 3-5 tahun dalam adopsi teknologi dekarbonisasi operasional, menciptakan gap kompetitif dalam akses green finance dan ESG ratings.</w:t>
            </w:r>
          </w:p>
          <w:p>
            <w:r>
              <w:rPr>
                <w:b/>
                <w:sz w:val="20"/>
              </w:rPr>
              <w:t>Root Causes:</w:t>
            </w:r>
          </w:p>
          <w:p>
            <w:r>
              <w:rPr>
                <w:sz w:val="18"/>
              </w:rPr>
              <w:t>• Ketergantungan struktural pada diesel backup power (64.7% Scope 1) tanpa diversifikasi ke renewable energy, sementara peers telah mencapai 60%+ renewable electricity (DBS)</w:t>
            </w:r>
          </w:p>
          <w:p>
            <w:r>
              <w:rPr>
                <w:sz w:val="18"/>
              </w:rPr>
              <w:t>• Tidak adanya program fleet electrification, berbeda dengan BRI (118 EV + 150 e-motorcycle) dan DBS (charging infrastructure deployment)</w:t>
            </w:r>
          </w:p>
          <w:p>
            <w:r>
              <w:rPr>
                <w:sz w:val="18"/>
              </w:rPr>
              <w:t>• Ekspansi operasional (branch network growth) tanpa green building design atau energy efficiency retrofit, kontras dengan BRI yang mencapai 19.49% electricity savings via GBCI Gold certification</w:t>
            </w:r>
          </w:p>
          <w:p>
            <w:r>
              <w:rPr>
                <w:sz w:val="18"/>
              </w:rPr>
              <w:t>• Absence of science-based decarbonization target atau carbon pricing mechanism, menghambat investasi sistematis dalam low-carbon infrastructure</w:t>
            </w:r>
          </w:p>
          <w:p>
            <w:r>
              <w:rPr>
                <w:b/>
                <w:sz w:val="20"/>
              </w:rPr>
              <w:t>Risk Implications:</w:t>
            </w:r>
          </w:p>
          <w:p>
            <w:r>
              <w:rPr>
                <w:sz w:val="18"/>
              </w:rPr>
              <w:t>• Regulatory risk: OJK POJK 51/2017 dan SEOJK 16/2021 mengintensifkan sustainable finance requirements, dengan potensi sanksi atau reputational damage jika emission trajectory tidak aligned dengan national NDC commitments</w:t>
            </w:r>
          </w:p>
          <w:p>
            <w:r>
              <w:rPr>
                <w:sz w:val="18"/>
              </w:rPr>
              <w:t>• Reputational risk: ESG rating agencies (MSCI, Sustainalytics, CDP) akan downgrade institutions dengan rising operational emissions dan absence of credible decarbonization pathway, limiting access to ESG-linked credit facilities</w:t>
            </w:r>
          </w:p>
          <w:p>
            <w:r>
              <w:rPr>
                <w:sz w:val="18"/>
              </w:rPr>
              <w:t>• Financial risk: Diesel price volatility (historical 15-25% annual fluctuation) creates operational cost uncertainty; delayed renewable energy investment increases cumulative carbon cost under potential future carbon pricing mechanisms (Indonesia carbon market development under UU HPP)</w:t>
            </w:r>
          </w:p>
          <w:p>
            <w:r>
              <w:rPr>
                <w:sz w:val="18"/>
              </w:rPr>
              <w:t>• Competitive disadvantage: Peer institutions dengan established SBTi commitments (BRI, DBS) gain preferential access to green bonds, sustainability-linked loans, and climate finance instruments, widening cost-of-capital gap by estimated 25-50 bps</w:t>
            </w:r>
          </w:p>
        </w:tc>
      </w:tr>
    </w:tbl>
    <w:p/>
    <w:p/>
    <w:p>
      <w:r>
        <w:rPr>
          <w:b/>
          <w:color w:val="2E7D32"/>
          <w:sz w:val="24"/>
        </w:rPr>
        <w:t>⚡ Priority Actions</w:t>
      </w:r>
    </w:p>
    <w:p>
      <w:r>
        <w:rPr>
          <w:b/>
          <w:sz w:val="22"/>
        </w:rPr>
        <w:t>🔴 1. Deploy hybrid solar-battery systems (500 kWp solar + 1 MWh storage) at top 5 diesel-intensive facilities (FAC-0197, FAC-0198, FAC-0200, FAC-0196, FAC-0199) to reduce backup generator runtime by 60-70%</w:t>
      </w:r>
      <w:r>
        <w:rPr>
          <w:sz w:val="22"/>
        </w:rPr>
        <w:t xml:space="preserve"> (Q3 2025 (design) → Q1 2026 (commissioning))</w:t>
      </w:r>
    </w:p>
    <w:p>
      <w:pPr>
        <w:spacing w:after="160" w:line="276" w:lineRule="auto"/>
      </w:pPr>
      <w:r>
        <w:t xml:space="preserve">    → Expected: 390-455 tCO₂e annual reduction (11.5-13.4% of Scope 1); IDR 1.2-1.8 billion annual diesel cost avoidance</w:t>
      </w:r>
    </w:p>
    <w:p>
      <w:pPr>
        <w:spacing w:after="160" w:line="276" w:lineRule="auto"/>
      </w:pPr>
      <w:r>
        <w:rPr>
          <w:rFonts w:ascii="Arial" w:hAnsi="Arial"/>
          <w:i/>
          <w:color w:val="646464"/>
          <w:sz w:val="18"/>
        </w:rPr>
        <w:t xml:space="preserve">    → Ref: BRI — 19.49% electricity savings via solar deployment + green building (BRILiaN Tower GBCI Gold)</w:t>
      </w:r>
    </w:p>
    <w:p>
      <w:r>
        <w:rPr>
          <w:b/>
          <w:sz w:val="22"/>
        </w:rPr>
        <w:t>🔴 2. Launch fleet electrification program: 30% vehicle conversion (75-100 EVs) by end-2026, prioritizing high-utilization urban routes (&lt;200 km daily). Install Level 2 charging (7-22 kW) at 10-15 branch locations</w:t>
      </w:r>
      <w:r>
        <w:rPr>
          <w:sz w:val="22"/>
        </w:rPr>
        <w:t xml:space="preserve"> (Q4 2025 (pilot: 10 vehicles) → Q4 2026 (full deployment: 75-100 vehicles))</w:t>
      </w:r>
    </w:p>
    <w:p>
      <w:pPr>
        <w:spacing w:after="160" w:line="276" w:lineRule="auto"/>
      </w:pPr>
      <w:r>
        <w:t xml:space="preserve">    → Expected: 180-240 tCO₂e annual reduction (5.3-7.1% of Scope 1); 15-20% fleet operating cost reduction</w:t>
      </w:r>
    </w:p>
    <w:p>
      <w:pPr>
        <w:spacing w:after="160" w:line="276" w:lineRule="auto"/>
      </w:pPr>
      <w:r>
        <w:rPr>
          <w:rFonts w:ascii="Arial" w:hAnsi="Arial"/>
          <w:i/>
          <w:color w:val="646464"/>
          <w:sz w:val="18"/>
        </w:rPr>
        <w:t xml:space="preserve">    → Ref: BRI — 118 EV cars + 150 e-motorcycles under Green Network; DBS — EV charging infrastructure at multiple facilities</w:t>
      </w:r>
    </w:p>
    <w:p>
      <w:r>
        <w:rPr>
          <w:b/>
          <w:sz w:val="22"/>
        </w:rPr>
        <w:t>🟡 3. Submit SBTi commitment letter establishing science-based operational (Scope 1: -42% by 2030 vs 2024) and financed emission targets (sectoral intensity pathways for top 3 carbon sectors). Engage top 20 financed emission clients in transition planning</w:t>
      </w:r>
      <w:r>
        <w:rPr>
          <w:sz w:val="22"/>
        </w:rPr>
        <w:t xml:space="preserve"> (Q2 2025 (commitment letter) → Q4 2025 (target validation submission))</w:t>
      </w:r>
    </w:p>
    <w:p>
      <w:pPr>
        <w:spacing w:after="160" w:line="276" w:lineRule="auto"/>
      </w:pPr>
      <w:r>
        <w:t xml:space="preserve">    → Expected: Establishes credible decarbonization pathway; enhances ESG ratings (target: MSCI A by 2026); unlocks green finance access (estimated 25-50 bps cost-of-capital advantage)</w:t>
      </w:r>
    </w:p>
    <w:p>
      <w:pPr>
        <w:spacing w:after="160" w:line="276" w:lineRule="auto"/>
      </w:pPr>
      <w:r>
        <w:rPr>
          <w:rFonts w:ascii="Arial" w:hAnsi="Arial"/>
          <w:i/>
          <w:color w:val="646464"/>
          <w:sz w:val="18"/>
        </w:rPr>
        <w:t xml:space="preserve">    → Ref: BRI — First Indonesian FI with SBTi commitment; portfolio temperature 3.14°C → 1.75°C (2040) trajectory</w:t>
      </w:r>
    </w:p>
    <w:p>
      <w:r>
        <w:rPr>
          <w:b/>
          <w:sz w:val="22"/>
        </w:rPr>
        <w:t>🟡 4. Implement auto-shutdown systems (HVAC, lighting, IT equipment) across all facilities using centralized building management system (BMS), targeting 8-12% electricity reduction</w:t>
      </w:r>
      <w:r>
        <w:rPr>
          <w:sz w:val="22"/>
        </w:rPr>
        <w:t xml:space="preserve"> (Q2 2025 (pilot: 5 facilities) → Q4 2025 (full deployment))</w:t>
      </w:r>
    </w:p>
    <w:p>
      <w:pPr>
        <w:spacing w:after="160" w:line="276" w:lineRule="auto"/>
      </w:pPr>
      <w:r>
        <w:t xml:space="preserve">    → Expected: Indirect Scope 1 benefit via reduced backup power needs; primary impact on Scope 2 (estimated 3,500-5,500 tCO₂e reduction)</w:t>
      </w:r>
    </w:p>
    <w:p>
      <w:pPr>
        <w:spacing w:after="160" w:line="276" w:lineRule="auto"/>
      </w:pPr>
      <w:r>
        <w:rPr>
          <w:rFonts w:ascii="Arial" w:hAnsi="Arial"/>
          <w:i/>
          <w:color w:val="646464"/>
          <w:sz w:val="18"/>
        </w:rPr>
        <w:t xml:space="preserve">    → Ref: BRI — Kaseya auto-shutdown program contributed to 19.49% electricity savings at flagship building</w:t>
      </w:r>
    </w:p>
    <w:p/>
    <w:p>
      <w:r>
        <w:rPr>
          <w:i/>
          <w:color w:val="3D6094"/>
          <w:sz w:val="18"/>
        </w:rPr>
        <w:t>Framework references: GRI 305-1a; GRI 305-1b; GRI 305-1c; GRI 305-1e; GRI 305-1f; GRI 305-1g; IFRS S2 Para 29(a)(i); IFRS S2 Para 29(b); IFRS S2 Para 29(c); ESRS E1 DR E1-6.44; ESRS E1 AR 39(a); ESRS E1 AR 39(d); ESRS E1 AR 40; OJK PSPK Emisi GRK Langsung</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Data Quality Score 1 indicates primary metered data with no estimation, representing highest quality per PCAF Data Quality Scoring methodology.</w:t>
      </w:r>
    </w:p>
    <w:p>
      <w:pPr>
        <w:spacing w:after="160" w:line="276" w:lineRule="auto"/>
      </w:pPr>
      <w:r>
        <w:rPr>
          <w:rFonts w:ascii="Arial" w:hAnsi="Arial"/>
          <w:i/>
          <w:color w:val="646464"/>
          <w:sz w:val="18"/>
        </w:rPr>
        <w:t>Emission factors sourced from Indonesian Ministry of Energy and Mineral Resources (MEMR) National Emission Factor Database version 2023, aligned with IPCC Tier 2 methodology.</w:t>
      </w:r>
    </w:p>
    <w:p>
      <w:pPr>
        <w:spacing w:after="160" w:line="276" w:lineRule="auto"/>
      </w:pPr>
      <w:r>
        <w:rPr>
          <w:rFonts w:ascii="Arial" w:hAnsi="Arial"/>
          <w:i/>
          <w:color w:val="646464"/>
          <w:sz w:val="18"/>
        </w:rPr>
        <w:t>Global Warming Potential (GWP) values follow IPCC Sixth Assessment Report (AR6): CH₄ = 29.8, N₂O = 273.0, with 100-year time horizon.</w:t>
      </w:r>
    </w:p>
    <w:p>
      <w:pPr>
        <w:spacing w:after="160" w:line="276" w:lineRule="auto"/>
      </w:pPr>
      <w:r>
        <w:rPr>
          <w:rFonts w:ascii="Arial" w:hAnsi="Arial"/>
          <w:i/>
          <w:color w:val="646464"/>
          <w:sz w:val="18"/>
        </w:rPr>
        <w:t>Operational control consolidation approach: 100% of emissions from facilities where institution holds operational authority, consistent with GHG Protocol Corporate Standard and ESRS E1 AR 40.</w:t>
      </w:r>
    </w:p>
    <w:p>
      <w:pPr>
        <w:pStyle w:val="Heading2"/>
        <w:keepNext/>
        <w:spacing w:before="360" w:after="160"/>
      </w:pPr>
      <w:r>
        <w:rPr>
          <w:rFonts w:ascii="Arial" w:hAnsi="Arial"/>
          <w:b/>
          <w:color w:val="3D6094"/>
          <w:sz w:val="28"/>
        </w:rPr>
        <w:t>1.2 Energy Indirect GHG Emissions — Scope 2</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44,613.876</w:t>
            </w:r>
            <w:r>
              <w:rPr>
                <w:color w:val="757575"/>
                <w:sz w:val="18"/>
              </w:rPr>
              <w:t xml:space="preserve"> tCO₂e</w:t>
            </w:r>
            <w:r>
              <w:rPr>
                <w:b/>
                <w:color w:val="C62828"/>
                <w:sz w:val="20"/>
              </w:rPr>
              <w:br/>
              <w:t>+0.03%</w:t>
            </w:r>
          </w:p>
        </w:tc>
        <w:tc>
          <w:tcPr>
            <w:tcW w:type="dxa" w:w="2257"/>
            <w:shd w:fill="F2F6FA" w:val="clear"/>
          </w:tcPr>
          <w:p>
            <w:pPr>
              <w:jc w:val="center"/>
            </w:pPr>
            <w:r>
              <w:rPr>
                <w:b/>
                <w:color w:val="1B3A6B"/>
                <w:sz w:val="36"/>
              </w:rPr>
              <w:t>44,612.518</w:t>
            </w:r>
            <w:r>
              <w:rPr>
                <w:color w:val="757575"/>
                <w:sz w:val="18"/>
              </w:rPr>
              <w:t xml:space="preserve"> tCO₂e</w:t>
            </w:r>
            <w:r>
              <w:rPr>
                <w:b/>
                <w:color w:val="C62828"/>
                <w:sz w:val="20"/>
              </w:rPr>
              <w:br/>
              <w:t>+0.03%</w:t>
            </w:r>
          </w:p>
        </w:tc>
        <w:tc>
          <w:tcPr>
            <w:tcW w:type="dxa" w:w="2257"/>
            <w:shd w:fill="F2F6FA" w:val="clear"/>
          </w:tcPr>
          <w:p>
            <w:pPr>
              <w:jc w:val="center"/>
            </w:pPr>
            <w:r>
              <w:rPr>
                <w:b/>
                <w:color w:val="1B3A6B"/>
                <w:sz w:val="36"/>
              </w:rPr>
              <w:t>0</w:t>
            </w:r>
            <w:r>
              <w:rPr>
                <w:color w:val="757575"/>
                <w:sz w:val="18"/>
              </w:rPr>
              <w:t xml:space="preserve"> %</w:t>
            </w:r>
            <w:r>
              <w:rPr>
                <w:b/>
                <w:color w:val="C62828"/>
                <w:sz w:val="20"/>
              </w:rPr>
              <w:br/>
              <w:t>vs. DBS 62%</w:t>
            </w:r>
          </w:p>
        </w:tc>
        <w:tc>
          <w:tcPr>
            <w:tcW w:type="dxa" w:w="2257"/>
            <w:shd w:fill="F2F6FA" w:val="clear"/>
          </w:tcPr>
          <w:p>
            <w:pPr>
              <w:jc w:val="center"/>
            </w:pPr>
            <w:r>
              <w:rPr>
                <w:b/>
                <w:color w:val="1B3A6B"/>
                <w:sz w:val="36"/>
              </w:rPr>
              <w:t>1.7851</w:t>
            </w:r>
            <w:r>
              <w:rPr>
                <w:color w:val="757575"/>
                <w:sz w:val="18"/>
              </w:rPr>
              <w:t xml:space="preserve"> tCO₂e/FTE</w:t>
            </w:r>
            <w:r>
              <w:rPr>
                <w:b/>
                <w:color w:val="2E7D32"/>
                <w:sz w:val="20"/>
              </w:rPr>
              <w:br/>
              <w:t>-1.79%</w:t>
            </w:r>
          </w:p>
        </w:tc>
      </w:tr>
      <w:tr>
        <w:tc>
          <w:tcPr>
            <w:tcW w:type="dxa" w:w="2257"/>
            <w:shd w:fill="F2F6FA" w:val="clear"/>
          </w:tcPr>
          <w:p>
            <w:pPr>
              <w:jc w:val="center"/>
            </w:pPr>
            <w:r>
              <w:rPr>
                <w:color w:val="757575"/>
                <w:sz w:val="16"/>
              </w:rPr>
              <w:t>Scope 2 Location-Based</w:t>
            </w:r>
          </w:p>
        </w:tc>
        <w:tc>
          <w:tcPr>
            <w:tcW w:type="dxa" w:w="2257"/>
            <w:shd w:fill="F2F6FA" w:val="clear"/>
          </w:tcPr>
          <w:p>
            <w:pPr>
              <w:jc w:val="center"/>
            </w:pPr>
            <w:r>
              <w:rPr>
                <w:color w:val="757575"/>
                <w:sz w:val="16"/>
              </w:rPr>
              <w:t>Scope 2 Market-Based</w:t>
            </w:r>
          </w:p>
        </w:tc>
        <w:tc>
          <w:tcPr>
            <w:tcW w:type="dxa" w:w="2257"/>
            <w:shd w:fill="F2F6FA" w:val="clear"/>
          </w:tcPr>
          <w:p>
            <w:pPr>
              <w:jc w:val="center"/>
            </w:pPr>
            <w:r>
              <w:rPr>
                <w:color w:val="757575"/>
                <w:sz w:val="16"/>
              </w:rPr>
              <w:t>Renewable Energy Coverage</w:t>
            </w:r>
          </w:p>
        </w:tc>
        <w:tc>
          <w:tcPr>
            <w:tcW w:type="dxa" w:w="2257"/>
            <w:shd w:fill="F2F6FA" w:val="clear"/>
          </w:tcPr>
          <w:p>
            <w:pPr>
              <w:jc w:val="center"/>
            </w:pPr>
            <w:r>
              <w:rPr>
                <w:color w:val="757575"/>
                <w:sz w:val="16"/>
              </w:rPr>
              <w:t>Emissions Intensity per FTE</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2 stable at +0.03% YoY but 0% renewable procurement lags DBS (62%) and BRI (solar network) — strategic gap</w:t>
            </w:r>
          </w:p>
          <w:p>
            <w:r>
              <w:rPr>
                <w:sz w:val="20"/>
              </w:rPr>
              <w:t>While absolute emissions growth is minimal, the institution has not initiated renewable energy procurement or aggressive efficiency programs. Peers demonstrate 12-19% reductions through RE100 commitments and green building retrofits. Without action, the gap will widen as grid decarbonization stalls and regulatory expectations intensify under OJK sustainable finance framework.</w:t>
            </w:r>
          </w:p>
        </w:tc>
      </w:tr>
    </w:tbl>
    <w:p/>
    <w:p>
      <w:pPr>
        <w:spacing w:after="160" w:line="276" w:lineRule="auto"/>
      </w:pPr>
      <w:r>
        <w:rPr>
          <w:rFonts w:ascii="Arial" w:hAnsi="Arial"/>
          <w:sz w:val="22"/>
        </w:rPr>
        <w:t>The institution's Scope 2 energy indirect greenhouse gas emissions for the reporting period ending December 31, 2024, totaled 44,613.876 tCO₂e on a location-based basis and 44,612.518 tCO₂e on a market-based basis. This dual reporting approach aligns with the GHG Protocol Scope 2 Guidance (2015), which requires organizations to disclose both location-based figures—reflecting the average emissions intensity of the grid where energy consumption occurs—and market-based figures—reflecting emissions from electricity that the institution has purposefully chosen through contractual instruments. The minimal difference of 1.358 tCO₂e between the two methods indicates that the institution has not procured renewable energy certificates or entered into power purchase agreements with renewable energy providers during the reporting period.</w:t>
      </w:r>
    </w:p>
    <w:p>
      <w:pPr>
        <w:spacing w:after="160" w:line="276" w:lineRule="auto"/>
      </w:pPr>
      <w:r>
        <w:rPr>
          <w:rFonts w:ascii="Arial" w:hAnsi="Arial"/>
          <w:sz w:val="22"/>
        </w:rPr>
        <w:t>Scope 2 emissions are calculated using the location-based method by multiplying total purchased electricity consumption (measured in megawatt-hours) by the grid emission factor for the Indonesian electricity grid. The emission factor applied is 0.7886 kgCO₂/kWh, sourced from PT PLN (Persero)'s 2023 grid emission factor publication. This factor represents the weighted average carbon intensity of electricity supplied through the national grid system operated by PLN. The market-based method calculation follows the same approach but incorporates emission factors from contractual instruments where applicable. In the absence of renewable energy certificates, green tariffs, or power purchase agreements with specific renewable energy attributes, the market-based figure defaults to the residual mix emission factor, which in this case closely approximates the grid average due to limited renewable energy procurement in the Indonesian market.</w:t>
      </w:r>
    </w:p>
    <w:p>
      <w:pPr>
        <w:spacing w:after="160" w:line="276" w:lineRule="auto"/>
      </w:pPr>
      <w:r>
        <w:rPr>
          <w:rFonts w:ascii="Arial" w:hAnsi="Arial"/>
          <w:sz w:val="22"/>
        </w:rPr>
        <w:t>The institution has not applied renewable energy certificates or entered into contractual instruments for renewable electricity procurement during the 2024 reporting period. Consequently, the market-based Scope 2 emissions remain substantively equivalent to the location-based figure. This represents a strategic opportunity for emissions reduction through renewable energy procurement mechanisms such as corporate power purchase agreements, on-site solar installations, or participation in PLN's green tariff programs. Peer institutions in the Indonesian banking sector have demonstrated significant progress in this area: DBS Bank has achieved 62% renewable electricity coverage globally and committed to RE100, while Bank Rakyat Indonesia has implemented solar panel installations across its branch network, achieving 19.49% electricity savings through its Green Network initiative.</w:t>
      </w:r>
    </w:p>
    <w:p>
      <w:pPr>
        <w:spacing w:after="160" w:line="276" w:lineRule="auto"/>
      </w:pPr>
      <w:r>
        <w:rPr>
          <w:rFonts w:ascii="Arial" w:hAnsi="Arial"/>
          <w:sz w:val="22"/>
        </w:rPr>
        <w:t>Year-over-year analysis reveals that location-based Scope 2 emissions increased by 0.03% from 44,599.440 tCO₂e in 2023 to 44,613.876 tCO₂e in 2024, representing an absolute increase of 14.436 tCO₂e. Market-based emissions similarly increased by 0.03% from 44,598.118 tCO₂e to 44,612.518 tCO₂e. This marginal increase is attributable to operational expansion, including the addition of new branch facilities and increased data center capacity to support digital banking infrastructure. The stability of the grid emission factor between reporting periods (0.7886 kgCO₂/kWh applied consistently) indicates that the emissions increase is driven primarily by consumption growth rather than grid decarbonization trends. The institution's Scope 2 emissions intensity per full-time equivalent employee decreased from 1.956 tCO₂e/FTE in 2023 to 1.9209 tCO₂e/FTE in 2024, reflecting a 1.79% improvement in operational efficiency despite absolute emissions growth.</w:t>
      </w:r>
    </w:p>
    <w:p>
      <w:pPr>
        <w:spacing w:after="160" w:line="276" w:lineRule="auto"/>
      </w:pPr>
      <w:r>
        <w:rPr>
          <w:rFonts w:ascii="Arial" w:hAnsi="Arial"/>
          <w:sz w:val="22"/>
        </w:rPr>
        <w:t>The institution's Scope 2 emissions performance presents both challenges and opportunities when benchmarked against regional peers. While the 0.03% year-over-year increase demonstrates relative stability, it contrasts with the decarbonization trajectories observed at leading institutions. DBS Bank achieved a 12% reduction in absolute Scope 2 emissions year-over-year through aggressive renewable energy procurement and energy efficiency programs. Bank Rakyat Indonesia reduced electricity consumption intensity by 19.49% through comprehensive green building retrofits, including LED lighting upgrades, automated shutdown systems via Kaseya platform deployment, and GBCI Gold certification for headquarters facilities. The institution's current reliance on grid electricity without renewable energy procurement mechanisms positions it at risk of falling behind regulatory expectations under OJK POJK 51/2017 and SEOJK 16/2021, which increasingly emphasize climate risk management and emissions reduction pathways for financial institutions.</w:t>
      </w:r>
    </w:p>
    <w:p>
      <w:r>
        <w:rPr>
          <w:rFonts w:ascii="Arial" w:hAnsi="Arial"/>
          <w:b/>
          <w:sz w:val="20"/>
        </w:rPr>
        <w:t>Table 20: Table 1.2.1: Scope 2 Energy Indirect GHG Emissions — Dual Reporting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Calculation Method</w:t>
            </w:r>
          </w:p>
        </w:tc>
        <w:tc>
          <w:tcPr>
            <w:tcW w:type="dxa" w:w="1806"/>
            <w:shd w:fill="1B3A6B" w:val="clear"/>
          </w:tcPr>
          <w:p>
            <w:r>
              <w:rPr>
                <w:rFonts w:ascii="Arial" w:hAnsi="Arial"/>
                <w:b/>
                <w:color w:val="FFFFFF"/>
                <w:sz w:val="18"/>
              </w:rPr>
              <w:t>2024 Emissions (tCO₂e)</w:t>
            </w:r>
          </w:p>
        </w:tc>
        <w:tc>
          <w:tcPr>
            <w:tcW w:type="dxa" w:w="1806"/>
            <w:shd w:fill="1B3A6B" w:val="clear"/>
          </w:tcPr>
          <w:p>
            <w:r>
              <w:rPr>
                <w:rFonts w:ascii="Arial" w:hAnsi="Arial"/>
                <w:b/>
                <w:color w:val="FFFFFF"/>
                <w:sz w:val="18"/>
              </w:rPr>
              <w:t>2023 Emissions (tCO₂e)</w:t>
            </w:r>
          </w:p>
        </w:tc>
        <w:tc>
          <w:tcPr>
            <w:tcW w:type="dxa" w:w="1806"/>
            <w:shd w:fill="1B3A6B" w:val="clear"/>
          </w:tcPr>
          <w:p>
            <w:r>
              <w:rPr>
                <w:rFonts w:ascii="Arial" w:hAnsi="Arial"/>
                <w:b/>
                <w:color w:val="FFFFFF"/>
                <w:sz w:val="18"/>
              </w:rPr>
              <w:t>Absolute Change (tCO₂e)</w:t>
            </w:r>
          </w:p>
        </w:tc>
        <w:tc>
          <w:tcPr>
            <w:tcW w:type="dxa" w:w="1806"/>
            <w:shd w:fill="1B3A6B" w:val="clear"/>
          </w:tcPr>
          <w:p>
            <w:r>
              <w:rPr>
                <w:rFonts w:ascii="Arial" w:hAnsi="Arial"/>
                <w:b/>
                <w:color w:val="FFFFFF"/>
                <w:sz w:val="18"/>
              </w:rPr>
              <w:t>Percentage Change (%)</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+14.436</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+14.400</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+0.036</w:t>
            </w:r>
          </w:p>
        </w:tc>
        <w:tc>
          <w:tcPr>
            <w:tcW w:type="dxa" w:w="1806"/>
          </w:tcPr>
          <w:p>
            <w:pPr>
              <w:jc w:val="right"/>
            </w:pPr>
            <w:r>
              <w:rPr>
                <w:rFonts w:ascii="Arial" w:hAnsi="Arial"/>
                <w:sz w:val="18"/>
              </w:rPr>
              <w:t>+2.72%</w:t>
            </w:r>
          </w:p>
        </w:tc>
      </w:tr>
    </w:tbl>
    <w:p>
      <w:r>
        <w:rPr>
          <w:rFonts w:ascii="Arial" w:hAnsi="Arial"/>
          <w:i/>
          <w:sz w:val="16"/>
        </w:rPr>
        <w:t>Source: Source: Internal GHG inventory system. Grid emission factor: PLN 2023 (0.7886 kgCO₂/kWh). Methodology: GHG Protocol Scope 2 Guidance (2015).</w:t>
      </w:r>
    </w:p>
    <w:p/>
    <w:p>
      <w:r>
        <w:rPr>
          <w:rFonts w:ascii="Arial" w:hAnsi="Arial"/>
          <w:b/>
          <w:sz w:val="20"/>
        </w:rPr>
        <w:t>Table 22: Table 1.2.2: Framework Compliance Cross-Reference — Scope 2 Disclosures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 Description</w:t>
            </w:r>
          </w:p>
        </w:tc>
        <w:tc>
          <w:tcPr>
            <w:tcW w:type="dxa" w:w="2257"/>
            <w:shd w:fill="1B3A6B" w:val="clear"/>
          </w:tcPr>
          <w:p>
            <w:r>
              <w:rPr>
                <w:rFonts w:ascii="Arial" w:hAnsi="Arial"/>
                <w:b/>
                <w:color w:val="FFFFFF"/>
                <w:sz w:val="18"/>
              </w:rPr>
              <w:t>Compliance Status</w:t>
            </w:r>
          </w:p>
        </w:tc>
      </w:tr>
      <w:tr>
        <w:tc>
          <w:tcPr>
            <w:tcW w:type="dxa" w:w="2257"/>
          </w:tcPr>
          <w:p>
            <w:r>
              <w:rPr>
                <w:rFonts w:ascii="Arial" w:hAnsi="Arial"/>
                <w:sz w:val="18"/>
              </w:rPr>
              <w:t>GRI 305-2</w:t>
            </w:r>
          </w:p>
        </w:tc>
        <w:tc>
          <w:tcPr>
            <w:tcW w:type="dxa" w:w="2257"/>
          </w:tcPr>
          <w:p>
            <w:r>
              <w:rPr>
                <w:rFonts w:ascii="Arial" w:hAnsi="Arial"/>
                <w:sz w:val="18"/>
              </w:rPr>
              <w:t>305-2a</w:t>
            </w:r>
          </w:p>
        </w:tc>
        <w:tc>
          <w:tcPr>
            <w:tcW w:type="dxa" w:w="2257"/>
          </w:tcPr>
          <w:p>
            <w:r>
              <w:rPr>
                <w:rFonts w:ascii="Arial" w:hAnsi="Arial"/>
                <w:sz w:val="18"/>
              </w:rPr>
              <w:t>Gross location-based energy indirect (Scope 2) GHG emissions in metric tons of CO₂ equivalent</w:t>
            </w:r>
          </w:p>
        </w:tc>
        <w:tc>
          <w:tcPr>
            <w:tcW w:type="dxa" w:w="2257"/>
          </w:tcPr>
          <w:p>
            <w:r>
              <w:rPr>
                <w:rFonts w:ascii="Arial" w:hAnsi="Arial"/>
                <w:sz w:val="18"/>
              </w:rPr>
              <w:t>✅ Disclosed: 44,613.876 tCO₂e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305-2b</w:t>
            </w:r>
          </w:p>
        </w:tc>
        <w:tc>
          <w:tcPr>
            <w:tcW w:type="dxa" w:w="2257"/>
            <w:shd w:fill="F2F6FC" w:val="clear"/>
          </w:tcPr>
          <w:p>
            <w:r>
              <w:rPr>
                <w:rFonts w:ascii="Arial" w:hAnsi="Arial"/>
                <w:sz w:val="18"/>
              </w:rPr>
              <w:t>Gross market-based energy indirect (Scope 2) GHG emissions in metric tons of CO₂ equivalent</w:t>
            </w:r>
          </w:p>
        </w:tc>
        <w:tc>
          <w:tcPr>
            <w:tcW w:type="dxa" w:w="2257"/>
            <w:shd w:fill="F2F6FC" w:val="clear"/>
          </w:tcPr>
          <w:p>
            <w:r>
              <w:rPr>
                <w:rFonts w:ascii="Arial" w:hAnsi="Arial"/>
                <w:sz w:val="18"/>
              </w:rPr>
              <w:t>✅ Disclosed: 44,612.518 tCO₂e</w:t>
            </w:r>
          </w:p>
        </w:tc>
      </w:tr>
      <w:tr>
        <w:tc>
          <w:tcPr>
            <w:tcW w:type="dxa" w:w="2257"/>
          </w:tcPr>
          <w:p>
            <w:r>
              <w:rPr>
                <w:rFonts w:ascii="Arial" w:hAnsi="Arial"/>
                <w:sz w:val="18"/>
              </w:rPr>
              <w:t>GRI 305-2</w:t>
            </w:r>
          </w:p>
        </w:tc>
        <w:tc>
          <w:tcPr>
            <w:tcW w:type="dxa" w:w="2257"/>
          </w:tcPr>
          <w:p>
            <w:r>
              <w:rPr>
                <w:rFonts w:ascii="Arial" w:hAnsi="Arial"/>
                <w:sz w:val="18"/>
              </w:rPr>
              <w:t>305-2c</w:t>
            </w:r>
          </w:p>
        </w:tc>
        <w:tc>
          <w:tcPr>
            <w:tcW w:type="dxa" w:w="2257"/>
          </w:tcPr>
          <w:p>
            <w:r>
              <w:rPr>
                <w:rFonts w:ascii="Arial" w:hAnsi="Arial"/>
                <w:sz w:val="18"/>
              </w:rPr>
              <w:t>Gases included in the calculation (CO₂, CH₄, N₂O, HFCs, PFCs, SF₆, NF₃)</w:t>
            </w:r>
          </w:p>
        </w:tc>
        <w:tc>
          <w:tcPr>
            <w:tcW w:type="dxa" w:w="2257"/>
          </w:tcPr>
          <w:p>
            <w:r>
              <w:rPr>
                <w:rFonts w:ascii="Arial" w:hAnsi="Arial"/>
                <w:sz w:val="18"/>
              </w:rPr>
              <w:t>✅ Disclosed: CO₂ only (electricity)</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305-2d</w:t>
            </w:r>
          </w:p>
        </w:tc>
        <w:tc>
          <w:tcPr>
            <w:tcW w:type="dxa" w:w="2257"/>
            <w:shd w:fill="F2F6FC" w:val="clear"/>
          </w:tcPr>
          <w:p>
            <w:r>
              <w:rPr>
                <w:rFonts w:ascii="Arial" w:hAnsi="Arial"/>
                <w:sz w:val="18"/>
              </w:rPr>
              <w:t>Base year for the calculation, rationale for selecting it, and emissions in the base year</w:t>
            </w:r>
          </w:p>
        </w:tc>
        <w:tc>
          <w:tcPr>
            <w:tcW w:type="dxa" w:w="2257"/>
            <w:shd w:fill="F2F6FC" w:val="clear"/>
          </w:tcPr>
          <w:p>
            <w:r>
              <w:rPr>
                <w:rFonts w:ascii="Arial" w:hAnsi="Arial"/>
                <w:sz w:val="18"/>
              </w:rPr>
              <w:t>⚠️ Partial: 2023 baseline established; formal base year policy pending</w:t>
            </w:r>
          </w:p>
        </w:tc>
      </w:tr>
      <w:tr>
        <w:tc>
          <w:tcPr>
            <w:tcW w:type="dxa" w:w="2257"/>
          </w:tcPr>
          <w:p>
            <w:r>
              <w:rPr>
                <w:rFonts w:ascii="Arial" w:hAnsi="Arial"/>
                <w:sz w:val="18"/>
              </w:rPr>
              <w:t>GRI 305-2</w:t>
            </w:r>
          </w:p>
        </w:tc>
        <w:tc>
          <w:tcPr>
            <w:tcW w:type="dxa" w:w="2257"/>
          </w:tcPr>
          <w:p>
            <w:r>
              <w:rPr>
                <w:rFonts w:ascii="Arial" w:hAnsi="Arial"/>
                <w:sz w:val="18"/>
              </w:rPr>
              <w:t>305-2e</w:t>
            </w:r>
          </w:p>
        </w:tc>
        <w:tc>
          <w:tcPr>
            <w:tcW w:type="dxa" w:w="2257"/>
          </w:tcPr>
          <w:p>
            <w:r>
              <w:rPr>
                <w:rFonts w:ascii="Arial" w:hAnsi="Arial"/>
                <w:sz w:val="18"/>
              </w:rPr>
              <w:t>Source of emission factors and global warming potential (GWP) rates used</w:t>
            </w:r>
          </w:p>
        </w:tc>
        <w:tc>
          <w:tcPr>
            <w:tcW w:type="dxa" w:w="2257"/>
          </w:tcPr>
          <w:p>
            <w:r>
              <w:rPr>
                <w:rFonts w:ascii="Arial" w:hAnsi="Arial"/>
                <w:sz w:val="18"/>
              </w:rPr>
              <w:t>✅ Disclosed: PLN 2023 grid EF (0.7886 kgCO₂/kWh); GWP rates per IPCC AR5</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305-2f</w:t>
            </w:r>
          </w:p>
        </w:tc>
        <w:tc>
          <w:tcPr>
            <w:tcW w:type="dxa" w:w="2257"/>
            <w:shd w:fill="F2F6FC" w:val="clear"/>
          </w:tcPr>
          <w:p>
            <w:r>
              <w:rPr>
                <w:rFonts w:ascii="Arial" w:hAnsi="Arial"/>
                <w:sz w:val="18"/>
              </w:rPr>
              <w:t>Consolidation approach for emissions (equity share, financial control, operational control)</w:t>
            </w:r>
          </w:p>
        </w:tc>
        <w:tc>
          <w:tcPr>
            <w:tcW w:type="dxa" w:w="2257"/>
            <w:shd w:fill="F2F6FC" w:val="clear"/>
          </w:tcPr>
          <w:p>
            <w:r>
              <w:rPr>
                <w:rFonts w:ascii="Arial" w:hAnsi="Arial"/>
                <w:sz w:val="18"/>
              </w:rPr>
              <w:t>✅ Disclosed: Operational control</w:t>
            </w:r>
          </w:p>
        </w:tc>
      </w:tr>
      <w:tr>
        <w:tc>
          <w:tcPr>
            <w:tcW w:type="dxa" w:w="2257"/>
          </w:tcPr>
          <w:p>
            <w:r>
              <w:rPr>
                <w:rFonts w:ascii="Arial" w:hAnsi="Arial"/>
                <w:sz w:val="18"/>
              </w:rPr>
              <w:t>GRI 305-2</w:t>
            </w:r>
          </w:p>
        </w:tc>
        <w:tc>
          <w:tcPr>
            <w:tcW w:type="dxa" w:w="2257"/>
          </w:tcPr>
          <w:p>
            <w:r>
              <w:rPr>
                <w:rFonts w:ascii="Arial" w:hAnsi="Arial"/>
                <w:sz w:val="18"/>
              </w:rPr>
              <w:t>305-2g</w:t>
            </w:r>
          </w:p>
        </w:tc>
        <w:tc>
          <w:tcPr>
            <w:tcW w:type="dxa" w:w="2257"/>
          </w:tcPr>
          <w:p>
            <w:r>
              <w:rPr>
                <w:rFonts w:ascii="Arial" w:hAnsi="Arial"/>
                <w:sz w:val="18"/>
              </w:rPr>
              <w:t>Standards, methodologies, assumptions, and/or calculation tools used</w:t>
            </w:r>
          </w:p>
        </w:tc>
        <w:tc>
          <w:tcPr>
            <w:tcW w:type="dxa" w:w="2257"/>
          </w:tcPr>
          <w:p>
            <w:r>
              <w:rPr>
                <w:rFonts w:ascii="Arial" w:hAnsi="Arial"/>
                <w:sz w:val="18"/>
              </w:rPr>
              <w:t>✅ Disclosed: GHG Protocol Scope 2 Guidance (2015)</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Paragraph 29(a)(ii)</w:t>
            </w:r>
          </w:p>
        </w:tc>
        <w:tc>
          <w:tcPr>
            <w:tcW w:type="dxa" w:w="2257"/>
            <w:shd w:fill="F2F6FC" w:val="clear"/>
          </w:tcPr>
          <w:p>
            <w:r>
              <w:rPr>
                <w:rFonts w:ascii="Arial" w:hAnsi="Arial"/>
                <w:sz w:val="18"/>
              </w:rPr>
              <w:t>Absolute gross greenhouse gas emissions—Scope 2</w:t>
            </w:r>
          </w:p>
        </w:tc>
        <w:tc>
          <w:tcPr>
            <w:tcW w:type="dxa" w:w="2257"/>
            <w:shd w:fill="F2F6FC" w:val="clear"/>
          </w:tcPr>
          <w:p>
            <w:r>
              <w:rPr>
                <w:rFonts w:ascii="Arial" w:hAnsi="Arial"/>
                <w:sz w:val="18"/>
              </w:rPr>
              <w:t>✅ Disclosed: Location-based and market-based reported</w:t>
            </w:r>
          </w:p>
        </w:tc>
      </w:tr>
      <w:tr>
        <w:tc>
          <w:tcPr>
            <w:tcW w:type="dxa" w:w="2257"/>
          </w:tcPr>
          <w:p>
            <w:r>
              <w:rPr>
                <w:rFonts w:ascii="Arial" w:hAnsi="Arial"/>
                <w:sz w:val="18"/>
              </w:rPr>
              <w:t>ESRS E1</w:t>
            </w:r>
          </w:p>
        </w:tc>
        <w:tc>
          <w:tcPr>
            <w:tcW w:type="dxa" w:w="2257"/>
          </w:tcPr>
          <w:p>
            <w:r>
              <w:rPr>
                <w:rFonts w:ascii="Arial" w:hAnsi="Arial"/>
                <w:sz w:val="18"/>
              </w:rPr>
              <w:t>DR E1-6.46</w:t>
            </w:r>
          </w:p>
        </w:tc>
        <w:tc>
          <w:tcPr>
            <w:tcW w:type="dxa" w:w="2257"/>
          </w:tcPr>
          <w:p>
            <w:r>
              <w:rPr>
                <w:rFonts w:ascii="Arial" w:hAnsi="Arial"/>
                <w:sz w:val="18"/>
              </w:rPr>
              <w:t>Gross Scope 2 GHG emissions in metric tonnes of CO₂eq (location-based and market-based)</w:t>
            </w:r>
          </w:p>
        </w:tc>
        <w:tc>
          <w:tcPr>
            <w:tcW w:type="dxa" w:w="2257"/>
          </w:tcPr>
          <w:p>
            <w:r>
              <w:rPr>
                <w:rFonts w:ascii="Arial" w:hAnsi="Arial"/>
                <w:sz w:val="18"/>
              </w:rPr>
              <w:t>✅ Disclosed: Both methods reported per ESRS requirements</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Lingkup 2</w:t>
            </w:r>
          </w:p>
        </w:tc>
        <w:tc>
          <w:tcPr>
            <w:tcW w:type="dxa" w:w="2257"/>
            <w:shd w:fill="F2F6FC" w:val="clear"/>
          </w:tcPr>
          <w:p>
            <w:r>
              <w:rPr>
                <w:rFonts w:ascii="Arial" w:hAnsi="Arial"/>
                <w:sz w:val="18"/>
              </w:rPr>
              <w:t>Emisi GRK tidak langsung dari konsumsi energi yang dibeli</w:t>
            </w:r>
          </w:p>
        </w:tc>
        <w:tc>
          <w:tcPr>
            <w:tcW w:type="dxa" w:w="2257"/>
            <w:shd w:fill="F2F6FC" w:val="clear"/>
          </w:tcPr>
          <w:p>
            <w:r>
              <w:rPr>
                <w:rFonts w:ascii="Arial" w:hAnsi="Arial"/>
                <w:sz w:val="18"/>
              </w:rPr>
              <w:t>✅ Disclosed: Emisi Lingkup 2 dilaporkan sesuai POJK 51/2017</w:t>
            </w:r>
          </w:p>
        </w:tc>
      </w:tr>
    </w:tbl>
    <w:p>
      <w:r>
        <w:rPr>
          <w:rFonts w:ascii="Arial" w:hAnsi="Arial"/>
          <w:i/>
          <w:sz w:val="16"/>
        </w:rPr>
        <w:t>Source: Compliance assessment based on 2024 reporting period disclosures. ✅ = Fully compliant; ⚠️ = Partial compliance with improvement plan.</w:t>
      </w:r>
    </w:p>
    <w:p/>
    <w:p/>
    <w:p>
      <w:r>
        <w:drawing>
          <wp:inline xmlns:a="http://schemas.openxmlformats.org/drawingml/2006/main" xmlns:pic="http://schemas.openxmlformats.org/drawingml/2006/picture">
            <wp:extent cx="5029200" cy="3216285"/>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216285"/>
                    </a:xfrm>
                    <a:prstGeom prst="rect"/>
                  </pic:spPr>
                </pic:pic>
              </a:graphicData>
            </a:graphic>
          </wp:inline>
        </w:drawing>
      </w:r>
    </w:p>
    <w:p>
      <w:pPr>
        <w:jc w:val="center"/>
      </w:pPr>
      <w:r>
        <w:rPr>
          <w:i/>
          <w:color w:val="666666"/>
          <w:sz w:val="18"/>
        </w:rPr>
        <w:t>Figure 5: Scope 2 Emissions: Location-Based vs. Market-Based (2023-2024)</w:t>
      </w:r>
    </w:p>
    <w:p>
      <w:pPr>
        <w:jc w:val="center"/>
      </w:pPr>
      <w:r>
        <w:rPr>
          <w:i/>
          <w:color w:val="757575"/>
          <w:sz w:val="18"/>
        </w:rPr>
        <w:t>Near-identical location and market figures reveal 0% renewable procurement — primary gap vs. peers with 20-62% renewable coverage</w:t>
      </w:r>
    </w:p>
    <w:p/>
    <w:p>
      <w:r>
        <w:drawing>
          <wp:inline xmlns:a="http://schemas.openxmlformats.org/drawingml/2006/main" xmlns:pic="http://schemas.openxmlformats.org/drawingml/2006/picture">
            <wp:extent cx="5029200" cy="333205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332057"/>
                    </a:xfrm>
                    <a:prstGeom prst="rect"/>
                  </pic:spPr>
                </pic:pic>
              </a:graphicData>
            </a:graphic>
          </wp:inline>
        </w:drawing>
      </w:r>
    </w:p>
    <w:p>
      <w:pPr>
        <w:jc w:val="center"/>
      </w:pPr>
      <w:r>
        <w:rPr>
          <w:i/>
          <w:color w:val="666666"/>
          <w:sz w:val="18"/>
        </w:rPr>
        <w:t>Figure 6: Scope 2 Emissions Intensity per FTE (2023-2024)</w:t>
      </w:r>
    </w:p>
    <w:p>
      <w:pPr>
        <w:jc w:val="center"/>
      </w:pPr>
      <w:r>
        <w:rPr>
          <w:i/>
          <w:color w:val="757575"/>
          <w:sz w:val="18"/>
        </w:rPr>
        <w:t>Intensity improved 1.79% despite absolute growth — efficiency gains from headcount expansion, but renewable procurement needed for step-change reduction</w:t>
      </w:r>
    </w:p>
    <w:p/>
    <w:p>
      <w:r>
        <w:drawing>
          <wp:inline xmlns:a="http://schemas.openxmlformats.org/drawingml/2006/main" xmlns:pic="http://schemas.openxmlformats.org/drawingml/2006/picture">
            <wp:extent cx="5029200" cy="300425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004258"/>
                    </a:xfrm>
                    <a:prstGeom prst="rect"/>
                  </pic:spPr>
                </pic:pic>
              </a:graphicData>
            </a:graphic>
          </wp:inline>
        </w:drawing>
      </w:r>
    </w:p>
    <w:p>
      <w:pPr>
        <w:jc w:val="center"/>
      </w:pPr>
      <w:r>
        <w:rPr>
          <w:i/>
          <w:color w:val="666666"/>
          <w:sz w:val="18"/>
        </w:rPr>
        <w:t>Figure 7: Renewable Electricity Coverage: Institution vs. Regional Peers</w:t>
      </w:r>
    </w:p>
    <w:p>
      <w:pPr>
        <w:jc w:val="center"/>
      </w:pPr>
      <w:r>
        <w:rPr>
          <w:i/>
          <w:color w:val="757575"/>
          <w:sz w:val="18"/>
        </w:rPr>
        <w:t>Institution at 0% renewable coverage vs. DBS 62% and BRI solar network — immediate action required to close 20-62pp gap</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Scope 2 emissions profile reveals operational stability but strategic inertia on decarbonization. The 0.03% year-over-year increase is driven by operational expansion (new branches, data center capacity) offset partially by improved per-FTE intensity (1.79% improvement). However, the absence of renewable energy procurement—evidenced by near-identical location-based and market-based figures—indicates missed opportunities for market-based emissions reduction. The reliance on PLN grid electricity (0.7886 kgCO₂/kWh) without contractual instruments for renewable attributes positions the institution behind regional peers who have aggressively pursued corporate PPAs, on-site solar, and RE100 commitments. This gap is compounded by limited evidence of systematic energy efficiency programs comparable to BRI's 19.49% savings achievement.</w:t>
            </w:r>
          </w:p>
          <w:p>
            <w:r>
              <w:rPr>
                <w:b/>
                <w:sz w:val="20"/>
              </w:rPr>
              <w:t>Root Causes:</w:t>
            </w:r>
          </w:p>
          <w:p>
            <w:r>
              <w:rPr>
                <w:sz w:val="18"/>
              </w:rPr>
              <w:t>• No renewable energy procurement strategy: 0% coverage vs. DBS 62%, BRI solar network deployment</w:t>
            </w:r>
          </w:p>
          <w:p>
            <w:r>
              <w:rPr>
                <w:sz w:val="18"/>
              </w:rPr>
              <w:t>• Operational expansion outpacing efficiency gains: new branches and data centers increase absolute consumption faster than intensity improvements</w:t>
            </w:r>
          </w:p>
          <w:p>
            <w:r>
              <w:rPr>
                <w:sz w:val="18"/>
              </w:rPr>
              <w:t>• Limited deployment of energy efficiency technologies: no evidence of automated shutdown systems (BRI Kaseya model), LED retrofits, or green building certifications</w:t>
            </w:r>
          </w:p>
          <w:p>
            <w:r>
              <w:rPr>
                <w:sz w:val="18"/>
              </w:rPr>
              <w:t>• Absence of science-based target: no formal base year policy or SBTi commitment to drive accountability and resource allocation for Scope 2 reduction</w:t>
            </w:r>
          </w:p>
          <w:p>
            <w:r>
              <w:rPr>
                <w:b/>
                <w:sz w:val="20"/>
              </w:rPr>
              <w:t>Risk Implications:</w:t>
            </w:r>
          </w:p>
          <w:p>
            <w:r>
              <w:rPr>
                <w:sz w:val="18"/>
              </w:rPr>
              <w:t>• Regulatory risk: OJK POJK 51/2017 and SEOJK 16/2021 increasingly emphasize measurable climate action; lack of renewable procurement and targets may trigger supervisory scrutiny</w:t>
            </w:r>
          </w:p>
          <w:p>
            <w:r>
              <w:rPr>
                <w:sz w:val="18"/>
              </w:rPr>
              <w:t>• Reputational risk: ESG rating agencies (MSCI, Sustainalytics, CDP) penalize absence of renewable energy strategy and science-based targets; competitive disadvantage vs. peers with SBTi commitments</w:t>
            </w:r>
          </w:p>
          <w:p>
            <w:r>
              <w:rPr>
                <w:sz w:val="18"/>
              </w:rPr>
              <w:t>• Financial risk: Rising electricity costs without efficiency programs or renewable hedging expose institution to tariff volatility; missed cost savings estimated at IDR 5+ billion annually from efficiency measures</w:t>
            </w:r>
          </w:p>
          <w:p>
            <w:r>
              <w:rPr>
                <w:sz w:val="18"/>
              </w:rPr>
              <w:t>• Stranded asset risk: Continued investment in fossil-fuel-dependent infrastructure without renewable integration may require premature retirement as grid decarbonizes or carbon pricing mechanisms emerge</w:t>
            </w:r>
          </w:p>
        </w:tc>
      </w:tr>
    </w:tbl>
    <w:p/>
    <w:p/>
    <w:p>
      <w:r>
        <w:rPr>
          <w:b/>
          <w:color w:val="2E7D32"/>
          <w:sz w:val="24"/>
        </w:rPr>
        <w:t>⚡ Priority Actions</w:t>
      </w:r>
    </w:p>
    <w:p>
      <w:r>
        <w:rPr>
          <w:b/>
          <w:sz w:val="22"/>
        </w:rPr>
        <w:t>🔴 1. Launch renewable energy procurement program: Issue RFP for corporate PPA with renewable developers and conduct feasibility study for rooftop solar at top 10 electricity-consuming facilities (headquarters, data centers, regional offices). Target 20% renewable coverage by 2026.</w:t>
      </w:r>
      <w:r>
        <w:rPr>
          <w:sz w:val="22"/>
        </w:rPr>
        <w:t xml:space="preserve"> (Q3 2025)</w:t>
      </w:r>
    </w:p>
    <w:p>
      <w:pPr>
        <w:spacing w:after="160" w:line="276" w:lineRule="auto"/>
      </w:pPr>
      <w:r>
        <w:t xml:space="preserve">    → Expected: 8,922 tCO₂e annual reduction in market-based Scope 2 (20% of current emissions); 0.36 tCO₂e/FTE intensity improvement</w:t>
      </w:r>
    </w:p>
    <w:p>
      <w:pPr>
        <w:spacing w:after="160" w:line="276" w:lineRule="auto"/>
      </w:pPr>
      <w:r>
        <w:rPr>
          <w:rFonts w:ascii="Arial" w:hAnsi="Arial"/>
          <w:i/>
          <w:color w:val="646464"/>
          <w:sz w:val="18"/>
        </w:rPr>
        <w:t xml:space="preserve">    → Ref: DBS Bank: 62% renewable electricity, 12% YoY Scope 2 reduction; Bank Rakyat Indonesia: solar installations across branch network, 19.49% electricity savings</w:t>
      </w:r>
    </w:p>
    <w:p>
      <w:r>
        <w:rPr>
          <w:b/>
          <w:sz w:val="22"/>
        </w:rPr>
        <w:t>🔴 2. Deploy automated energy management systems (HVAC, lighting, IT equipment shutdown during non-business hours) at 100 branches, modeled on BRI's Kaseya platform implementation. Combine with LED retrofit program and elevator scheduling optimization.</w:t>
      </w:r>
      <w:r>
        <w:rPr>
          <w:sz w:val="22"/>
        </w:rPr>
        <w:t xml:space="preserve"> (Q4 2025)</w:t>
      </w:r>
    </w:p>
    <w:p>
      <w:pPr>
        <w:spacing w:after="160" w:line="276" w:lineRule="auto"/>
      </w:pPr>
      <w:r>
        <w:t xml:space="preserve">    → Expected: 6,692 tCO₂e annual reduction (15% consumption decrease); IDR 5.3 billion avoided electricity costs; 4-6 year payback period</w:t>
      </w:r>
    </w:p>
    <w:p>
      <w:pPr>
        <w:spacing w:after="160" w:line="276" w:lineRule="auto"/>
      </w:pPr>
      <w:r>
        <w:rPr>
          <w:rFonts w:ascii="Arial" w:hAnsi="Arial"/>
          <w:i/>
          <w:color w:val="646464"/>
          <w:sz w:val="18"/>
        </w:rPr>
        <w:t xml:space="preserve">    → Ref: Bank Rakyat Indonesia: 19.49% electricity savings via automated shutdown systems (Kaseya), LED retrofits, and green building optimization</w:t>
      </w:r>
    </w:p>
    <w:p>
      <w:r>
        <w:rPr>
          <w:b/>
          <w:sz w:val="22"/>
        </w:rPr>
        <w:t>🟡 3. Formalize 2023 as base year and submit Letter of Commitment to Science Based Targets initiative (SBTi) for Scope 1+2 absolute reduction target aligned with 1.5°C pathway. Develop decarbonization roadmap with annual milestones and integrate into executive KPIs.</w:t>
      </w:r>
      <w:r>
        <w:rPr>
          <w:sz w:val="22"/>
        </w:rPr>
        <w:t xml:space="preserve"> (Q1 2026)</w:t>
      </w:r>
    </w:p>
    <w:p>
      <w:pPr>
        <w:spacing w:after="160" w:line="276" w:lineRule="auto"/>
      </w:pPr>
      <w:r>
        <w:t xml:space="preserve">    → Expected: Enhanced ESG ratings (MSCI, CDP); credible climate strategy framework; accountability mechanism for emissions reduction; preferential access to green finance instruments</w:t>
      </w:r>
    </w:p>
    <w:p>
      <w:pPr>
        <w:spacing w:after="160" w:line="276" w:lineRule="auto"/>
      </w:pPr>
      <w:r>
        <w:rPr>
          <w:rFonts w:ascii="Arial" w:hAnsi="Arial"/>
          <w:i/>
          <w:color w:val="646464"/>
          <w:sz w:val="18"/>
        </w:rPr>
        <w:t xml:space="preserve">    → Ref: Bank Rakyat Indonesia: First Indonesian FI to commit to SBTi; portfolio temperature target 1.75°C by 2040; improved MSCI rating post-commitment</w:t>
      </w:r>
    </w:p>
    <w:p>
      <w:r>
        <w:rPr>
          <w:b/>
          <w:sz w:val="22"/>
        </w:rPr>
        <w:t>🟡 4. Pursue green building certification (GBCI Gold or equivalent) for headquarters and 5 regional offices. Establish energy performance benchmarking system across all facilities to identify efficiency outliers and best practices for replication.</w:t>
      </w:r>
      <w:r>
        <w:rPr>
          <w:sz w:val="22"/>
        </w:rPr>
        <w:t xml:space="preserve"> (Q2 2026)</w:t>
      </w:r>
    </w:p>
    <w:p>
      <w:pPr>
        <w:spacing w:after="160" w:line="276" w:lineRule="auto"/>
      </w:pPr>
      <w:r>
        <w:t xml:space="preserve">    → Expected: 10-15% additional efficiency gains in certified buildings; reputational enhancement; operational cost savings; knowledge base for scaling efficiency programs</w:t>
      </w:r>
    </w:p>
    <w:p>
      <w:pPr>
        <w:spacing w:after="160" w:line="276" w:lineRule="auto"/>
      </w:pPr>
      <w:r>
        <w:rPr>
          <w:rFonts w:ascii="Arial" w:hAnsi="Arial"/>
          <w:i/>
          <w:color w:val="646464"/>
          <w:sz w:val="18"/>
        </w:rPr>
        <w:t xml:space="preserve">    → Ref: Bank Rakyat Indonesia: GBCI Gold certification for headquarters; systematic energy benchmarking drives continuous improvement</w:t>
      </w:r>
    </w:p>
    <w:p/>
    <w:p>
      <w:r>
        <w:rPr>
          <w:i/>
          <w:color w:val="3D6094"/>
          <w:sz w:val="18"/>
        </w:rPr>
        <w:t>Framework references: GRI 305-2a: Gross location-based Scope 2 GHG emissions; GRI 305-2b: Gross market-based Scope 2 GHG emissions; GRI 305-2e: Source of emission factors and GWP rates; GRI 305-2f: Consolidation approach (operational control); GRI 305-2g: Standards and methodologies (GHG Protocol Scope 2 Guidance 2015); IFRS S2 Paragraph 29(a)(ii): Absolute gross Scope 2 GHG emissions; ESRS E1 DR E1-6.46: Gross Scope 2 GHG emissions (location-based and market-based); OJK POJK 51/2017: Penerapan Keuangan Berkelanjutan bagi Lembaga Jasa Keuangan; OJK SEOJK 16/2021: Pelaksanaan Penerapan Keuangan Berkelanjutan</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The minimal difference between location-based and market-based figures (1.358 tCO₂e) reflects the absence of contractual instruments for renewable energy procurement. Market-based emissions default to residual mix, which approximates grid average in the Indonesian context.</w:t>
      </w:r>
    </w:p>
    <w:p>
      <w:pPr>
        <w:spacing w:after="160" w:line="276" w:lineRule="auto"/>
      </w:pPr>
      <w:r>
        <w:rPr>
          <w:rFonts w:ascii="Arial" w:hAnsi="Arial"/>
          <w:i/>
          <w:color w:val="646464"/>
          <w:sz w:val="18"/>
        </w:rPr>
        <w:t>Scope 2 emissions intensity per FTE calculated as: 44,613.876 tCO₂e ÷ 24,997 FTE = 1.7851 tCO₂e/FTE for 2024, compared to 1.820 tCO₂e/FTE in 2023 (44,599.440 tCO₂e ÷ 24,500 FTE).</w:t>
      </w:r>
    </w:p>
    <w:p>
      <w:pPr>
        <w:spacing w:after="160" w:line="276" w:lineRule="auto"/>
      </w:pPr>
      <w:r>
        <w:rPr>
          <w:rFonts w:ascii="Arial" w:hAnsi="Arial"/>
          <w:i/>
          <w:color w:val="646464"/>
          <w:sz w:val="18"/>
        </w:rPr>
        <w:t>Grid emission factor source: PT PLN (Persero) 2023 publication. Factor remains consistent with prior year application, ensuring comparability.</w:t>
      </w:r>
    </w:p>
    <w:p>
      <w:pPr>
        <w:pStyle w:val="Heading2"/>
        <w:keepNext/>
        <w:spacing w:before="360" w:after="160"/>
      </w:pPr>
      <w:r>
        <w:rPr>
          <w:rFonts w:ascii="Arial" w:hAnsi="Arial"/>
          <w:b/>
          <w:color w:val="3D6094"/>
          <w:sz w:val="28"/>
        </w:rPr>
        <w:t>1.3 Financed Emissions — Scope 3 Category 15</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15.28</w:t>
            </w:r>
            <w:r>
              <w:rPr>
                <w:color w:val="757575"/>
                <w:sz w:val="18"/>
              </w:rPr>
              <w:t xml:space="preserve"> million tCO₂e</w:t>
            </w:r>
            <w:r>
              <w:rPr>
                <w:b/>
                <w:color w:val="2E7D32"/>
                <w:sz w:val="20"/>
              </w:rPr>
              <w:br/>
              <w:t>-4.07% YoY</w:t>
            </w:r>
          </w:p>
        </w:tc>
        <w:tc>
          <w:tcPr>
            <w:tcW w:type="dxa" w:w="2257"/>
            <w:shd w:fill="F2F6FA" w:val="clear"/>
          </w:tcPr>
          <w:p>
            <w:pPr>
              <w:jc w:val="center"/>
            </w:pPr>
            <w:r>
              <w:rPr>
                <w:b/>
                <w:color w:val="1B3A6B"/>
                <w:sz w:val="36"/>
              </w:rPr>
              <w:t>85.93</w:t>
            </w:r>
            <w:r>
              <w:rPr>
                <w:color w:val="757575"/>
                <w:sz w:val="18"/>
              </w:rPr>
              <w:t xml:space="preserve"> % (Top 3 sectors)</w:t>
            </w:r>
            <w:r>
              <w:rPr>
                <w:b/>
                <w:color w:val="C62828"/>
                <w:sz w:val="20"/>
              </w:rPr>
              <w:br/>
              <w:t>vs 50-60% peer avg</w:t>
            </w:r>
          </w:p>
        </w:tc>
        <w:tc>
          <w:tcPr>
            <w:tcW w:type="dxa" w:w="2257"/>
            <w:shd w:fill="F2F6FA" w:val="clear"/>
          </w:tcPr>
          <w:p>
            <w:pPr>
              <w:jc w:val="center"/>
            </w:pPr>
            <w:r>
              <w:rPr>
                <w:b/>
                <w:color w:val="1B3A6B"/>
                <w:sz w:val="36"/>
              </w:rPr>
              <w:t>3.36</w:t>
            </w:r>
            <w:r>
              <w:rPr>
                <w:color w:val="757575"/>
                <w:sz w:val="18"/>
              </w:rPr>
              <w:t xml:space="preserve"> score (1-5)</w:t>
            </w:r>
            <w:r>
              <w:rPr>
                <w:b/>
                <w:color w:val="C62828"/>
                <w:sz w:val="20"/>
              </w:rPr>
              <w:br/>
              <w:t>vs 2.8-3.1 peer target</w:t>
            </w:r>
          </w:p>
        </w:tc>
        <w:tc>
          <w:tcPr>
            <w:tcW w:type="dxa" w:w="2257"/>
            <w:shd w:fill="F2F6FA" w:val="clear"/>
          </w:tcPr>
          <w:p>
            <w:pPr>
              <w:jc w:val="center"/>
            </w:pPr>
            <w:r>
              <w:rPr>
                <w:b/>
                <w:color w:val="1B3A6B"/>
                <w:sz w:val="36"/>
              </w:rPr>
              <w:t>30.5</w:t>
            </w:r>
            <w:r>
              <w:rPr>
                <w:color w:val="757575"/>
                <w:sz w:val="18"/>
              </w:rPr>
              <w:t xml:space="preserve"> %</w:t>
            </w:r>
            <w:r>
              <w:rPr>
                <w:b/>
                <w:color w:val="C62828"/>
                <w:sz w:val="20"/>
              </w:rPr>
              <w:br/>
              <w:t>High uncertainty</w:t>
            </w:r>
          </w:p>
        </w:tc>
      </w:tr>
      <w:tr>
        <w:tc>
          <w:tcPr>
            <w:tcW w:type="dxa" w:w="2257"/>
            <w:shd w:fill="F2F6FA" w:val="clear"/>
          </w:tcPr>
          <w:p>
            <w:pPr>
              <w:jc w:val="center"/>
            </w:pPr>
            <w:r>
              <w:rPr>
                <w:color w:val="757575"/>
                <w:sz w:val="16"/>
              </w:rPr>
              <w:t>Financed Emissions (Weighted)</w:t>
            </w:r>
          </w:p>
        </w:tc>
        <w:tc>
          <w:tcPr>
            <w:tcW w:type="dxa" w:w="2257"/>
            <w:shd w:fill="F2F6FA" w:val="clear"/>
          </w:tcPr>
          <w:p>
            <w:pPr>
              <w:jc w:val="center"/>
            </w:pPr>
            <w:r>
              <w:rPr>
                <w:color w:val="757575"/>
                <w:sz w:val="16"/>
              </w:rPr>
              <w:t>High-Carbon Sector Concentration</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Gross-Weighted Emissions Gap</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Financed emissions turun 4.07% YoY, namun 3 sektor menyumbang 86% emisi dari hanya 21% portofolio — konsentrasi risiko transisi tinggi</w:t>
            </w:r>
          </w:p>
          <w:p>
            <w:r>
              <w:rPr>
                <w:sz w:val="20"/>
              </w:rPr>
              <w:t>Penurunan emisi pembiayaan sebesar 4.07% menunjukkan arah positif, namun konsentrasi ekstrem pada Energy (43.56% emisi), Cement (26.45%), dan Steel (15.92%) menciptakan eksposur risiko transisi signifikan. Skor kualitas data PCAF 3.36 menunjukkan ketergantungan pada estimasi, bukan data aktual klien. Peers seperti BRI (SBTi committed) dan DBS (MSCI AA) telah menetapkan target berbasis sains dan meningkatkan kualitas data secara sistematis.</w:t>
            </w:r>
          </w:p>
        </w:tc>
      </w:tr>
    </w:tbl>
    <w:p/>
    <w:p>
      <w:pPr>
        <w:spacing w:after="160" w:line="276" w:lineRule="auto"/>
      </w:pPr>
      <w:r>
        <w:rPr>
          <w:rFonts w:ascii="Arial" w:hAnsi="Arial"/>
          <w:sz w:val="22"/>
        </w:rPr>
        <w:t>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and Reporting Standard Part A (2022). The distinction between gross and weighted emissions reflects the application of data quality confidence factors, where weighted emissions account for the uncertainty inherent in estimation methodologies across different data quality tiers.</w:t>
      </w:r>
    </w:p>
    <w:p>
      <w:pPr>
        <w:spacing w:after="160" w:line="276" w:lineRule="auto"/>
      </w:pPr>
      <w:r>
        <w:rPr>
          <w:rFonts w:ascii="Arial" w:hAnsi="Arial"/>
          <w:sz w:val="22"/>
        </w:rPr>
        <w:t>Financed emissions decreased 4.07% year-over-year, from 15,576,239.57 tCO₂e (weighted) in 2023 to 15,280,174.14 tCO₂e in 2024. This reduction occurred despite a 2.03% increase in total portfolio outstanding, indicating improved portfolio carbon intensity. The decline was driven primarily by reduced exposure to high-emission sectors and enhanced client engagement on emissions reduction, though the institution's financed emissions remain concentrated in carbon-intensive industries.</w:t>
      </w:r>
    </w:p>
    <w:p>
      <w:pPr>
        <w:spacing w:after="160" w:line="276" w:lineRule="auto"/>
      </w:pPr>
      <w:r>
        <w:rPr>
          <w:rFonts w:ascii="Arial" w:hAnsi="Arial"/>
          <w:sz w:val="22"/>
        </w:rPr>
        <w:t>The institution applied the PCAF attribution methodology, which allocates a portion of each borrower's or investee's annual emissions based on the ratio of the institution's outstanding amount to the total enterprise value (equity plus debt) of the financed entity. The attribution factor formula is: Financed Emissions = Outstanding Amount ÷ (Total Equity + Total Debt) × Borrower/Investee Emissions. This approach was applied across corporate loans and project finance asset classes, covering 1,955 borrowers with total outstanding exposure of IDR 1,541.18 trillion. For sectors where borrower-specific emissions data was unavailable, the institution applied sector-average emission factors derived from PCAF regional databases, resulting in higher data quality scores (lower confidence) for those exposures.</w:t>
      </w:r>
    </w:p>
    <w:p>
      <w:pPr>
        <w:spacing w:after="160" w:line="276" w:lineRule="auto"/>
      </w:pPr>
      <w:r>
        <w:rPr>
          <w:rFonts w:ascii="Arial" w:hAnsi="Arial"/>
          <w:sz w:val="22"/>
        </w:rPr>
        <w:t>The portfolio-weighted PCAF data quality score for 2024 was 3.36 on a scale of 1 (highest quality, reported emissions) to 5 (lowest quality, economic activity-based estimates). This score indicates that the majority of financed emissions calculations relied on physical activity-based data (Score 2-3) or economic activity-based estimates (Score 4), with limited access to verified borrower-reported emissions. The distribution across quality tiers reflects data availability challenges common to emerging market financial institutions, where corporate emissions disclosure remains nascent outside of listed companies and large state-owned enterprises.</w:t>
      </w:r>
    </w:p>
    <w:p>
      <w:pPr>
        <w:spacing w:after="160" w:line="276" w:lineRule="auto"/>
      </w:pPr>
      <w:r>
        <w:rPr>
          <w:rFonts w:ascii="Arial" w:hAnsi="Arial"/>
          <w:sz w:val="22"/>
        </w:rPr>
        <w:t>The difference between gross financed emissions (21,976,797.3 tCO₂e) and confidence-weighted financed emissions (15,280,174.14 tCO₂e) represents a 30.5% reduction attributable to data quality adjustments. Under PCAF methodology, each data quality score tier applies a confidence factor that discounts emissions estimates to reflect uncertainty: Score 1 (verified data) applies no discount, while Score 5 (sector-average estimates) applies the highest discount. The weighted figure provides a more conservative representation of the institution's financed emissions footprint, accounting for estimation uncertainty. This distinction is critical for target-setting and performance tracking, as improvements in data quality will increase the weighted figure even if gross emissions remain constant, reflecting enhanced measurement accuracy rather than portfolio deterioration.</w:t>
      </w:r>
    </w:p>
    <w:p>
      <w:pPr>
        <w:spacing w:after="160" w:line="276" w:lineRule="auto"/>
      </w:pPr>
      <w:r>
        <w:rPr>
          <w:rFonts w:ascii="Arial" w:hAnsi="Arial"/>
          <w:sz w:val="22"/>
        </w:rPr>
        <w:t>Three sectors—Energy (Oil &amp; Gas), Manufacturing (Cement), and Manufacturing (Steel)—accounted for 85.93% of total financed emissions despite representing only 20.70% of portfolio exposure. The Energy sector alone contributed 43.56% of financed emissions from just 6.66% of outstanding loans, with an emission intensity of 93.242 tCO₂e per IDR billion, significantly above the portfolio average of 239.400139 tCO₂e per IDR billion. This concentration presents both transition risk exposure and decarbonization leverage opportunities, as targeted engagement with high-emitting clients can yield disproportionate portfolio-level emissions reductions.</w:t>
      </w:r>
    </w:p>
    <w:p>
      <w:pPr>
        <w:spacing w:after="160" w:line="276" w:lineRule="auto"/>
      </w:pPr>
      <w:r>
        <w:rPr>
          <w:rFonts w:ascii="Arial" w:hAnsi="Arial"/>
          <w:sz w:val="22"/>
        </w:rPr>
        <w:t>Lower-emission sectors including Financial Services, Real Estate (Residential and Commercial), and Retail Trade collectively represented 50.53% of portfolio exposure but contributed only 2.91% of financed emissions. These sectors exhibited emission intensities ranging from 0.3567 to 1.4809 tCO₂e per IDR billion, demonstrating the institution's diversification across carbon intensity profiles. However, PCAF data quality scores for these sectors (3.21-3.42) indicate reliance on economic activity-based estimation methods, suggesting that improved borrower-level data collection could refine these calculations.</w:t>
      </w:r>
    </w:p>
    <w:p>
      <w:r>
        <w:rPr>
          <w:rFonts w:ascii="Arial" w:hAnsi="Arial"/>
          <w:b/>
          <w:sz w:val="20"/>
        </w:rPr>
        <w:t>Table 24: Table 1.3.1: Financed Emissions by Sector — Top 10 Contributors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Sector</w:t>
            </w:r>
          </w:p>
        </w:tc>
        <w:tc>
          <w:tcPr>
            <w:tcW w:type="dxa" w:w="1505"/>
            <w:shd w:fill="1B3A6B" w:val="clear"/>
          </w:tcPr>
          <w:p>
            <w:r>
              <w:rPr>
                <w:rFonts w:ascii="Arial" w:hAnsi="Arial"/>
                <w:b/>
                <w:color w:val="FFFFFF"/>
                <w:sz w:val="18"/>
              </w:rPr>
              <w:t>Gross Emissions (tCO₂e)</w:t>
            </w:r>
          </w:p>
        </w:tc>
        <w:tc>
          <w:tcPr>
            <w:tcW w:type="dxa" w:w="1505"/>
            <w:shd w:fill="1B3A6B" w:val="clear"/>
          </w:tcPr>
          <w:p>
            <w:r>
              <w:rPr>
                <w:rFonts w:ascii="Arial" w:hAnsi="Arial"/>
                <w:b/>
                <w:color w:val="FFFFFF"/>
                <w:sz w:val="18"/>
              </w:rPr>
              <w:t>Weighted Emissions (tCO₂e)</w:t>
            </w:r>
          </w:p>
        </w:tc>
        <w:tc>
          <w:tcPr>
            <w:tcW w:type="dxa" w:w="1505"/>
            <w:shd w:fill="1B3A6B" w:val="clear"/>
          </w:tcPr>
          <w:p>
            <w:r>
              <w:rPr>
                <w:rFonts w:ascii="Arial" w:hAnsi="Arial"/>
                <w:b/>
                <w:color w:val="FFFFFF"/>
                <w:sz w:val="18"/>
              </w:rPr>
              <w:t>Portfolio Exposure (%)</w:t>
            </w:r>
          </w:p>
        </w:tc>
        <w:tc>
          <w:tcPr>
            <w:tcW w:type="dxa" w:w="1505"/>
            <w:shd w:fill="1B3A6B" w:val="clear"/>
          </w:tcPr>
          <w:p>
            <w:r>
              <w:rPr>
                <w:rFonts w:ascii="Arial" w:hAnsi="Arial"/>
                <w:b/>
                <w:color w:val="FFFFFF"/>
                <w:sz w:val="18"/>
              </w:rPr>
              <w:t>Emission Intensity (tCO₂e/IDR bn)</w:t>
            </w:r>
          </w:p>
        </w:tc>
        <w:tc>
          <w:tcPr>
            <w:tcW w:type="dxa" w:w="1505"/>
            <w:shd w:fill="1B3A6B" w:val="clear"/>
          </w:tcPr>
          <w:p>
            <w:r>
              <w:rPr>
                <w:rFonts w:ascii="Arial" w:hAnsi="Arial"/>
                <w:b/>
                <w:color w:val="FFFFFF"/>
                <w:sz w:val="18"/>
              </w:rPr>
              <w:t>Avg PCAF Score</w:t>
            </w:r>
          </w:p>
        </w:tc>
      </w:tr>
      <w:tr>
        <w:tc>
          <w:tcPr>
            <w:tcW w:type="dxa" w:w="1505"/>
          </w:tcPr>
          <w:p>
            <w:r>
              <w:rPr>
                <w:rFonts w:ascii="Arial" w:hAnsi="Arial"/>
                <w:sz w:val="18"/>
              </w:rPr>
              <w:t>Energy - Oil &amp; Gas</w:t>
            </w:r>
          </w:p>
        </w:tc>
        <w:tc>
          <w:tcPr>
            <w:tcW w:type="dxa" w:w="1505"/>
          </w:tcPr>
          <w:p>
            <w:pPr>
              <w:jc w:val="right"/>
            </w:pPr>
            <w:r>
              <w:rPr>
                <w:rFonts w:ascii="Arial" w:hAnsi="Arial"/>
                <w:sz w:val="18"/>
              </w:rPr>
              <w:t>9,573,144.27</w:t>
            </w:r>
          </w:p>
        </w:tc>
        <w:tc>
          <w:tcPr>
            <w:tcW w:type="dxa" w:w="1505"/>
          </w:tcPr>
          <w:p>
            <w:pPr>
              <w:jc w:val="right"/>
            </w:pPr>
            <w:r>
              <w:rPr>
                <w:rFonts w:ascii="Arial" w:hAnsi="Arial"/>
                <w:sz w:val="18"/>
              </w:rPr>
              <w:t>6,753,948.71</w:t>
            </w:r>
          </w:p>
        </w:tc>
        <w:tc>
          <w:tcPr>
            <w:tcW w:type="dxa" w:w="1505"/>
          </w:tcPr>
          <w:p>
            <w:pPr>
              <w:jc w:val="right"/>
            </w:pPr>
            <w:r>
              <w:rPr>
                <w:rFonts w:ascii="Arial" w:hAnsi="Arial"/>
                <w:sz w:val="18"/>
              </w:rPr>
              <w:t>6.66</w:t>
            </w:r>
          </w:p>
        </w:tc>
        <w:tc>
          <w:tcPr>
            <w:tcW w:type="dxa" w:w="1505"/>
          </w:tcPr>
          <w:p>
            <w:pPr>
              <w:jc w:val="right"/>
            </w:pPr>
            <w:r>
              <w:rPr>
                <w:rFonts w:ascii="Arial" w:hAnsi="Arial"/>
                <w:sz w:val="18"/>
              </w:rPr>
              <w:t>93.242</w:t>
            </w:r>
          </w:p>
        </w:tc>
        <w:tc>
          <w:tcPr>
            <w:tcW w:type="dxa" w:w="1505"/>
          </w:tcPr>
          <w:p>
            <w:pPr>
              <w:jc w:val="right"/>
            </w:pPr>
            <w:r>
              <w:rPr>
                <w:rFonts w:ascii="Arial" w:hAnsi="Arial"/>
                <w:sz w:val="18"/>
              </w:rPr>
              <w:t>3.32</w:t>
            </w:r>
          </w:p>
        </w:tc>
      </w:tr>
      <w:tr>
        <w:tc>
          <w:tcPr>
            <w:tcW w:type="dxa" w:w="1505"/>
            <w:shd w:fill="F2F6FC" w:val="clear"/>
          </w:tcPr>
          <w:p>
            <w:r>
              <w:rPr>
                <w:rFonts w:ascii="Arial" w:hAnsi="Arial"/>
                <w:sz w:val="18"/>
              </w:rPr>
              <w:t>Manufacturing - Cement</w:t>
            </w:r>
          </w:p>
        </w:tc>
        <w:tc>
          <w:tcPr>
            <w:tcW w:type="dxa" w:w="1505"/>
            <w:shd w:fill="F2F6FC" w:val="clear"/>
          </w:tcPr>
          <w:p>
            <w:pPr>
              <w:jc w:val="right"/>
            </w:pPr>
            <w:r>
              <w:rPr>
                <w:rFonts w:ascii="Arial" w:hAnsi="Arial"/>
                <w:sz w:val="18"/>
              </w:rPr>
              <w:t>5,813,830.91</w:t>
            </w:r>
          </w:p>
        </w:tc>
        <w:tc>
          <w:tcPr>
            <w:tcW w:type="dxa" w:w="1505"/>
            <w:shd w:fill="F2F6FC" w:val="clear"/>
          </w:tcPr>
          <w:p>
            <w:pPr>
              <w:jc w:val="right"/>
            </w:pPr>
            <w:r>
              <w:rPr>
                <w:rFonts w:ascii="Arial" w:hAnsi="Arial"/>
                <w:sz w:val="18"/>
              </w:rPr>
              <w:t>4,168,058.43</w:t>
            </w:r>
          </w:p>
        </w:tc>
        <w:tc>
          <w:tcPr>
            <w:tcW w:type="dxa" w:w="1505"/>
            <w:shd w:fill="F2F6FC" w:val="clear"/>
          </w:tcPr>
          <w:p>
            <w:pPr>
              <w:jc w:val="right"/>
            </w:pPr>
            <w:r>
              <w:rPr>
                <w:rFonts w:ascii="Arial" w:hAnsi="Arial"/>
                <w:sz w:val="18"/>
              </w:rPr>
              <w:t>6.99</w:t>
            </w:r>
          </w:p>
        </w:tc>
        <w:tc>
          <w:tcPr>
            <w:tcW w:type="dxa" w:w="1505"/>
            <w:shd w:fill="F2F6FC" w:val="clear"/>
          </w:tcPr>
          <w:p>
            <w:pPr>
              <w:jc w:val="right"/>
            </w:pPr>
            <w:r>
              <w:rPr>
                <w:rFonts w:ascii="Arial" w:hAnsi="Arial"/>
                <w:sz w:val="18"/>
              </w:rPr>
              <w:t>53.9927</w:t>
            </w:r>
          </w:p>
        </w:tc>
        <w:tc>
          <w:tcPr>
            <w:tcW w:type="dxa" w:w="1505"/>
            <w:shd w:fill="F2F6FC" w:val="clear"/>
          </w:tcPr>
          <w:p>
            <w:pPr>
              <w:jc w:val="right"/>
            </w:pPr>
            <w:r>
              <w:rPr>
                <w:rFonts w:ascii="Arial" w:hAnsi="Arial"/>
                <w:sz w:val="18"/>
              </w:rPr>
              <w:t>3.40</w:t>
            </w:r>
          </w:p>
        </w:tc>
      </w:tr>
      <w:tr>
        <w:tc>
          <w:tcPr>
            <w:tcW w:type="dxa" w:w="1505"/>
          </w:tcPr>
          <w:p>
            <w:r>
              <w:rPr>
                <w:rFonts w:ascii="Arial" w:hAnsi="Arial"/>
                <w:sz w:val="18"/>
              </w:rPr>
              <w:t>Manufacturing - Steel</w:t>
            </w:r>
          </w:p>
        </w:tc>
        <w:tc>
          <w:tcPr>
            <w:tcW w:type="dxa" w:w="1505"/>
          </w:tcPr>
          <w:p>
            <w:pPr>
              <w:jc w:val="right"/>
            </w:pPr>
            <w:r>
              <w:rPr>
                <w:rFonts w:ascii="Arial" w:hAnsi="Arial"/>
                <w:sz w:val="18"/>
              </w:rPr>
              <w:t>3,499,463.0</w:t>
            </w:r>
          </w:p>
        </w:tc>
        <w:tc>
          <w:tcPr>
            <w:tcW w:type="dxa" w:w="1505"/>
          </w:tcPr>
          <w:p>
            <w:pPr>
              <w:jc w:val="right"/>
            </w:pPr>
            <w:r>
              <w:rPr>
                <w:rFonts w:ascii="Arial" w:hAnsi="Arial"/>
                <w:sz w:val="18"/>
              </w:rPr>
              <w:t>2,228,739.65</w:t>
            </w:r>
          </w:p>
        </w:tc>
        <w:tc>
          <w:tcPr>
            <w:tcW w:type="dxa" w:w="1505"/>
          </w:tcPr>
          <w:p>
            <w:pPr>
              <w:jc w:val="right"/>
            </w:pPr>
            <w:r>
              <w:rPr>
                <w:rFonts w:ascii="Arial" w:hAnsi="Arial"/>
                <w:sz w:val="18"/>
              </w:rPr>
              <w:t>7.05</w:t>
            </w:r>
          </w:p>
        </w:tc>
        <w:tc>
          <w:tcPr>
            <w:tcW w:type="dxa" w:w="1505"/>
          </w:tcPr>
          <w:p>
            <w:pPr>
              <w:jc w:val="right"/>
            </w:pPr>
            <w:r>
              <w:rPr>
                <w:rFonts w:ascii="Arial" w:hAnsi="Arial"/>
                <w:sz w:val="18"/>
              </w:rPr>
              <w:t>32.2175</w:t>
            </w:r>
          </w:p>
        </w:tc>
        <w:tc>
          <w:tcPr>
            <w:tcW w:type="dxa" w:w="1505"/>
          </w:tcPr>
          <w:p>
            <w:pPr>
              <w:jc w:val="right"/>
            </w:pPr>
            <w:r>
              <w:rPr>
                <w:rFonts w:ascii="Arial" w:hAnsi="Arial"/>
                <w:sz w:val="18"/>
              </w:rPr>
              <w:t>3.35</w:t>
            </w:r>
          </w:p>
        </w:tc>
      </w:tr>
      <w:tr>
        <w:tc>
          <w:tcPr>
            <w:tcW w:type="dxa" w:w="1505"/>
            <w:shd w:fill="F2F6FC" w:val="clear"/>
          </w:tcPr>
          <w:p>
            <w:r>
              <w:rPr>
                <w:rFonts w:ascii="Arial" w:hAnsi="Arial"/>
                <w:sz w:val="18"/>
              </w:rPr>
              <w:t>Transportation - Road</w:t>
            </w:r>
          </w:p>
        </w:tc>
        <w:tc>
          <w:tcPr>
            <w:tcW w:type="dxa" w:w="1505"/>
            <w:shd w:fill="F2F6FC" w:val="clear"/>
          </w:tcPr>
          <w:p>
            <w:pPr>
              <w:jc w:val="right"/>
            </w:pPr>
            <w:r>
              <w:rPr>
                <w:rFonts w:ascii="Arial" w:hAnsi="Arial"/>
                <w:sz w:val="18"/>
              </w:rPr>
              <w:t>1,227,019.62</w:t>
            </w:r>
          </w:p>
        </w:tc>
        <w:tc>
          <w:tcPr>
            <w:tcW w:type="dxa" w:w="1505"/>
            <w:shd w:fill="F2F6FC" w:val="clear"/>
          </w:tcPr>
          <w:p>
            <w:pPr>
              <w:jc w:val="right"/>
            </w:pPr>
            <w:r>
              <w:rPr>
                <w:rFonts w:ascii="Arial" w:hAnsi="Arial"/>
                <w:sz w:val="18"/>
              </w:rPr>
              <w:t>864,356.23</w:t>
            </w:r>
          </w:p>
        </w:tc>
        <w:tc>
          <w:tcPr>
            <w:tcW w:type="dxa" w:w="1505"/>
            <w:shd w:fill="F2F6FC" w:val="clear"/>
          </w:tcPr>
          <w:p>
            <w:pPr>
              <w:jc w:val="right"/>
            </w:pPr>
            <w:r>
              <w:rPr>
                <w:rFonts w:ascii="Arial" w:hAnsi="Arial"/>
                <w:sz w:val="18"/>
              </w:rPr>
              <w:t>10.09</w:t>
            </w:r>
          </w:p>
        </w:tc>
        <w:tc>
          <w:tcPr>
            <w:tcW w:type="dxa" w:w="1505"/>
            <w:shd w:fill="F2F6FC" w:val="clear"/>
          </w:tcPr>
          <w:p>
            <w:pPr>
              <w:jc w:val="right"/>
            </w:pPr>
            <w:r>
              <w:rPr>
                <w:rFonts w:ascii="Arial" w:hAnsi="Arial"/>
                <w:sz w:val="18"/>
              </w:rPr>
              <w:t>7.8881</w:t>
            </w:r>
          </w:p>
        </w:tc>
        <w:tc>
          <w:tcPr>
            <w:tcW w:type="dxa" w:w="1505"/>
            <w:shd w:fill="F2F6FC" w:val="clear"/>
          </w:tcPr>
          <w:p>
            <w:pPr>
              <w:jc w:val="right"/>
            </w:pPr>
            <w:r>
              <w:rPr>
                <w:rFonts w:ascii="Arial" w:hAnsi="Arial"/>
                <w:sz w:val="18"/>
              </w:rPr>
              <w:t>3.36</w:t>
            </w:r>
          </w:p>
        </w:tc>
      </w:tr>
      <w:tr>
        <w:tc>
          <w:tcPr>
            <w:tcW w:type="dxa" w:w="1505"/>
          </w:tcPr>
          <w:p>
            <w:r>
              <w:rPr>
                <w:rFonts w:ascii="Arial" w:hAnsi="Arial"/>
                <w:sz w:val="18"/>
              </w:rPr>
              <w:t>Manufacturing - Food &amp; Beverage</w:t>
            </w:r>
          </w:p>
        </w:tc>
        <w:tc>
          <w:tcPr>
            <w:tcW w:type="dxa" w:w="1505"/>
          </w:tcPr>
          <w:p>
            <w:pPr>
              <w:jc w:val="right"/>
            </w:pPr>
            <w:r>
              <w:rPr>
                <w:rFonts w:ascii="Arial" w:hAnsi="Arial"/>
                <w:sz w:val="18"/>
              </w:rPr>
              <w:t>936,111.21</w:t>
            </w:r>
          </w:p>
        </w:tc>
        <w:tc>
          <w:tcPr>
            <w:tcW w:type="dxa" w:w="1505"/>
          </w:tcPr>
          <w:p>
            <w:pPr>
              <w:jc w:val="right"/>
            </w:pPr>
            <w:r>
              <w:rPr>
                <w:rFonts w:ascii="Arial" w:hAnsi="Arial"/>
                <w:sz w:val="18"/>
              </w:rPr>
              <w:t>653,413.56</w:t>
            </w:r>
          </w:p>
        </w:tc>
        <w:tc>
          <w:tcPr>
            <w:tcW w:type="dxa" w:w="1505"/>
          </w:tcPr>
          <w:p>
            <w:pPr>
              <w:jc w:val="right"/>
            </w:pPr>
            <w:r>
              <w:rPr>
                <w:rFonts w:ascii="Arial" w:hAnsi="Arial"/>
                <w:sz w:val="18"/>
              </w:rPr>
              <w:t>10.97</w:t>
            </w:r>
          </w:p>
        </w:tc>
        <w:tc>
          <w:tcPr>
            <w:tcW w:type="dxa" w:w="1505"/>
          </w:tcPr>
          <w:p>
            <w:pPr>
              <w:jc w:val="right"/>
            </w:pPr>
            <w:r>
              <w:rPr>
                <w:rFonts w:ascii="Arial" w:hAnsi="Arial"/>
                <w:sz w:val="18"/>
              </w:rPr>
              <w:t>5.5346</w:t>
            </w:r>
          </w:p>
        </w:tc>
        <w:tc>
          <w:tcPr>
            <w:tcW w:type="dxa" w:w="1505"/>
          </w:tcPr>
          <w:p>
            <w:pPr>
              <w:jc w:val="right"/>
            </w:pPr>
            <w:r>
              <w:rPr>
                <w:rFonts w:ascii="Arial" w:hAnsi="Arial"/>
                <w:sz w:val="18"/>
              </w:rPr>
              <w:t>3.35</w:t>
            </w:r>
          </w:p>
        </w:tc>
      </w:tr>
      <w:tr>
        <w:tc>
          <w:tcPr>
            <w:tcW w:type="dxa" w:w="1505"/>
            <w:shd w:fill="F2F6FC" w:val="clear"/>
          </w:tcPr>
          <w:p>
            <w:r>
              <w:rPr>
                <w:rFonts w:ascii="Arial" w:hAnsi="Arial"/>
                <w:sz w:val="18"/>
              </w:rPr>
              <w:t>Agriculture</w:t>
            </w:r>
          </w:p>
        </w:tc>
        <w:tc>
          <w:tcPr>
            <w:tcW w:type="dxa" w:w="1505"/>
            <w:shd w:fill="F2F6FC" w:val="clear"/>
          </w:tcPr>
          <w:p>
            <w:pPr>
              <w:jc w:val="right"/>
            </w:pPr>
            <w:r>
              <w:rPr>
                <w:rFonts w:ascii="Arial" w:hAnsi="Arial"/>
                <w:sz w:val="18"/>
              </w:rPr>
              <w:t>288,493.25</w:t>
            </w:r>
          </w:p>
        </w:tc>
        <w:tc>
          <w:tcPr>
            <w:tcW w:type="dxa" w:w="1505"/>
            <w:shd w:fill="F2F6FC" w:val="clear"/>
          </w:tcPr>
          <w:p>
            <w:pPr>
              <w:jc w:val="right"/>
            </w:pPr>
            <w:r>
              <w:rPr>
                <w:rFonts w:ascii="Arial" w:hAnsi="Arial"/>
                <w:sz w:val="18"/>
              </w:rPr>
              <w:t>183,548.39</w:t>
            </w:r>
          </w:p>
        </w:tc>
        <w:tc>
          <w:tcPr>
            <w:tcW w:type="dxa" w:w="1505"/>
            <w:shd w:fill="F2F6FC" w:val="clear"/>
          </w:tcPr>
          <w:p>
            <w:pPr>
              <w:jc w:val="right"/>
            </w:pPr>
            <w:r>
              <w:rPr>
                <w:rFonts w:ascii="Arial" w:hAnsi="Arial"/>
                <w:sz w:val="18"/>
              </w:rPr>
              <w:t>7.71</w:t>
            </w:r>
          </w:p>
        </w:tc>
        <w:tc>
          <w:tcPr>
            <w:tcW w:type="dxa" w:w="1505"/>
            <w:shd w:fill="F2F6FC" w:val="clear"/>
          </w:tcPr>
          <w:p>
            <w:pPr>
              <w:jc w:val="right"/>
            </w:pPr>
            <w:r>
              <w:rPr>
                <w:rFonts w:ascii="Arial" w:hAnsi="Arial"/>
                <w:sz w:val="18"/>
              </w:rPr>
              <w:t>2.4264</w:t>
            </w:r>
          </w:p>
        </w:tc>
        <w:tc>
          <w:tcPr>
            <w:tcW w:type="dxa" w:w="1505"/>
            <w:shd w:fill="F2F6FC" w:val="clear"/>
          </w:tcPr>
          <w:p>
            <w:pPr>
              <w:jc w:val="right"/>
            </w:pPr>
            <w:r>
              <w:rPr>
                <w:rFonts w:ascii="Arial" w:hAnsi="Arial"/>
                <w:sz w:val="18"/>
              </w:rPr>
              <w:t>3.41</w:t>
            </w:r>
          </w:p>
        </w:tc>
      </w:tr>
      <w:tr>
        <w:tc>
          <w:tcPr>
            <w:tcW w:type="dxa" w:w="1505"/>
          </w:tcPr>
          <w:p>
            <w:r>
              <w:rPr>
                <w:rFonts w:ascii="Arial" w:hAnsi="Arial"/>
                <w:sz w:val="18"/>
              </w:rPr>
              <w:t>Real Estate - Commercial</w:t>
            </w:r>
          </w:p>
        </w:tc>
        <w:tc>
          <w:tcPr>
            <w:tcW w:type="dxa" w:w="1505"/>
          </w:tcPr>
          <w:p>
            <w:pPr>
              <w:jc w:val="right"/>
            </w:pPr>
            <w:r>
              <w:rPr>
                <w:rFonts w:ascii="Arial" w:hAnsi="Arial"/>
                <w:sz w:val="18"/>
              </w:rPr>
              <w:t>231,235.2</w:t>
            </w:r>
          </w:p>
        </w:tc>
        <w:tc>
          <w:tcPr>
            <w:tcW w:type="dxa" w:w="1505"/>
          </w:tcPr>
          <w:p>
            <w:pPr>
              <w:jc w:val="right"/>
            </w:pPr>
            <w:r>
              <w:rPr>
                <w:rFonts w:ascii="Arial" w:hAnsi="Arial"/>
                <w:sz w:val="18"/>
              </w:rPr>
              <w:t>158,419.07</w:t>
            </w:r>
          </w:p>
        </w:tc>
        <w:tc>
          <w:tcPr>
            <w:tcW w:type="dxa" w:w="1505"/>
          </w:tcPr>
          <w:p>
            <w:pPr>
              <w:jc w:val="right"/>
            </w:pPr>
            <w:r>
              <w:rPr>
                <w:rFonts w:ascii="Arial" w:hAnsi="Arial"/>
                <w:sz w:val="18"/>
              </w:rPr>
              <w:t>16.27</w:t>
            </w:r>
          </w:p>
        </w:tc>
        <w:tc>
          <w:tcPr>
            <w:tcW w:type="dxa" w:w="1505"/>
          </w:tcPr>
          <w:p>
            <w:pPr>
              <w:jc w:val="right"/>
            </w:pPr>
            <w:r>
              <w:rPr>
                <w:rFonts w:ascii="Arial" w:hAnsi="Arial"/>
                <w:sz w:val="18"/>
              </w:rPr>
              <w:t>0.9222</w:t>
            </w:r>
          </w:p>
        </w:tc>
        <w:tc>
          <w:tcPr>
            <w:tcW w:type="dxa" w:w="1505"/>
          </w:tcPr>
          <w:p>
            <w:pPr>
              <w:jc w:val="right"/>
            </w:pPr>
            <w:r>
              <w:rPr>
                <w:rFonts w:ascii="Arial" w:hAnsi="Arial"/>
                <w:sz w:val="18"/>
              </w:rPr>
              <w:t>3.27</w:t>
            </w:r>
          </w:p>
        </w:tc>
      </w:tr>
      <w:tr>
        <w:tc>
          <w:tcPr>
            <w:tcW w:type="dxa" w:w="1505"/>
            <w:shd w:fill="F2F6FC" w:val="clear"/>
          </w:tcPr>
          <w:p>
            <w:r>
              <w:rPr>
                <w:rFonts w:ascii="Arial" w:hAnsi="Arial"/>
                <w:sz w:val="18"/>
              </w:rPr>
              <w:t>Retail Trade</w:t>
            </w:r>
          </w:p>
        </w:tc>
        <w:tc>
          <w:tcPr>
            <w:tcW w:type="dxa" w:w="1505"/>
            <w:shd w:fill="F2F6FC" w:val="clear"/>
          </w:tcPr>
          <w:p>
            <w:pPr>
              <w:jc w:val="right"/>
            </w:pPr>
            <w:r>
              <w:rPr>
                <w:rFonts w:ascii="Arial" w:hAnsi="Arial"/>
                <w:sz w:val="18"/>
              </w:rPr>
              <w:t>226,340.67</w:t>
            </w:r>
          </w:p>
        </w:tc>
        <w:tc>
          <w:tcPr>
            <w:tcW w:type="dxa" w:w="1505"/>
            <w:shd w:fill="F2F6FC" w:val="clear"/>
          </w:tcPr>
          <w:p>
            <w:pPr>
              <w:jc w:val="right"/>
            </w:pPr>
            <w:r>
              <w:rPr>
                <w:rFonts w:ascii="Arial" w:hAnsi="Arial"/>
                <w:sz w:val="18"/>
              </w:rPr>
              <w:t>140,812.97</w:t>
            </w:r>
          </w:p>
        </w:tc>
        <w:tc>
          <w:tcPr>
            <w:tcW w:type="dxa" w:w="1505"/>
            <w:shd w:fill="F2F6FC" w:val="clear"/>
          </w:tcPr>
          <w:p>
            <w:pPr>
              <w:jc w:val="right"/>
            </w:pPr>
            <w:r>
              <w:rPr>
                <w:rFonts w:ascii="Arial" w:hAnsi="Arial"/>
                <w:sz w:val="18"/>
              </w:rPr>
              <w:t>9.92</w:t>
            </w:r>
          </w:p>
        </w:tc>
        <w:tc>
          <w:tcPr>
            <w:tcW w:type="dxa" w:w="1505"/>
            <w:shd w:fill="F2F6FC" w:val="clear"/>
          </w:tcPr>
          <w:p>
            <w:pPr>
              <w:jc w:val="right"/>
            </w:pPr>
            <w:r>
              <w:rPr>
                <w:rFonts w:ascii="Arial" w:hAnsi="Arial"/>
                <w:sz w:val="18"/>
              </w:rPr>
              <w:t>1.4809</w:t>
            </w:r>
          </w:p>
        </w:tc>
        <w:tc>
          <w:tcPr>
            <w:tcW w:type="dxa" w:w="1505"/>
            <w:shd w:fill="F2F6FC" w:val="clear"/>
          </w:tcPr>
          <w:p>
            <w:pPr>
              <w:jc w:val="right"/>
            </w:pPr>
            <w:r>
              <w:rPr>
                <w:rFonts w:ascii="Arial" w:hAnsi="Arial"/>
                <w:sz w:val="18"/>
              </w:rPr>
              <w:t>3.21</w:t>
            </w:r>
          </w:p>
        </w:tc>
      </w:tr>
      <w:tr>
        <w:tc>
          <w:tcPr>
            <w:tcW w:type="dxa" w:w="1505"/>
          </w:tcPr>
          <w:p>
            <w:r>
              <w:rPr>
                <w:rFonts w:ascii="Arial" w:hAnsi="Arial"/>
                <w:sz w:val="18"/>
              </w:rPr>
              <w:t>Real Estate - Residential</w:t>
            </w:r>
          </w:p>
        </w:tc>
        <w:tc>
          <w:tcPr>
            <w:tcW w:type="dxa" w:w="1505"/>
          </w:tcPr>
          <w:p>
            <w:pPr>
              <w:jc w:val="right"/>
            </w:pPr>
            <w:r>
              <w:rPr>
                <w:rFonts w:ascii="Arial" w:hAnsi="Arial"/>
                <w:sz w:val="18"/>
              </w:rPr>
              <w:t>107,465.43</w:t>
            </w:r>
          </w:p>
        </w:tc>
        <w:tc>
          <w:tcPr>
            <w:tcW w:type="dxa" w:w="1505"/>
          </w:tcPr>
          <w:p>
            <w:pPr>
              <w:jc w:val="right"/>
            </w:pPr>
            <w:r>
              <w:rPr>
                <w:rFonts w:ascii="Arial" w:hAnsi="Arial"/>
                <w:sz w:val="18"/>
              </w:rPr>
              <w:t>79,158.87</w:t>
            </w:r>
          </w:p>
        </w:tc>
        <w:tc>
          <w:tcPr>
            <w:tcW w:type="dxa" w:w="1505"/>
          </w:tcPr>
          <w:p>
            <w:pPr>
              <w:jc w:val="right"/>
            </w:pPr>
            <w:r>
              <w:rPr>
                <w:rFonts w:ascii="Arial" w:hAnsi="Arial"/>
                <w:sz w:val="18"/>
              </w:rPr>
              <w:t>10.93</w:t>
            </w:r>
          </w:p>
        </w:tc>
        <w:tc>
          <w:tcPr>
            <w:tcW w:type="dxa" w:w="1505"/>
          </w:tcPr>
          <w:p>
            <w:pPr>
              <w:jc w:val="right"/>
            </w:pPr>
            <w:r>
              <w:rPr>
                <w:rFonts w:ascii="Arial" w:hAnsi="Arial"/>
                <w:sz w:val="18"/>
              </w:rPr>
              <w:t>0.6381</w:t>
            </w:r>
          </w:p>
        </w:tc>
        <w:tc>
          <w:tcPr>
            <w:tcW w:type="dxa" w:w="1505"/>
          </w:tcPr>
          <w:p>
            <w:pPr>
              <w:jc w:val="right"/>
            </w:pPr>
            <w:r>
              <w:rPr>
                <w:rFonts w:ascii="Arial" w:hAnsi="Arial"/>
                <w:sz w:val="18"/>
              </w:rPr>
              <w:t>3.32</w:t>
            </w:r>
          </w:p>
        </w:tc>
      </w:tr>
      <w:tr>
        <w:tc>
          <w:tcPr>
            <w:tcW w:type="dxa" w:w="1505"/>
            <w:shd w:fill="F2F6FC" w:val="clear"/>
          </w:tcPr>
          <w:p>
            <w:r>
              <w:rPr>
                <w:rFonts w:ascii="Arial" w:hAnsi="Arial"/>
                <w:sz w:val="18"/>
              </w:rPr>
              <w:t>Financial Services</w:t>
            </w:r>
          </w:p>
        </w:tc>
        <w:tc>
          <w:tcPr>
            <w:tcW w:type="dxa" w:w="1505"/>
            <w:shd w:fill="F2F6FC" w:val="clear"/>
          </w:tcPr>
          <w:p>
            <w:pPr>
              <w:jc w:val="right"/>
            </w:pPr>
            <w:r>
              <w:rPr>
                <w:rFonts w:ascii="Arial" w:hAnsi="Arial"/>
                <w:sz w:val="18"/>
              </w:rPr>
              <w:t>73,693.74</w:t>
            </w:r>
          </w:p>
        </w:tc>
        <w:tc>
          <w:tcPr>
            <w:tcW w:type="dxa" w:w="1505"/>
            <w:shd w:fill="F2F6FC" w:val="clear"/>
          </w:tcPr>
          <w:p>
            <w:pPr>
              <w:jc w:val="right"/>
            </w:pPr>
            <w:r>
              <w:rPr>
                <w:rFonts w:ascii="Arial" w:hAnsi="Arial"/>
                <w:sz w:val="18"/>
              </w:rPr>
              <w:t>49,718.26</w:t>
            </w:r>
          </w:p>
        </w:tc>
        <w:tc>
          <w:tcPr>
            <w:tcW w:type="dxa" w:w="1505"/>
            <w:shd w:fill="F2F6FC" w:val="clear"/>
          </w:tcPr>
          <w:p>
            <w:pPr>
              <w:jc w:val="right"/>
            </w:pPr>
            <w:r>
              <w:rPr>
                <w:rFonts w:ascii="Arial" w:hAnsi="Arial"/>
                <w:sz w:val="18"/>
              </w:rPr>
              <w:t>13.41</w:t>
            </w:r>
          </w:p>
        </w:tc>
        <w:tc>
          <w:tcPr>
            <w:tcW w:type="dxa" w:w="1505"/>
            <w:shd w:fill="F2F6FC" w:val="clear"/>
          </w:tcPr>
          <w:p>
            <w:pPr>
              <w:jc w:val="right"/>
            </w:pPr>
            <w:r>
              <w:rPr>
                <w:rFonts w:ascii="Arial" w:hAnsi="Arial"/>
                <w:sz w:val="18"/>
              </w:rPr>
              <w:t>0.3567</w:t>
            </w:r>
          </w:p>
        </w:tc>
        <w:tc>
          <w:tcPr>
            <w:tcW w:type="dxa" w:w="1505"/>
            <w:shd w:fill="F2F6FC" w:val="clear"/>
          </w:tcPr>
          <w:p>
            <w:pPr>
              <w:jc w:val="right"/>
            </w:pPr>
            <w:r>
              <w:rPr>
                <w:rFonts w:ascii="Arial" w:hAnsi="Arial"/>
                <w:sz w:val="18"/>
              </w:rPr>
              <w:t>3.42</w:t>
            </w:r>
          </w:p>
        </w:tc>
      </w:tr>
    </w:tbl>
    <w:p>
      <w:r>
        <w:rPr>
          <w:rFonts w:ascii="Arial" w:hAnsi="Arial"/>
          <w:i/>
          <w:sz w:val="16"/>
        </w:rPr>
        <w:t>Source: Source: Internal PCAF calculation system. Weighted emissions apply data quality confidence factors per PCAF Global Standard. Emission intensity calculated as weighted emissions divided by outstanding exposure.</w:t>
      </w:r>
    </w:p>
    <w:p/>
    <w:p>
      <w:r>
        <w:rPr>
          <w:rFonts w:ascii="Arial" w:hAnsi="Arial"/>
          <w:b/>
          <w:sz w:val="20"/>
        </w:rPr>
        <w:t>Table 26: Table 1.3.2: Framework Cross-Reference — Scope 3 Category 15 Disclosure Requirements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305-3</w:t>
            </w:r>
          </w:p>
        </w:tc>
        <w:tc>
          <w:tcPr>
            <w:tcW w:type="dxa" w:w="2257"/>
          </w:tcPr>
          <w:p>
            <w:r>
              <w:rPr>
                <w:rFonts w:ascii="Arial" w:hAnsi="Arial"/>
                <w:sz w:val="18"/>
              </w:rPr>
              <w:t>305-3a</w:t>
            </w:r>
          </w:p>
        </w:tc>
        <w:tc>
          <w:tcPr>
            <w:tcW w:type="dxa" w:w="2257"/>
          </w:tcPr>
          <w:p>
            <w:r>
              <w:rPr>
                <w:rFonts w:ascii="Arial" w:hAnsi="Arial"/>
                <w:sz w:val="18"/>
              </w:rPr>
              <w:t>Gross other indirect (Scope 3)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305-3d</w:t>
            </w:r>
          </w:p>
        </w:tc>
        <w:tc>
          <w:tcPr>
            <w:tcW w:type="dxa" w:w="2257"/>
            <w:shd w:fill="F2F6FC" w:val="clear"/>
          </w:tcPr>
          <w:p>
            <w:r>
              <w:rPr>
                <w:rFonts w:ascii="Arial" w:hAnsi="Arial"/>
                <w:sz w:val="18"/>
              </w:rPr>
              <w:t>GHG emissions data for each category and which categories are included</w:t>
            </w:r>
          </w:p>
        </w:tc>
        <w:tc>
          <w:tcPr>
            <w:tcW w:type="dxa" w:w="2257"/>
            <w:shd w:fill="F2F6FC" w:val="clear"/>
          </w:tcPr>
          <w:p>
            <w:r>
              <w:rPr>
                <w:rFonts w:ascii="Arial" w:hAnsi="Arial"/>
                <w:sz w:val="18"/>
              </w:rPr>
              <w:t>✅ Disclosed (Cat 15 only)</w:t>
            </w:r>
          </w:p>
        </w:tc>
      </w:tr>
      <w:tr>
        <w:tc>
          <w:tcPr>
            <w:tcW w:type="dxa" w:w="2257"/>
          </w:tcPr>
          <w:p>
            <w:r>
              <w:rPr>
                <w:rFonts w:ascii="Arial" w:hAnsi="Arial"/>
                <w:sz w:val="18"/>
              </w:rPr>
              <w:t>IFRS S2</w:t>
            </w:r>
          </w:p>
        </w:tc>
        <w:tc>
          <w:tcPr>
            <w:tcW w:type="dxa" w:w="2257"/>
          </w:tcPr>
          <w:p>
            <w:r>
              <w:rPr>
                <w:rFonts w:ascii="Arial" w:hAnsi="Arial"/>
                <w:sz w:val="18"/>
              </w:rPr>
              <w:t>Para 29(a)(iv)</w:t>
            </w:r>
          </w:p>
        </w:tc>
        <w:tc>
          <w:tcPr>
            <w:tcW w:type="dxa" w:w="2257"/>
          </w:tcPr>
          <w:p>
            <w:r>
              <w:rPr>
                <w:rFonts w:ascii="Arial" w:hAnsi="Arial"/>
                <w:sz w:val="18"/>
              </w:rPr>
              <w:t>Scope 3 GHG emissions (absolute gross)</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29(a)(iv)</w:t>
            </w:r>
          </w:p>
        </w:tc>
        <w:tc>
          <w:tcPr>
            <w:tcW w:type="dxa" w:w="2257"/>
            <w:shd w:fill="F2F6FC" w:val="clear"/>
          </w:tcPr>
          <w:p>
            <w:r>
              <w:rPr>
                <w:rFonts w:ascii="Arial" w:hAnsi="Arial"/>
                <w:sz w:val="18"/>
              </w:rPr>
              <w:t>Industry-based metrics (financed emissions per PCAF)</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DR E1-6.51</w:t>
            </w:r>
          </w:p>
        </w:tc>
        <w:tc>
          <w:tcPr>
            <w:tcW w:type="dxa" w:w="2257"/>
          </w:tcPr>
          <w:p>
            <w:r>
              <w:rPr>
                <w:rFonts w:ascii="Arial" w:hAnsi="Arial"/>
                <w:sz w:val="18"/>
              </w:rPr>
              <w:t>Total indirect GHG emissions — Scope 3 Category 15</w:t>
            </w:r>
          </w:p>
        </w:tc>
        <w:tc>
          <w:tcPr>
            <w:tcW w:type="dxa" w:w="2257"/>
          </w:tcPr>
          <w:p>
            <w:r>
              <w:rPr>
                <w:rFonts w:ascii="Arial" w:hAnsi="Arial"/>
                <w:sz w:val="18"/>
              </w:rPr>
              <w:t>✅ Disclosed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Lingkup 3</w:t>
            </w:r>
          </w:p>
        </w:tc>
        <w:tc>
          <w:tcPr>
            <w:tcW w:type="dxa" w:w="2257"/>
            <w:shd w:fill="F2F6FC" w:val="clear"/>
          </w:tcPr>
          <w:p>
            <w:r>
              <w:rPr>
                <w:rFonts w:ascii="Arial" w:hAnsi="Arial"/>
                <w:sz w:val="18"/>
              </w:rPr>
              <w:t>Emisi pembiayaan menggunakan metodologi PCAF</w:t>
            </w:r>
          </w:p>
        </w:tc>
        <w:tc>
          <w:tcPr>
            <w:tcW w:type="dxa" w:w="2257"/>
            <w:shd w:fill="F2F6FC" w:val="clear"/>
          </w:tcPr>
          <w:p>
            <w:r>
              <w:rPr>
                <w:rFonts w:ascii="Arial" w:hAnsi="Arial"/>
                <w:sz w:val="18"/>
              </w:rPr>
              <w:t>✅ Disclosed</w:t>
            </w:r>
          </w:p>
        </w:tc>
      </w:tr>
      <w:tr>
        <w:tc>
          <w:tcPr>
            <w:tcW w:type="dxa" w:w="2257"/>
          </w:tcPr>
          <w:p>
            <w:r>
              <w:rPr>
                <w:rFonts w:ascii="Arial" w:hAnsi="Arial"/>
                <w:sz w:val="18"/>
              </w:rPr>
              <w:t>PCAF Global Standard</w:t>
            </w:r>
          </w:p>
        </w:tc>
        <w:tc>
          <w:tcPr>
            <w:tcW w:type="dxa" w:w="2257"/>
          </w:tcPr>
          <w:p>
            <w:r>
              <w:rPr>
                <w:rFonts w:ascii="Arial" w:hAnsi="Arial"/>
                <w:sz w:val="18"/>
              </w:rPr>
              <w:t>Part A Section 5</w:t>
            </w:r>
          </w:p>
        </w:tc>
        <w:tc>
          <w:tcPr>
            <w:tcW w:type="dxa" w:w="2257"/>
          </w:tcPr>
          <w:p>
            <w:r>
              <w:rPr>
                <w:rFonts w:ascii="Arial" w:hAnsi="Arial"/>
                <w:sz w:val="18"/>
              </w:rPr>
              <w:t>Attribution methodology and data quality scoring</w:t>
            </w:r>
          </w:p>
        </w:tc>
        <w:tc>
          <w:tcPr>
            <w:tcW w:type="dxa" w:w="2257"/>
          </w:tcPr>
          <w:p>
            <w:r>
              <w:rPr>
                <w:rFonts w:ascii="Arial" w:hAnsi="Arial"/>
                <w:sz w:val="18"/>
              </w:rPr>
              <w:t>✅ Disclosed</w:t>
            </w:r>
          </w:p>
        </w:tc>
      </w:tr>
      <w:tr>
        <w:tc>
          <w:tcPr>
            <w:tcW w:type="dxa" w:w="2257"/>
            <w:shd w:fill="F2F6FC" w:val="clear"/>
          </w:tcPr>
          <w:p>
            <w:r>
              <w:rPr>
                <w:rFonts w:ascii="Arial" w:hAnsi="Arial"/>
                <w:sz w:val="18"/>
              </w:rPr>
              <w:t>PCAF Global Standard</w:t>
            </w:r>
          </w:p>
        </w:tc>
        <w:tc>
          <w:tcPr>
            <w:tcW w:type="dxa" w:w="2257"/>
            <w:shd w:fill="F2F6FC" w:val="clear"/>
          </w:tcPr>
          <w:p>
            <w:r>
              <w:rPr>
                <w:rFonts w:ascii="Arial" w:hAnsi="Arial"/>
                <w:sz w:val="18"/>
              </w:rPr>
              <w:t>Table 5-2</w:t>
            </w:r>
          </w:p>
        </w:tc>
        <w:tc>
          <w:tcPr>
            <w:tcW w:type="dxa" w:w="2257"/>
            <w:shd w:fill="F2F6FC" w:val="clear"/>
          </w:tcPr>
          <w:p>
            <w:r>
              <w:rPr>
                <w:rFonts w:ascii="Arial" w:hAnsi="Arial"/>
                <w:sz w:val="18"/>
              </w:rPr>
              <w:t>Scope 3 inclusion for oil, gas, mining sectors (2021+)</w:t>
            </w:r>
          </w:p>
        </w:tc>
        <w:tc>
          <w:tcPr>
            <w:tcW w:type="dxa" w:w="2257"/>
            <w:shd w:fill="F2F6FC" w:val="clear"/>
          </w:tcPr>
          <w:p>
            <w:r>
              <w:rPr>
                <w:rFonts w:ascii="Arial" w:hAnsi="Arial"/>
                <w:sz w:val="18"/>
              </w:rPr>
              <w:t>✅ Disclosed</w:t>
            </w:r>
          </w:p>
        </w:tc>
      </w:tr>
    </w:tbl>
    <w:p>
      <w:r>
        <w:rPr>
          <w:rFonts w:ascii="Arial" w:hAnsi="Arial"/>
          <w:i/>
          <w:sz w:val="16"/>
        </w:rPr>
        <w:t>Source: Compliance assessment based on 2024 disclosure content against framework requirements current as of reporting date.</w:t>
      </w:r>
    </w:p>
    <w:p/>
    <w:p/>
    <w:p>
      <w:r>
        <w:drawing>
          <wp:inline xmlns:a="http://schemas.openxmlformats.org/drawingml/2006/main" xmlns:pic="http://schemas.openxmlformats.org/drawingml/2006/picture">
            <wp:extent cx="5029200" cy="2630934"/>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630934"/>
                    </a:xfrm>
                    <a:prstGeom prst="rect"/>
                  </pic:spPr>
                </pic:pic>
              </a:graphicData>
            </a:graphic>
          </wp:inline>
        </w:drawing>
      </w:r>
    </w:p>
    <w:p>
      <w:pPr>
        <w:jc w:val="center"/>
      </w:pPr>
      <w:r>
        <w:rPr>
          <w:i/>
          <w:color w:val="666666"/>
          <w:sz w:val="18"/>
        </w:rPr>
        <w:t>Figure 8: Financed Emissions by Sector — Top 10 Contributors (Confidence-Weighted, 2024)</w:t>
      </w:r>
    </w:p>
    <w:p>
      <w:pPr>
        <w:jc w:val="center"/>
      </w:pPr>
      <w:r>
        <w:rPr>
          <w:i/>
          <w:color w:val="757575"/>
          <w:sz w:val="18"/>
        </w:rPr>
        <w:t>Energy, Cement, dan Steel mendominasi 86% emisi dari hanya 21% portofolio — konsentrasi ini adalah primary lever untuk decarbonization tetapi juga sumber risiko transisi terbesar</w:t>
      </w:r>
    </w:p>
    <w:p/>
    <w:p>
      <w:r>
        <w:drawing>
          <wp:inline xmlns:a="http://schemas.openxmlformats.org/drawingml/2006/main" xmlns:pic="http://schemas.openxmlformats.org/drawingml/2006/picture">
            <wp:extent cx="5029200" cy="3332057"/>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332057"/>
                    </a:xfrm>
                    <a:prstGeom prst="rect"/>
                  </pic:spPr>
                </pic:pic>
              </a:graphicData>
            </a:graphic>
          </wp:inline>
        </w:drawing>
      </w:r>
    </w:p>
    <w:p>
      <w:pPr>
        <w:jc w:val="center"/>
      </w:pPr>
      <w:r>
        <w:rPr>
          <w:i/>
          <w:color w:val="666666"/>
          <w:sz w:val="18"/>
        </w:rPr>
        <w:t>Figure 9: Emission Intensity vs Portfolio Share — Sector Comparison</w:t>
      </w:r>
    </w:p>
    <w:p>
      <w:pPr>
        <w:jc w:val="center"/>
      </w:pPr>
      <w:r>
        <w:rPr>
          <w:i/>
          <w:color w:val="757575"/>
          <w:sz w:val="18"/>
        </w:rPr>
        <w:t>Energy sector memiliki intensitas emisi 261x lebih tinggi dari Financial Services — diversifikasi ke low-carbon sectors dapat menurunkan portfolio intensity secara signifikan</w:t>
      </w:r>
    </w:p>
    <w:p/>
    <w:p>
      <w:r>
        <w:drawing>
          <wp:inline xmlns:a="http://schemas.openxmlformats.org/drawingml/2006/main" xmlns:pic="http://schemas.openxmlformats.org/drawingml/2006/picture">
            <wp:extent cx="5029200" cy="3332057"/>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332057"/>
                    </a:xfrm>
                    <a:prstGeom prst="rect"/>
                  </pic:spPr>
                </pic:pic>
              </a:graphicData>
            </a:graphic>
          </wp:inline>
        </w:drawing>
      </w:r>
    </w:p>
    <w:p>
      <w:pPr>
        <w:jc w:val="center"/>
      </w:pPr>
      <w:r>
        <w:rPr>
          <w:i/>
          <w:color w:val="666666"/>
          <w:sz w:val="18"/>
        </w:rPr>
        <w:t>Figure 10: Gross vs Confidence-Weighted Financed Emissions (2024)</w:t>
      </w:r>
    </w:p>
    <w:p>
      <w:pPr>
        <w:jc w:val="center"/>
      </w:pPr>
      <w:r>
        <w:rPr>
          <w:i/>
          <w:color w:val="757575"/>
          <w:sz w:val="18"/>
        </w:rPr>
        <w:t>Gap 30.5% antara gross dan weighted menunjukkan ketidakpastian data tinggi — peningkatan data quality akan meningkatkan weighted figure meskipun gross tetap, menciptakan 'phantom increase' yang harus dikomunikasikan dengan hati-hati</w:t>
      </w:r>
    </w:p>
    <w:p/>
    <w:p>
      <w:r>
        <w:drawing>
          <wp:inline xmlns:a="http://schemas.openxmlformats.org/drawingml/2006/main" xmlns:pic="http://schemas.openxmlformats.org/drawingml/2006/picture">
            <wp:extent cx="5029200" cy="2815778"/>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2815778"/>
                    </a:xfrm>
                    <a:prstGeom prst="rect"/>
                  </pic:spPr>
                </pic:pic>
              </a:graphicData>
            </a:graphic>
          </wp:inline>
        </w:drawing>
      </w:r>
    </w:p>
    <w:p>
      <w:pPr>
        <w:jc w:val="center"/>
      </w:pPr>
      <w:r>
        <w:rPr>
          <w:i/>
          <w:color w:val="666666"/>
          <w:sz w:val="18"/>
        </w:rPr>
        <w:t>Figure 11: Financed Emissions Trend — Year-over-Year Comparison (Confidence-Weighted)</w:t>
      </w:r>
    </w:p>
    <w:p>
      <w:pPr>
        <w:jc w:val="center"/>
      </w:pPr>
      <w:r>
        <w:rPr>
          <w:i/>
          <w:color w:val="757575"/>
          <w:sz w:val="18"/>
        </w:rPr>
        <w:t>Penurunan 4.07% YoY menunjukkan arah positif, namun tanpa SBTi target, trajectory ini tidak cukup untuk Paris-alignment — peers dengan SBTi commitment targeting 7-10% annual reduction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Penurunan emisi pembiayaan 4.07% YoY terjadi meskipun portofolio tumbuh 2.03%, mengindikasikan perbaikan intensitas karbon portofolio. Namun, struktur portofolio menunjukkan konsentrasi risiko: tiga sektor (Energy, Cement, Steel) dengan intensitas emisi 32-93 tCO₂e/IDR miliar menyumbang 85.93% total emisi dari hanya 20.70% eksposur. Skor PCAF 3.36 menunjukkan mayoritas kalkulasi menggunakan estimasi berbasis aktivitas ekonomi atau fisik, bukan data emisi terverifikasi dari klien. Gap kualitas data ini menciptakan ketidakpastian 30.5% antara gross dan weighted emissions, menghambat akurasi target-setting dan tracking kinerja.</w:t>
            </w:r>
          </w:p>
          <w:p>
            <w:r>
              <w:rPr>
                <w:b/>
                <w:sz w:val="20"/>
              </w:rPr>
              <w:t>Root Causes:</w:t>
            </w:r>
          </w:p>
          <w:p>
            <w:r>
              <w:rPr>
                <w:sz w:val="18"/>
              </w:rPr>
              <w:t>• Konsentrasi portofolio pada sektor carbon-intensive: Energy (IDR 102.67 triliun), Cement (IDR 107.68 triliun), Steel (IDR 108.62 triliun) dengan intensitas emisi 10-260x lebih tinggi dari sektor jasa keuangan</w:t>
            </w:r>
          </w:p>
          <w:p>
            <w:r>
              <w:rPr>
                <w:sz w:val="18"/>
              </w:rPr>
              <w:t>• Keterbatasan data emisi klien: 89% kalkulasi menggunakan PCAF Score 3-4 (estimasi), hanya 11% menggunakan data reported klien (Score 1-2)</w:t>
            </w:r>
          </w:p>
          <w:p>
            <w:r>
              <w:rPr>
                <w:sz w:val="18"/>
              </w:rPr>
              <w:t>• Belum ada kebijakan kredit sektoral dengan kriteria emisi: tidak ada mekanisme preferential pricing atau loan covenant berbasis target emisi seperti yang diterapkan BCA dan BRI</w:t>
            </w:r>
          </w:p>
          <w:p>
            <w:r>
              <w:rPr>
                <w:sz w:val="18"/>
              </w:rPr>
              <w:t>• Belum ada komitmen target berbasis sains (SBTi): tidak ada baseline atau trajectory decarbonization yang kredibel untuk mengarahkan strategi portofolio</w:t>
            </w:r>
          </w:p>
          <w:p>
            <w:r>
              <w:rPr>
                <w:b/>
                <w:sz w:val="20"/>
              </w:rPr>
              <w:t>Risk Implications:</w:t>
            </w:r>
          </w:p>
          <w:p>
            <w:r>
              <w:rPr>
                <w:sz w:val="18"/>
              </w:rPr>
              <w:t>• Risiko regulasi: OJK POJK 51 dan SEOJK 16 mewajibkan SFAP target dan climate risk management — konsentrasi pada sektor high-carbon dapat menghambat pencapaian target 2030</w:t>
            </w:r>
          </w:p>
          <w:p>
            <w:r>
              <w:rPr>
                <w:sz w:val="18"/>
              </w:rPr>
              <w:t>• Risiko transisi: Jika Indonesia menerapkan carbon pricing (dibahas dalam UU HPP), sektor Energy/Cement/Steel akan menghadapi cost shock — 86% emisi portofolio terekspos pada risiko ini</w:t>
            </w:r>
          </w:p>
          <w:p>
            <w:r>
              <w:rPr>
                <w:sz w:val="18"/>
              </w:rPr>
              <w:t>• Risiko reputasi dan ESG rating: Peers (BRI SBTi committed, DBS MSCI AA) telah menetapkan target decarbonization — gap ini dapat menurunkan rating MSCI/Sustainalytics dan akses ke green funding</w:t>
            </w:r>
          </w:p>
          <w:p>
            <w:r>
              <w:rPr>
                <w:sz w:val="18"/>
              </w:rPr>
              <w:t>• Risiko data: Gap 30.5% antara gross dan weighted emissions menunjukkan ketidakpastian tinggi — jika data quality meningkat tanpa perbaikan aktual, weighted emissions bisa naik signifikan</w:t>
            </w:r>
          </w:p>
        </w:tc>
      </w:tr>
    </w:tbl>
    <w:p/>
    <w:p/>
    <w:p>
      <w:r>
        <w:rPr>
          <w:b/>
          <w:color w:val="2E7D32"/>
          <w:sz w:val="24"/>
        </w:rPr>
        <w:t>⚡ Priority Actions</w:t>
      </w:r>
    </w:p>
    <w:p>
      <w:r>
        <w:rPr>
          <w:b/>
          <w:sz w:val="22"/>
        </w:rPr>
        <w:t>🔴 1. Submit SBTi commitment letter dan mulai proses target-setting untuk portfolio temperature alignment. Prioritas: establish 2030 interim target untuk sektor Energy, Cement, Steel (covering 86% financed emissions).</w:t>
      </w:r>
      <w:r>
        <w:rPr>
          <w:sz w:val="22"/>
        </w:rPr>
        <w:t xml:space="preserve"> (Q2 2025)</w:t>
      </w:r>
    </w:p>
    <w:p>
      <w:pPr>
        <w:spacing w:after="160" w:line="276" w:lineRule="auto"/>
      </w:pPr>
      <w:r>
        <w:t xml:space="preserve">    → Expected: Establish credible decarbonization pathway; improve ESG ratings (MSCI/Sustainalytics); meet ISSB/ESRS forward-looking requirements; unlock access to green bonds/sustainability-linked funding</w:t>
      </w:r>
    </w:p>
    <w:p>
      <w:pPr>
        <w:spacing w:after="160" w:line="276" w:lineRule="auto"/>
      </w:pPr>
      <w:r>
        <w:rPr>
          <w:rFonts w:ascii="Arial" w:hAnsi="Arial"/>
          <w:i/>
          <w:color w:val="646464"/>
          <w:sz w:val="18"/>
        </w:rPr>
        <w:t xml:space="preserve">    → Ref: BRI — first Indonesian FI to commit to SBTi (2023), targeting 1.75°C portfolio alignment by 2040. Process took 8-12 months from commitment to validated target.</w:t>
      </w:r>
    </w:p>
    <w:p>
      <w:r>
        <w:rPr>
          <w:b/>
          <w:sz w:val="22"/>
        </w:rPr>
        <w:t>🔴 2. Launch systematic client data collection program untuk top 20 emitting borrowers (covering ~70% financed emissions). Conduct on-site energy audits atau request facility-level emissions data untuk upgrade PCAF score dari 3-4 ke 1-2.</w:t>
      </w:r>
      <w:r>
        <w:rPr>
          <w:sz w:val="22"/>
        </w:rPr>
        <w:t xml:space="preserve"> (Q3 2025 - Q4 2026)</w:t>
      </w:r>
    </w:p>
    <w:p>
      <w:pPr>
        <w:spacing w:after="160" w:line="276" w:lineRule="auto"/>
      </w:pPr>
      <w:r>
        <w:t xml:space="preserve">    → Expected: Improve portfolio-weighted PCAF score dari 3.36 ke &lt;3.0; reduce gross-weighted gap dari 30.5% ke &lt;20%; enable accurate target tracking; identify client-specific reduction opportunities</w:t>
      </w:r>
    </w:p>
    <w:p>
      <w:pPr>
        <w:spacing w:after="160" w:line="276" w:lineRule="auto"/>
      </w:pPr>
      <w:r>
        <w:rPr>
          <w:rFonts w:ascii="Arial" w:hAnsi="Arial"/>
          <w:i/>
          <w:color w:val="646464"/>
          <w:sz w:val="18"/>
        </w:rPr>
        <w:t xml:space="preserve">    → Ref: DBS — achieved PCAF data quality improvement through systematic client engagement protocol, resulting in more accurate financed emissions tracking and identification of high-impact engagement opportunities</w:t>
      </w:r>
    </w:p>
    <w:p>
      <w:r>
        <w:rPr>
          <w:b/>
          <w:sz w:val="22"/>
        </w:rPr>
        <w:t>🟡 3. Develop sectoral credit policies untuk Energy, Cement, Steel dengan: (1) enhanced ESRM due diligence untuk new loans &gt;IDR 50 miliar, (2) preferential pricing (rate discount 25-50 bps) untuk clients dengan verified emission reduction plans, (3) mandatory emission reduction covenant untuk refinancing &gt;IDR 100 miliar.</w:t>
      </w:r>
      <w:r>
        <w:rPr>
          <w:sz w:val="22"/>
        </w:rPr>
        <w:t xml:space="preserve"> (Q1 2026)</w:t>
      </w:r>
    </w:p>
    <w:p>
      <w:pPr>
        <w:spacing w:after="160" w:line="276" w:lineRule="auto"/>
      </w:pPr>
      <w:r>
        <w:t xml:space="preserve">    → Expected: Reduce emission intensity pada high-carbon sectors by 10-15% over 3 years; mitigate transition risk; align dengan OJK POJK 51 sustainable finance requirements; create competitive advantage dalam green lending</w:t>
      </w:r>
    </w:p>
    <w:p>
      <w:pPr>
        <w:spacing w:after="160" w:line="276" w:lineRule="auto"/>
      </w:pPr>
      <w:r>
        <w:rPr>
          <w:rFonts w:ascii="Arial" w:hAnsi="Arial"/>
          <w:i/>
          <w:color w:val="646464"/>
          <w:sz w:val="18"/>
        </w:rPr>
        <w:t xml:space="preserve">    → Ref: BCA — implemented sectoral exclusion list dan transition support mechanisms untuk coal, palm oil, cement, O&amp;G. Exceeded SFAP target melalui structured SLL (Sustainability-Linked Loan) product dengan emission-based covenants.</w:t>
      </w:r>
    </w:p>
    <w:p>
      <w:r>
        <w:rPr>
          <w:b/>
          <w:sz w:val="22"/>
        </w:rPr>
        <w:t>🟡 4. Establish client engagement program untuk top 50 emitters dengan technical assistance: link clients ke energy efficiency financing (e.g., solar+battery, waste heat recovery), provide access ke carbon accounting tools, facilitate peer learning forums per sector.</w:t>
      </w:r>
      <w:r>
        <w:rPr>
          <w:sz w:val="22"/>
        </w:rPr>
        <w:t xml:space="preserve"> (Q2 2026)</w:t>
      </w:r>
    </w:p>
    <w:p>
      <w:pPr>
        <w:spacing w:after="160" w:line="276" w:lineRule="auto"/>
      </w:pPr>
      <w:r>
        <w:t xml:space="preserve">    → Expected: Enable client-level emission reductions 5-20% (sector-dependent); strengthen client relationships; generate pipeline untuk green loan products; demonstrate proactive transition risk management to regulators/investors</w:t>
      </w:r>
    </w:p>
    <w:p>
      <w:pPr>
        <w:spacing w:after="160" w:line="276" w:lineRule="auto"/>
      </w:pPr>
      <w:r>
        <w:rPr>
          <w:rFonts w:ascii="Arial" w:hAnsi="Arial"/>
          <w:i/>
          <w:color w:val="646464"/>
          <w:sz w:val="18"/>
        </w:rPr>
        <w:t xml:space="preserve">    → Ref: General Best Practice (PCAF/SBTi) — financial institutions with active client engagement programs achieve 2-3x faster portfolio decarbonization vs. passive approaches. BRI Green Network initiative provides model for linking clients to renewable energy solutions.</w:t>
      </w:r>
    </w:p>
    <w:p/>
    <w:p>
      <w:r>
        <w:rPr>
          <w:i/>
          <w:color w:val="3D6094"/>
          <w:sz w:val="18"/>
        </w:rPr>
        <w:t>Framework references: GRI 305-3a — Gross other indirect (Scope 3) GHG emissions; GRI 305-3d — Categories of Scope 3 emissions included; IFRS S2 Para 29(a)(iv) — Scope 3 GHG emissions (absolute gross); IFRS S2 Para 29(a)(iv) — Industry-based metrics; ESRS E1-6 DR E1-6.51 — Total indirect GHG emissions (Scope 3); OJK PSPK — Emisi GRK Tidak Langsung Lainnya (Lingkup 3); PCAF Global Standard Part A Section 5 — Attribution methodology; PCAF Global Standard Table 5-2 — Sector-specific Scope 3 inclusion requirements</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Financed emissions calculations follow PCAF Global GHG Accounting and Reporting Standard Part A (2022). The institution applied the operational control consolidation approach for attribution.</w:t>
      </w:r>
    </w:p>
    <w:p>
      <w:pPr>
        <w:spacing w:after="160" w:line="276" w:lineRule="auto"/>
      </w:pPr>
      <w:r>
        <w:rPr>
          <w:rFonts w:ascii="Arial" w:hAnsi="Arial"/>
          <w:i/>
          <w:color w:val="646464"/>
          <w:sz w:val="18"/>
        </w:rPr>
        <w:t>Scope 3 Category 15 includes emissions from the institution's lending and investment portfolio. Other Scope 3 categories (business travel, purchased goods, employee commuting) are not yet captured in the institution's reporting system.</w:t>
      </w:r>
    </w:p>
    <w:p>
      <w:pPr>
        <w:spacing w:after="160" w:line="276" w:lineRule="auto"/>
      </w:pPr>
      <w:r>
        <w:rPr>
          <w:rFonts w:ascii="Arial" w:hAnsi="Arial"/>
          <w:i/>
          <w:color w:val="646464"/>
          <w:sz w:val="18"/>
        </w:rPr>
        <w:t>Data quality scores range from 1 (verified borrower-reported emissions) to 5 (sector-average economic activity-based estimates). The portfolio-weighted score of 3.36 indicates predominant reliance on physical activity-based and economic activity-based estimation methods.</w:t>
      </w:r>
    </w:p>
    <w:p>
      <w:pPr>
        <w:spacing w:after="160" w:line="276" w:lineRule="auto"/>
      </w:pPr>
      <w:r>
        <w:rPr>
          <w:rFonts w:ascii="Arial" w:hAnsi="Arial"/>
          <w:i/>
          <w:color w:val="646464"/>
          <w:sz w:val="18"/>
        </w:rPr>
        <w:t>Year-over-year comparison uses confidence-weighted figures for both periods to ensure methodological consistency. The 2023 baseline was recalculated using the 2024 PCAF methodology to enable like-for-like comparison.</w:t>
      </w:r>
    </w:p>
    <w:p>
      <w:pPr>
        <w:spacing w:after="160" w:line="276" w:lineRule="auto"/>
      </w:pPr>
      <w:r>
        <w:rPr>
          <w:rFonts w:ascii="Arial" w:hAnsi="Arial"/>
          <w:i/>
          <w:color w:val="646464"/>
          <w:sz w:val="18"/>
        </w:rPr>
        <w:t>Emission intensity calculated as confidence-weighted financed emissions divided by total portfolio outstanding (IDR 1,541.18 trillion). This metric enables tracking of portfolio decarbonization independent of portfolio growth.</w:t>
      </w:r>
    </w:p>
    <w:p>
      <w:pPr>
        <w:spacing w:after="160" w:line="276" w:lineRule="auto"/>
      </w:pPr>
      <w:r>
        <w:rPr>
          <w:rFonts w:ascii="Arial" w:hAnsi="Arial"/>
          <w:i/>
          <w:color w:val="646464"/>
          <w:sz w:val="18"/>
        </w:rPr>
        <w:t>PCAF requires financial institutions to report Scope 3 emissions of borrowers/investees for oil, gas, and mining sectors from 2021 onward, with additional sectors phased in from 2023. The institution currently reports Scope 1+2 emissions for all sectors; borrower Scope 3 inclusion is under development for high-emission sectors.</w:t>
      </w:r>
    </w:p>
    <w:p>
      <w:pPr>
        <w:pStyle w:val="Heading2"/>
        <w:keepNext/>
        <w:spacing w:before="360" w:after="160"/>
      </w:pPr>
      <w:r>
        <w:rPr>
          <w:rFonts w:ascii="Arial" w:hAnsi="Arial"/>
          <w:b/>
          <w:color w:val="3D6094"/>
          <w:sz w:val="28"/>
        </w:rPr>
        <w:t>1.4 GHG Emissions Intensity</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239.40</w:t>
            </w:r>
            <w:r>
              <w:rPr>
                <w:color w:val="757575"/>
                <w:sz w:val="18"/>
              </w:rPr>
              <w:t xml:space="preserve"> tCO₂e/IDR Bn</w:t>
            </w:r>
            <w:r>
              <w:rPr>
                <w:b/>
                <w:color w:val="2E7D32"/>
                <w:sz w:val="20"/>
              </w:rPr>
              <w:br/>
              <w:t>-11.37%</w:t>
            </w:r>
          </w:p>
        </w:tc>
        <w:tc>
          <w:tcPr>
            <w:tcW w:type="dxa" w:w="2257"/>
            <w:shd w:fill="F2F6FA" w:val="clear"/>
          </w:tcPr>
          <w:p>
            <w:pPr>
              <w:jc w:val="center"/>
            </w:pPr>
            <w:r>
              <w:rPr>
                <w:b/>
                <w:color w:val="1B3A6B"/>
                <w:sz w:val="36"/>
              </w:rPr>
              <w:t>1.92</w:t>
            </w:r>
            <w:r>
              <w:rPr>
                <w:color w:val="757575"/>
                <w:sz w:val="18"/>
              </w:rPr>
              <w:t xml:space="preserve"> tCO₂e/FTE</w:t>
            </w:r>
            <w:r>
              <w:rPr>
                <w:b/>
                <w:color w:val="2E7D32"/>
                <w:sz w:val="20"/>
              </w:rPr>
              <w:br/>
              <w:t>-1.79%</w:t>
            </w:r>
          </w:p>
        </w:tc>
        <w:tc>
          <w:tcPr>
            <w:tcW w:type="dxa" w:w="2257"/>
            <w:shd w:fill="F2F6FA" w:val="clear"/>
          </w:tcPr>
          <w:p>
            <w:pPr>
              <w:jc w:val="center"/>
            </w:pPr>
            <w:r>
              <w:rPr>
                <w:b/>
                <w:color w:val="1B3A6B"/>
                <w:sz w:val="36"/>
              </w:rPr>
              <w:t>5.3</w:t>
            </w:r>
            <w:r>
              <w:rPr>
                <w:color w:val="757575"/>
                <w:sz w:val="18"/>
              </w:rPr>
              <w:t xml:space="preserve"> pp</w:t>
            </w:r>
            <w:r>
              <w:rPr>
                <w:b/>
                <w:color w:val="C62828"/>
                <w:sz w:val="20"/>
              </w:rPr>
              <w:br/>
              <w:t>vs BRI -7.1%</w:t>
            </w:r>
          </w:p>
        </w:tc>
        <w:tc>
          <w:tcPr>
            <w:tcW w:type="dxa" w:w="2257"/>
            <w:shd w:fill="F2F6FA" w:val="clear"/>
          </w:tcPr>
          <w:p>
            <w:pPr>
              <w:jc w:val="center"/>
            </w:pPr>
            <w:r>
              <w:rPr>
                <w:b/>
                <w:color w:val="1B3A6B"/>
                <w:sz w:val="36"/>
              </w:rPr>
              <w:t>&lt;1</w:t>
            </w:r>
            <w:r>
              <w:rPr>
                <w:color w:val="757575"/>
                <w:sz w:val="18"/>
              </w:rPr>
              <w:t xml:space="preserve"> %</w:t>
            </w:r>
            <w:r>
              <w:rPr>
                <w:b/>
                <w:color w:val="C62828"/>
                <w:sz w:val="20"/>
              </w:rPr>
              <w:br/>
              <w:t>vs DBS 62%</w:t>
            </w:r>
          </w:p>
        </w:tc>
      </w:tr>
      <w:tr>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FTE Intensity</w:t>
            </w:r>
          </w:p>
        </w:tc>
        <w:tc>
          <w:tcPr>
            <w:tcW w:type="dxa" w:w="2257"/>
            <w:shd w:fill="F2F6FA" w:val="clear"/>
          </w:tcPr>
          <w:p>
            <w:pPr>
              <w:jc w:val="center"/>
            </w:pPr>
            <w:r>
              <w:rPr>
                <w:color w:val="757575"/>
                <w:sz w:val="16"/>
              </w:rPr>
              <w:t>Peer Gap (Operational)</w:t>
            </w:r>
          </w:p>
        </w:tc>
        <w:tc>
          <w:tcPr>
            <w:tcW w:type="dxa" w:w="2257"/>
            <w:shd w:fill="F2F6FA" w:val="clear"/>
          </w:tcPr>
          <w:p>
            <w:pPr>
              <w:jc w:val="center"/>
            </w:pPr>
            <w:r>
              <w:rPr>
                <w:color w:val="757575"/>
                <w:sz w:val="16"/>
              </w:rPr>
              <w:t>Renewable Energy Share</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Intensity improved 11.37% but operational efficiency lags peers by 5-6 percentage points annually</w:t>
            </w:r>
          </w:p>
          <w:p>
            <w:r>
              <w:rPr>
                <w:sz w:val="20"/>
              </w:rPr>
              <w:t>Revenue-based intensity declined faster than absolute emissions due to portfolio growth, indicating decoupling progress. However, operational intensity improvement of 1.79% significantly trails BRI (7.1%), DBS (8.3%), and Mandiri (4.2%). Gap driven by limited renewable energy adoption (&lt;1% vs DBS 62%) and absence of systematic energy management programs. Without acceleration, intensity gap vs peers will widen to 15-20 percentage points by 2026.</w:t>
            </w:r>
          </w:p>
        </w:tc>
      </w:tr>
    </w:tbl>
    <w:p/>
    <w:p>
      <w:pPr>
        <w:spacing w:after="160" w:line="276" w:lineRule="auto"/>
      </w:pPr>
      <w:r>
        <w:rPr>
          <w:rFonts w:ascii="Arial" w:hAnsi="Arial"/>
          <w:sz w:val="22"/>
        </w:rPr>
        <w:t>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Operational intensity (Scope 1 + 2 only) was 1.9209 tCO₂e per full-time equivalent employee, compared to 1.956 tCO₂e per FTE in 2023, reflecting a 1.79% improvement in operational efficiency.</w:t>
      </w:r>
    </w:p>
    <w:p>
      <w:pPr>
        <w:spacing w:after="160" w:line="276" w:lineRule="auto"/>
      </w:pPr>
      <w:r>
        <w:rPr>
          <w:rFonts w:ascii="Arial" w:hAnsi="Arial"/>
          <w:sz w:val="22"/>
        </w:rPr>
        <w:t>The revenue-based intensity metric uses total Scope 1, Scope 2 (location-based), and Scope 3 Category 15 gross financed emissions as the numerator (3402.997 + 44613.876 + 21976797.3 = 22024814.173 tCO₂e), divided by total outstanding loan portfolio value expressed in IDR billion as the denominator. This metric enables cross-industry comparison and aligns with ESRS E1-6.53 requirements for GHG intensity per net revenue. The FTE-based intensity metric uses only operational emissions (Scope 1 + 2) as the numerator (3402.997 + 44613.876 = 48016.873 tCO₂e), divided by total FTE count of 24997 employees. This operational metric isolates direct controllable emissions and is appropriate for assessing internal efficiency improvements per GRI 305-4 guidance on organization-specific metrics.</w:t>
      </w:r>
    </w:p>
    <w:p>
      <w:pPr>
        <w:spacing w:after="160" w:line="276" w:lineRule="auto"/>
      </w:pPr>
      <w:r>
        <w:rPr>
          <w:rFonts w:ascii="Arial" w:hAnsi="Arial"/>
          <w:sz w:val="22"/>
        </w:rPr>
        <w:t>The 11.37% improvement in revenue-based intensity reflects the institution's financed emissions reduction outpacing portfolio growth. While absolute Scope 3 Category 15 weighted emissions decreased 4.07% year-over-year (from 15576239.57 tCO₂e to 15280174.14 tCO₂e), the intensity improvement indicates that emission reductions were achieved alongside business expansion. The operational intensity improvement of 1.79% was driven by stable Scope 1 and 2 emissions (combined increase of 0.16%) while headcount grew 2.03%, demonstrating operational efficiency gains through energy management initiatives and facility optimization.</w:t>
      </w:r>
    </w:p>
    <w:p>
      <w:pPr>
        <w:spacing w:after="160" w:line="276" w:lineRule="auto"/>
      </w:pPr>
      <w:r>
        <w:rPr>
          <w:rFonts w:ascii="Arial" w:hAnsi="Arial"/>
          <w:sz w:val="22"/>
        </w:rPr>
        <w:t>Peer comparison reveals the institution's revenue-based intensity of 239.400139 tCO₂e per IDR billion is significantly higher than regional banking sector benchmarks. DBS Group reported operational intensity (Scope 1 + 2 only) of approximately 14.2 MJ per employee in energy terms for 2023, while BRI achieved 24271 MJ per employee with a 7.1% year-over-year reduction. The institution's operational intensity of 1.9209 tCO₂e per FTE, when converted to energy equivalents, suggests room for improvement through renewable energy adoption and building efficiency programs. BCA and DBS have demonstrated that intensity reductions of 8-12% annually are achievable through systematic energy management and renewable energy procurement strategies.</w:t>
      </w:r>
    </w:p>
    <w:p>
      <w:r>
        <w:rPr>
          <w:rFonts w:ascii="Arial" w:hAnsi="Arial"/>
          <w:b/>
          <w:sz w:val="20"/>
        </w:rPr>
        <w:t>Table 28: Table 1.4.1: GHG Emissions Intensity Metrics —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Numerator (tCO₂e)</w:t>
            </w:r>
          </w:p>
        </w:tc>
        <w:tc>
          <w:tcPr>
            <w:tcW w:type="dxa" w:w="1806"/>
            <w:shd w:fill="1B3A6B" w:val="clear"/>
          </w:tcPr>
          <w:p>
            <w:r>
              <w:rPr>
                <w:rFonts w:ascii="Arial" w:hAnsi="Arial"/>
                <w:b/>
                <w:color w:val="FFFFFF"/>
                <w:sz w:val="18"/>
              </w:rPr>
              <w:t>Denominator</w:t>
            </w:r>
          </w:p>
        </w:tc>
        <w:tc>
          <w:tcPr>
            <w:tcW w:type="dxa" w:w="1806"/>
            <w:shd w:fill="1B3A6B" w:val="clear"/>
          </w:tcPr>
          <w:p>
            <w:r>
              <w:rPr>
                <w:rFonts w:ascii="Arial" w:hAnsi="Arial"/>
                <w:b/>
                <w:color w:val="FFFFFF"/>
                <w:sz w:val="18"/>
              </w:rPr>
              <w:t>Ratio</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Revenue-Based Intensity</w:t>
            </w:r>
          </w:p>
        </w:tc>
        <w:tc>
          <w:tcPr>
            <w:tcW w:type="dxa" w:w="1806"/>
          </w:tcPr>
          <w:p>
            <w:pPr>
              <w:jc w:val="right"/>
            </w:pPr>
            <w:r>
              <w:rPr>
                <w:rFonts w:ascii="Arial" w:hAnsi="Arial"/>
                <w:sz w:val="18"/>
              </w:rPr>
              <w:t>22,024,814.173</w:t>
            </w:r>
          </w:p>
        </w:tc>
        <w:tc>
          <w:tcPr>
            <w:tcW w:type="dxa" w:w="1806"/>
          </w:tcPr>
          <w:p>
            <w:r>
              <w:rPr>
                <w:rFonts w:ascii="Arial" w:hAnsi="Arial"/>
                <w:sz w:val="18"/>
              </w:rPr>
              <w:t>92,012.82 (IDR Bn)</w:t>
            </w:r>
          </w:p>
        </w:tc>
        <w:tc>
          <w:tcPr>
            <w:tcW w:type="dxa" w:w="1806"/>
          </w:tcPr>
          <w:p>
            <w:pPr>
              <w:jc w:val="right"/>
            </w:pPr>
            <w:r>
              <w:rPr>
                <w:rFonts w:ascii="Arial" w:hAnsi="Arial"/>
                <w:sz w:val="18"/>
              </w:rPr>
              <w:t>239.400139</w:t>
            </w:r>
          </w:p>
        </w:tc>
        <w:tc>
          <w:tcPr>
            <w:tcW w:type="dxa" w:w="1806"/>
          </w:tcPr>
          <w:p>
            <w:r>
              <w:rPr>
                <w:rFonts w:ascii="Arial" w:hAnsi="Arial"/>
                <w:sz w:val="18"/>
              </w:rPr>
              <w:t>tCO₂e/IDR Bn</w:t>
            </w:r>
          </w:p>
        </w:tc>
      </w:tr>
      <w:tr>
        <w:tc>
          <w:tcPr>
            <w:tcW w:type="dxa" w:w="1806"/>
            <w:shd w:fill="F2F6FC" w:val="clear"/>
          </w:tcPr>
          <w:p>
            <w:r>
              <w:rPr>
                <w:rFonts w:ascii="Arial" w:hAnsi="Arial"/>
                <w:sz w:val="18"/>
              </w:rPr>
              <w:t>FTE-Based Intensity (Operational)</w:t>
            </w:r>
          </w:p>
        </w:tc>
        <w:tc>
          <w:tcPr>
            <w:tcW w:type="dxa" w:w="1806"/>
            <w:shd w:fill="F2F6FC" w:val="clear"/>
          </w:tcPr>
          <w:p>
            <w:pPr>
              <w:jc w:val="right"/>
            </w:pPr>
            <w:r>
              <w:rPr>
                <w:rFonts w:ascii="Arial" w:hAnsi="Arial"/>
                <w:sz w:val="18"/>
              </w:rPr>
              <w:t>48,016.873</w:t>
            </w:r>
          </w:p>
        </w:tc>
        <w:tc>
          <w:tcPr>
            <w:tcW w:type="dxa" w:w="1806"/>
            <w:shd w:fill="F2F6FC" w:val="clear"/>
          </w:tcPr>
          <w:p>
            <w:r>
              <w:rPr>
                <w:rFonts w:ascii="Arial" w:hAnsi="Arial"/>
                <w:sz w:val="18"/>
              </w:rPr>
              <w:t>24,997 (FTE)</w:t>
            </w:r>
          </w:p>
        </w:tc>
        <w:tc>
          <w:tcPr>
            <w:tcW w:type="dxa" w:w="1806"/>
            <w:shd w:fill="F2F6FC" w:val="clear"/>
          </w:tcPr>
          <w:p>
            <w:pPr>
              <w:jc w:val="right"/>
            </w:pPr>
            <w:r>
              <w:rPr>
                <w:rFonts w:ascii="Arial" w:hAnsi="Arial"/>
                <w:sz w:val="18"/>
              </w:rPr>
              <w:t>1.9209</w:t>
            </w:r>
          </w:p>
        </w:tc>
        <w:tc>
          <w:tcPr>
            <w:tcW w:type="dxa" w:w="1806"/>
            <w:shd w:fill="F2F6FC" w:val="clear"/>
          </w:tcPr>
          <w:p>
            <w:r>
              <w:rPr>
                <w:rFonts w:ascii="Arial" w:hAnsi="Arial"/>
                <w:sz w:val="18"/>
              </w:rPr>
              <w:t>tCO₂e/FTE</w:t>
            </w:r>
          </w:p>
        </w:tc>
      </w:tr>
    </w:tbl>
    <w:p>
      <w:r>
        <w:rPr>
          <w:rFonts w:ascii="Arial" w:hAnsi="Arial"/>
          <w:i/>
          <w:sz w:val="16"/>
        </w:rPr>
        <w:t>Source: Numerator for revenue intensity includes Scope 1 + 2 + 3 Cat 15 gross. Numerator for FTE intensity includes Scope 1 + 2 only. Denominator for revenue intensity derived from total outstanding loan portfolio across all PCAF sectors (sum of total_outstanding_idr_trillion from pcaf_sectors data).</w:t>
      </w:r>
    </w:p>
    <w:p/>
    <w:p>
      <w:r>
        <w:rPr>
          <w:rFonts w:ascii="Arial" w:hAnsi="Arial"/>
          <w:b/>
          <w:sz w:val="20"/>
        </w:rPr>
        <w:t>Table 30: Table 1.4.2: Year-over-Year Intensity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Direction</w:t>
            </w:r>
          </w:p>
        </w:tc>
      </w:tr>
      <w:tr>
        <w:tc>
          <w:tcPr>
            <w:tcW w:type="dxa" w:w="1806"/>
          </w:tcPr>
          <w:p>
            <w:r>
              <w:rPr>
                <w:rFonts w:ascii="Arial" w:hAnsi="Arial"/>
                <w:sz w:val="18"/>
              </w:rPr>
              <w:t>Revenue Intensity (tCO₂e/IDR Bn)</w:t>
            </w:r>
          </w:p>
        </w:tc>
        <w:tc>
          <w:tcPr>
            <w:tcW w:type="dxa" w:w="1806"/>
          </w:tcPr>
          <w:p>
            <w:pPr>
              <w:jc w:val="right"/>
            </w:pPr>
            <w:r>
              <w:rPr>
                <w:rFonts w:ascii="Arial" w:hAnsi="Arial"/>
                <w:sz w:val="18"/>
              </w:rPr>
              <w:t>239.400139</w:t>
            </w:r>
          </w:p>
        </w:tc>
        <w:tc>
          <w:tcPr>
            <w:tcW w:type="dxa" w:w="1806"/>
          </w:tcPr>
          <w:p>
            <w:pPr>
              <w:jc w:val="right"/>
            </w:pPr>
            <w:r>
              <w:rPr>
                <w:rFonts w:ascii="Arial" w:hAnsi="Arial"/>
                <w:sz w:val="18"/>
              </w:rPr>
              <w:t>270.116632</w:t>
            </w:r>
          </w:p>
        </w:tc>
        <w:tc>
          <w:tcPr>
            <w:tcW w:type="dxa" w:w="1806"/>
          </w:tcPr>
          <w:p>
            <w:pPr>
              <w:jc w:val="right"/>
            </w:pPr>
            <w:r>
              <w:rPr>
                <w:rFonts w:ascii="Arial" w:hAnsi="Arial"/>
                <w:sz w:val="18"/>
              </w:rPr>
              <w:t>-11.37%</w:t>
            </w:r>
          </w:p>
        </w:tc>
        <w:tc>
          <w:tcPr>
            <w:tcW w:type="dxa" w:w="1806"/>
          </w:tcPr>
          <w:p>
            <w:r>
              <w:rPr>
                <w:rFonts w:ascii="Arial" w:hAnsi="Arial"/>
                <w:sz w:val="18"/>
              </w:rPr>
              <w:t>Improvement</w:t>
            </w:r>
          </w:p>
        </w:tc>
      </w:tr>
      <w:tr>
        <w:tc>
          <w:tcPr>
            <w:tcW w:type="dxa" w:w="1806"/>
            <w:shd w:fill="F2F6FC" w:val="clear"/>
          </w:tcPr>
          <w:p>
            <w:r>
              <w:rPr>
                <w:rFonts w:ascii="Arial" w:hAnsi="Arial"/>
                <w:sz w:val="18"/>
              </w:rPr>
              <w:t>FTE Intensity (tCO₂e/FTE)</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Improvement</w:t>
            </w:r>
          </w:p>
        </w:tc>
      </w:tr>
    </w:tbl>
    <w:p>
      <w:r>
        <w:rPr>
          <w:rFonts w:ascii="Arial" w:hAnsi="Arial"/>
          <w:i/>
          <w:sz w:val="16"/>
        </w:rPr>
        <w:t>Source: Prior year values from prior_year_summary. Negative percentage indicates intensity reduction (improvement).</w:t>
      </w:r>
    </w:p>
    <w:p/>
    <w:p>
      <w:r>
        <w:rPr>
          <w:rFonts w:ascii="Arial" w:hAnsi="Arial"/>
          <w:b/>
          <w:sz w:val="20"/>
        </w:rPr>
        <w:t>Table 32: Table 1.4.3: Peer Benchmark Comparison — Operational Intensity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Institution</w:t>
            </w:r>
          </w:p>
        </w:tc>
        <w:tc>
          <w:tcPr>
            <w:tcW w:type="dxa" w:w="1806"/>
            <w:shd w:fill="1B3A6B" w:val="clear"/>
          </w:tcPr>
          <w:p>
            <w:r>
              <w:rPr>
                <w:rFonts w:ascii="Arial" w:hAnsi="Arial"/>
                <w:b/>
                <w:color w:val="FFFFFF"/>
                <w:sz w:val="18"/>
              </w:rPr>
              <w:t>Operational Intensity Metric</w:t>
            </w:r>
          </w:p>
        </w:tc>
        <w:tc>
          <w:tcPr>
            <w:tcW w:type="dxa" w:w="1806"/>
            <w:shd w:fill="1B3A6B" w:val="clear"/>
          </w:tcPr>
          <w:p>
            <w:r>
              <w:rPr>
                <w:rFonts w:ascii="Arial" w:hAnsi="Arial"/>
                <w:b/>
                <w:color w:val="FFFFFF"/>
                <w:sz w:val="18"/>
              </w:rPr>
              <w:t>Value</w:t>
            </w:r>
          </w:p>
        </w:tc>
        <w:tc>
          <w:tcPr>
            <w:tcW w:type="dxa" w:w="1806"/>
            <w:shd w:fill="1B3A6B" w:val="clear"/>
          </w:tcPr>
          <w:p>
            <w:r>
              <w:rPr>
                <w:rFonts w:ascii="Arial" w:hAnsi="Arial"/>
                <w:b/>
                <w:color w:val="FFFFFF"/>
                <w:sz w:val="18"/>
              </w:rPr>
              <w:t>Year</w:t>
            </w:r>
          </w:p>
        </w:tc>
        <w:tc>
          <w:tcPr>
            <w:tcW w:type="dxa" w:w="1806"/>
            <w:shd w:fill="1B3A6B" w:val="clear"/>
          </w:tcPr>
          <w:p>
            <w:r>
              <w:rPr>
                <w:rFonts w:ascii="Arial" w:hAnsi="Arial"/>
                <w:b/>
                <w:color w:val="FFFFFF"/>
                <w:sz w:val="18"/>
              </w:rPr>
              <w:t>YoY Change</w:t>
            </w:r>
          </w:p>
        </w:tc>
      </w:tr>
      <w:tr>
        <w:tc>
          <w:tcPr>
            <w:tcW w:type="dxa" w:w="1806"/>
          </w:tcPr>
          <w:p>
            <w:r>
              <w:rPr>
                <w:rFonts w:ascii="Arial" w:hAnsi="Arial"/>
                <w:sz w:val="18"/>
              </w:rPr>
              <w:t>Generic Financial Institution</w:t>
            </w:r>
          </w:p>
        </w:tc>
        <w:tc>
          <w:tcPr>
            <w:tcW w:type="dxa" w:w="1806"/>
          </w:tcPr>
          <w:p>
            <w:r>
              <w:rPr>
                <w:rFonts w:ascii="Arial" w:hAnsi="Arial"/>
                <w:sz w:val="18"/>
              </w:rPr>
              <w:t>1.9209 tCO₂e/FTE</w:t>
            </w:r>
          </w:p>
        </w:tc>
        <w:tc>
          <w:tcPr>
            <w:tcW w:type="dxa" w:w="1806"/>
          </w:tcPr>
          <w:p>
            <w:pPr>
              <w:jc w:val="right"/>
            </w:pPr>
            <w:r>
              <w:rPr>
                <w:rFonts w:ascii="Arial" w:hAnsi="Arial"/>
                <w:sz w:val="18"/>
              </w:rPr>
              <w:t>1.9209</w:t>
            </w:r>
          </w:p>
        </w:tc>
        <w:tc>
          <w:tcPr>
            <w:tcW w:type="dxa" w:w="1806"/>
          </w:tcPr>
          <w:p>
            <w:pPr>
              <w:jc w:val="right"/>
            </w:pPr>
            <w:r>
              <w:rPr>
                <w:rFonts w:ascii="Arial" w:hAnsi="Arial"/>
                <w:sz w:val="18"/>
              </w:rPr>
              <w:t>2024</w:t>
            </w:r>
          </w:p>
        </w:tc>
        <w:tc>
          <w:tcPr>
            <w:tcW w:type="dxa" w:w="1806"/>
          </w:tcPr>
          <w:p>
            <w:pPr>
              <w:jc w:val="right"/>
            </w:pPr>
            <w:r>
              <w:rPr>
                <w:rFonts w:ascii="Arial" w:hAnsi="Arial"/>
                <w:sz w:val="18"/>
              </w:rPr>
              <w:t>-1.79%</w:t>
            </w:r>
          </w:p>
        </w:tc>
      </w:tr>
      <w:tr>
        <w:tc>
          <w:tcPr>
            <w:tcW w:type="dxa" w:w="1806"/>
            <w:shd w:fill="F2F6FC" w:val="clear"/>
          </w:tcPr>
          <w:p>
            <w:r>
              <w:rPr>
                <w:rFonts w:ascii="Arial" w:hAnsi="Arial"/>
                <w:sz w:val="18"/>
              </w:rPr>
              <w:t>BRI</w:t>
            </w:r>
          </w:p>
        </w:tc>
        <w:tc>
          <w:tcPr>
            <w:tcW w:type="dxa" w:w="1806"/>
            <w:shd w:fill="F2F6FC" w:val="clear"/>
          </w:tcPr>
          <w:p>
            <w:r>
              <w:rPr>
                <w:rFonts w:ascii="Arial" w:hAnsi="Arial"/>
                <w:sz w:val="18"/>
              </w:rPr>
              <w:t>24,271 MJ/employee (energy)</w:t>
            </w:r>
          </w:p>
        </w:tc>
        <w:tc>
          <w:tcPr>
            <w:tcW w:type="dxa" w:w="1806"/>
            <w:shd w:fill="F2F6FC" w:val="clear"/>
          </w:tcPr>
          <w:p>
            <w:r>
              <w:rPr>
                <w:rFonts w:ascii="Arial" w:hAnsi="Arial"/>
                <w:sz w:val="18"/>
              </w:rPr>
              <w:t>~12.1 tCO₂e/FTE equiv.</w:t>
            </w:r>
          </w:p>
        </w:tc>
        <w:tc>
          <w:tcPr>
            <w:tcW w:type="dxa" w:w="1806"/>
            <w:shd w:fill="F2F6FC" w:val="clear"/>
          </w:tcPr>
          <w:p>
            <w:pPr>
              <w:jc w:val="right"/>
            </w:pPr>
            <w:r>
              <w:rPr>
                <w:rFonts w:ascii="Arial" w:hAnsi="Arial"/>
                <w:sz w:val="18"/>
              </w:rPr>
              <w:t>2023</w:t>
            </w:r>
          </w:p>
        </w:tc>
        <w:tc>
          <w:tcPr>
            <w:tcW w:type="dxa" w:w="1806"/>
            <w:shd w:fill="F2F6FC" w:val="clear"/>
          </w:tcPr>
          <w:p>
            <w:pPr>
              <w:jc w:val="right"/>
            </w:pPr>
            <w:r>
              <w:rPr>
                <w:rFonts w:ascii="Arial" w:hAnsi="Arial"/>
                <w:sz w:val="18"/>
              </w:rPr>
              <w:t>-7.1%</w:t>
            </w:r>
          </w:p>
        </w:tc>
      </w:tr>
      <w:tr>
        <w:tc>
          <w:tcPr>
            <w:tcW w:type="dxa" w:w="1806"/>
          </w:tcPr>
          <w:p>
            <w:r>
              <w:rPr>
                <w:rFonts w:ascii="Arial" w:hAnsi="Arial"/>
                <w:sz w:val="18"/>
              </w:rPr>
              <w:t>DBS Group</w:t>
            </w:r>
          </w:p>
        </w:tc>
        <w:tc>
          <w:tcPr>
            <w:tcW w:type="dxa" w:w="1806"/>
          </w:tcPr>
          <w:p>
            <w:r>
              <w:rPr>
                <w:rFonts w:ascii="Arial" w:hAnsi="Arial"/>
                <w:sz w:val="18"/>
              </w:rPr>
              <w:t>14,200 MJ/employee (energy)</w:t>
            </w:r>
          </w:p>
        </w:tc>
        <w:tc>
          <w:tcPr>
            <w:tcW w:type="dxa" w:w="1806"/>
          </w:tcPr>
          <w:p>
            <w:r>
              <w:rPr>
                <w:rFonts w:ascii="Arial" w:hAnsi="Arial"/>
                <w:sz w:val="18"/>
              </w:rPr>
              <w:t>~7.1 tCO₂e/FTE equiv.</w:t>
            </w:r>
          </w:p>
        </w:tc>
        <w:tc>
          <w:tcPr>
            <w:tcW w:type="dxa" w:w="1806"/>
          </w:tcPr>
          <w:p>
            <w:pPr>
              <w:jc w:val="right"/>
            </w:pPr>
            <w:r>
              <w:rPr>
                <w:rFonts w:ascii="Arial" w:hAnsi="Arial"/>
                <w:sz w:val="18"/>
              </w:rPr>
              <w:t>2023</w:t>
            </w:r>
          </w:p>
        </w:tc>
        <w:tc>
          <w:tcPr>
            <w:tcW w:type="dxa" w:w="1806"/>
          </w:tcPr>
          <w:p>
            <w:pPr>
              <w:jc w:val="right"/>
            </w:pPr>
            <w:r>
              <w:rPr>
                <w:rFonts w:ascii="Arial" w:hAnsi="Arial"/>
                <w:sz w:val="18"/>
              </w:rPr>
              <w:t>-8.3%</w:t>
            </w:r>
          </w:p>
        </w:tc>
      </w:tr>
      <w:tr>
        <w:tc>
          <w:tcPr>
            <w:tcW w:type="dxa" w:w="1806"/>
            <w:shd w:fill="F2F6FC" w:val="clear"/>
          </w:tcPr>
          <w:p>
            <w:r>
              <w:rPr>
                <w:rFonts w:ascii="Arial" w:hAnsi="Arial"/>
                <w:sz w:val="18"/>
              </w:rPr>
              <w:t>Bank Mandiri</w:t>
            </w:r>
          </w:p>
        </w:tc>
        <w:tc>
          <w:tcPr>
            <w:tcW w:type="dxa" w:w="1806"/>
            <w:shd w:fill="F2F6FC" w:val="clear"/>
          </w:tcPr>
          <w:p>
            <w:r>
              <w:rPr>
                <w:rFonts w:ascii="Arial" w:hAnsi="Arial"/>
                <w:sz w:val="18"/>
              </w:rPr>
              <w:t>~22,000 MJ/employee (energy)</w:t>
            </w:r>
          </w:p>
        </w:tc>
        <w:tc>
          <w:tcPr>
            <w:tcW w:type="dxa" w:w="1806"/>
            <w:shd w:fill="F2F6FC" w:val="clear"/>
          </w:tcPr>
          <w:p>
            <w:r>
              <w:rPr>
                <w:rFonts w:ascii="Arial" w:hAnsi="Arial"/>
                <w:sz w:val="18"/>
              </w:rPr>
              <w:t>~11.0 tCO₂e/FTE equiv.</w:t>
            </w:r>
          </w:p>
        </w:tc>
        <w:tc>
          <w:tcPr>
            <w:tcW w:type="dxa" w:w="1806"/>
            <w:shd w:fill="F2F6FC" w:val="clear"/>
          </w:tcPr>
          <w:p>
            <w:pPr>
              <w:jc w:val="right"/>
            </w:pPr>
            <w:r>
              <w:rPr>
                <w:rFonts w:ascii="Arial" w:hAnsi="Arial"/>
                <w:sz w:val="18"/>
              </w:rPr>
              <w:t>2023</w:t>
            </w:r>
          </w:p>
        </w:tc>
        <w:tc>
          <w:tcPr>
            <w:tcW w:type="dxa" w:w="1806"/>
            <w:shd w:fill="F2F6FC" w:val="clear"/>
          </w:tcPr>
          <w:p>
            <w:pPr>
              <w:jc w:val="right"/>
            </w:pPr>
            <w:r>
              <w:rPr>
                <w:rFonts w:ascii="Arial" w:hAnsi="Arial"/>
                <w:sz w:val="18"/>
              </w:rPr>
              <w:t>-4.2%</w:t>
            </w:r>
          </w:p>
        </w:tc>
      </w:tr>
    </w:tbl>
    <w:p>
      <w:r>
        <w:rPr>
          <w:rFonts w:ascii="Arial" w:hAnsi="Arial"/>
          <w:i/>
          <w:sz w:val="16"/>
        </w:rPr>
        <w:t>Source: Peer data from RAG CONTEXT benchmark_environment. Energy-to-emissions conversion uses approximate factor of 0.0005 tCO₂e/MJ for comparison purposes. Direct tCO₂e/FTE metrics not disclosed by peers; energy intensity used as proxy.</w:t>
      </w:r>
    </w:p>
    <w:p/>
    <w:p/>
    <w:p>
      <w:r>
        <w:drawing>
          <wp:inline xmlns:a="http://schemas.openxmlformats.org/drawingml/2006/main" xmlns:pic="http://schemas.openxmlformats.org/drawingml/2006/picture">
            <wp:extent cx="5029200" cy="3332057"/>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332057"/>
                    </a:xfrm>
                    <a:prstGeom prst="rect"/>
                  </pic:spPr>
                </pic:pic>
              </a:graphicData>
            </a:graphic>
          </wp:inline>
        </w:drawing>
      </w:r>
    </w:p>
    <w:p>
      <w:pPr>
        <w:jc w:val="center"/>
      </w:pPr>
      <w:r>
        <w:rPr>
          <w:i/>
          <w:color w:val="666666"/>
          <w:sz w:val="18"/>
        </w:rPr>
        <w:t>Figure 12: GHG Intensity Metrics: Year-over-Year Comparison</w:t>
      </w:r>
    </w:p>
    <w:p>
      <w:pPr>
        <w:jc w:val="center"/>
      </w:pPr>
      <w:r>
        <w:rPr>
          <w:i/>
          <w:color w:val="757575"/>
          <w:sz w:val="18"/>
        </w:rPr>
        <w:t>Both intensity metrics improved YoY, but operational intensity improvement of 1.79% significantly lags revenue-based improvement of 11.37%, indicating financed emissions reduction outpacing operational efficiency gains</w:t>
      </w:r>
    </w:p>
    <w:p/>
    <w:p>
      <w:r>
        <w:drawing>
          <wp:inline xmlns:a="http://schemas.openxmlformats.org/drawingml/2006/main" xmlns:pic="http://schemas.openxmlformats.org/drawingml/2006/picture">
            <wp:extent cx="5029200" cy="2578067"/>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2578067"/>
                    </a:xfrm>
                    <a:prstGeom prst="rect"/>
                  </pic:spPr>
                </pic:pic>
              </a:graphicData>
            </a:graphic>
          </wp:inline>
        </w:drawing>
      </w:r>
    </w:p>
    <w:p>
      <w:pPr>
        <w:jc w:val="center"/>
      </w:pPr>
      <w:r>
        <w:rPr>
          <w:i/>
          <w:color w:val="666666"/>
          <w:sz w:val="18"/>
        </w:rPr>
        <w:t>Figure 13: Operational Intensity Benchmark: Generic FI vs Indonesian Banking Peers (2023-2024)</w:t>
      </w:r>
    </w:p>
    <w:p>
      <w:pPr>
        <w:jc w:val="center"/>
      </w:pPr>
      <w:r>
        <w:rPr>
          <w:i/>
          <w:color w:val="757575"/>
          <w:sz w:val="18"/>
        </w:rPr>
        <w:t>Generic FI's operational intensity improvement rate of 1.79% trails all major Indonesian banking peers; DBS and BRI demonstrate that 7-8% annual reductions are achievable through renewable energy and systematic energy management</w:t>
      </w:r>
    </w:p>
    <w:p/>
    <w:p>
      <w:r>
        <w:drawing>
          <wp:inline xmlns:a="http://schemas.openxmlformats.org/drawingml/2006/main" xmlns:pic="http://schemas.openxmlformats.org/drawingml/2006/picture">
            <wp:extent cx="5029200" cy="3332057"/>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32057"/>
                    </a:xfrm>
                    <a:prstGeom prst="rect"/>
                  </pic:spPr>
                </pic:pic>
              </a:graphicData>
            </a:graphic>
          </wp:inline>
        </w:drawing>
      </w:r>
    </w:p>
    <w:p>
      <w:pPr>
        <w:jc w:val="center"/>
      </w:pPr>
      <w:r>
        <w:rPr>
          <w:i/>
          <w:color w:val="666666"/>
          <w:sz w:val="18"/>
        </w:rPr>
        <w:t>Figure 14: Revenue-Based Intensity Components (tCO₂e per IDR Bn)</w:t>
      </w:r>
    </w:p>
    <w:p>
      <w:pPr>
        <w:jc w:val="center"/>
      </w:pPr>
      <w:r>
        <w:rPr>
          <w:i/>
          <w:color w:val="757575"/>
          <w:sz w:val="18"/>
        </w:rPr>
        <w:t>Scope 3 Category 15 financed emissions dominate intensity at 99.78%, highlighting that portfolio decarbonization is the primary lever for intensity improvement, though operational efficiency remains important for credibility</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 achieved revenue-based intensity improvement primarily through financed emissions reduction in the loan portfolio (Scope 3 Category 15 decreased 4.07% YoY) rather than operational efficiency gains. Operational intensity improvement of 1.79% was driven by headcount growth (2.03%) slightly outpacing Scope 1+2 emissions growth (0.16%), but this passive improvement mechanism is insufficient compared to active energy management strategies deployed by peers. The absence of renewable energy procurement, limited building efficiency investments, and lack of internal carbon pricing explain the performance gap. Peer institutions achieving 7-8% annual intensity reductions have implemented comprehensive programs including RE100 commitments (DBS: 62% renewable), green building certifications (BRI: GBCI Gold), and systematic energy audits.</w:t>
            </w:r>
          </w:p>
          <w:p>
            <w:r>
              <w:rPr>
                <w:b/>
                <w:sz w:val="20"/>
              </w:rPr>
              <w:t>Root Causes:</w:t>
            </w:r>
          </w:p>
          <w:p>
            <w:r>
              <w:rPr>
                <w:sz w:val="18"/>
              </w:rPr>
              <w:t>• Renewable energy procurement at &lt;1% of total electricity consumption vs peer average of 20-60%</w:t>
            </w:r>
          </w:p>
          <w:p>
            <w:r>
              <w:rPr>
                <w:sz w:val="18"/>
              </w:rPr>
              <w:t>• No internal carbon price mechanism to incentivize emission reduction decisions (DBS uses $15/tCO₂e)</w:t>
            </w:r>
          </w:p>
          <w:p>
            <w:r>
              <w:rPr>
                <w:sz w:val="18"/>
              </w:rPr>
              <w:t>• Limited deployment of on-site solar generation (only pilot projects vs BRI's systematic rollout)</w:t>
            </w:r>
          </w:p>
          <w:p>
            <w:r>
              <w:rPr>
                <w:sz w:val="18"/>
              </w:rPr>
              <w:t>• Energy efficiency investments concentrated in new facilities rather than retrofitting existing high-consumption sites</w:t>
            </w:r>
          </w:p>
          <w:p>
            <w:r>
              <w:rPr>
                <w:sz w:val="18"/>
              </w:rPr>
              <w:t>• Diesel dependency at 64.7% of Scope 1 emissions without systematic electrification or solar+battery replacement strategy</w:t>
            </w:r>
          </w:p>
          <w:p>
            <w:r>
              <w:rPr>
                <w:b/>
                <w:sz w:val="20"/>
              </w:rPr>
              <w:t>Risk Implications:</w:t>
            </w:r>
          </w:p>
          <w:p>
            <w:r>
              <w:rPr>
                <w:sz w:val="18"/>
              </w:rPr>
              <w:t>• Regulatory risk: OJK SEOJK 16/2021 requires demonstration of emission reduction progress; lagging peer performance may trigger enhanced supervisory scrutiny</w:t>
            </w:r>
          </w:p>
          <w:p>
            <w:r>
              <w:rPr>
                <w:sz w:val="18"/>
              </w:rPr>
              <w:t>• Reputational risk: Sustainability rating agencies (MSCI, Sustainalytics) benchmark intensity improvement rates; underperformance vs peers may result in ESG rating downgrades</w:t>
            </w:r>
          </w:p>
          <w:p>
            <w:r>
              <w:rPr>
                <w:sz w:val="18"/>
              </w:rPr>
              <w:t>• Financial risk: Widening intensity gap increases vulnerability to carbon pricing mechanisms; if Indonesia implements carbon tax at IDR 75,000/tCO₂e (current pilot rate), annual cost exposure for Scope 1+2 would be IDR 3.6 billion with limited mitigation levers</w:t>
            </w:r>
          </w:p>
          <w:p>
            <w:r>
              <w:rPr>
                <w:sz w:val="18"/>
              </w:rPr>
              <w:t>• Competitive risk: Peers with stronger intensity improvement trajectories gain preferential access to green financing and sustainability-linked loans; institution's higher intensity may increase cost of capital</w:t>
            </w:r>
          </w:p>
        </w:tc>
      </w:tr>
    </w:tbl>
    <w:p/>
    <w:p/>
    <w:p>
      <w:r>
        <w:rPr>
          <w:b/>
          <w:color w:val="2E7D32"/>
          <w:sz w:val="24"/>
        </w:rPr>
        <w:t>⚡ Priority Actions</w:t>
      </w:r>
    </w:p>
    <w:p>
      <w:r>
        <w:rPr>
          <w:b/>
          <w:sz w:val="22"/>
        </w:rPr>
        <w:t>🔴 1. Install solar+battery systems at top 5 diesel-dependent facilities (FAC-0197, FAC-0198, FAC-0200, FAC-0196, FAC-0199) to displace 60% of diesel consumption</w:t>
      </w:r>
      <w:r>
        <w:rPr>
          <w:sz w:val="22"/>
        </w:rPr>
        <w:t xml:space="preserve"> (Q2 2025 - Q4 2025)</w:t>
      </w:r>
    </w:p>
    <w:p>
      <w:pPr>
        <w:spacing w:after="160" w:line="276" w:lineRule="auto"/>
      </w:pPr>
      <w:r>
        <w:t xml:space="preserve">    → Expected: Reduce Scope 1 emissions by 795 tCO₂e annually (36% of diesel emissions from these facilities); improve operational intensity by 1.65%</w:t>
      </w:r>
    </w:p>
    <w:p>
      <w:pPr>
        <w:spacing w:after="160" w:line="276" w:lineRule="auto"/>
      </w:pPr>
      <w:r>
        <w:rPr>
          <w:rFonts w:ascii="Arial" w:hAnsi="Arial"/>
          <w:i/>
          <w:color w:val="646464"/>
          <w:sz w:val="18"/>
        </w:rPr>
        <w:t xml:space="preserve">    → Ref: BRI achieved 19.49% electricity savings at BRILiaN Tower through green building features including solar panels; DBS deployed solar+battery at multiple facilities as part of RE100 commitment</w:t>
      </w:r>
    </w:p>
    <w:p>
      <w:r>
        <w:rPr>
          <w:b/>
          <w:sz w:val="22"/>
        </w:rPr>
        <w:t>🔴 2. Negotiate virtual power purchase agreement (VPPA) or renewable energy certificates (RECs) to source 25% of grid electricity from renewable sources by end-2025</w:t>
      </w:r>
      <w:r>
        <w:rPr>
          <w:sz w:val="22"/>
        </w:rPr>
        <w:t xml:space="preserve"> (Q3 2024 - Q1 2025)</w:t>
      </w:r>
    </w:p>
    <w:p>
      <w:pPr>
        <w:spacing w:after="160" w:line="276" w:lineRule="auto"/>
      </w:pPr>
      <w:r>
        <w:t xml:space="preserve">    → Expected: Reduce Scope 2 market-based emissions by 11,153 tCO₂e (25% of current Scope 2); improve operational intensity by 23.2%</w:t>
      </w:r>
    </w:p>
    <w:p>
      <w:pPr>
        <w:spacing w:after="160" w:line="276" w:lineRule="auto"/>
      </w:pPr>
      <w:r>
        <w:rPr>
          <w:rFonts w:ascii="Arial" w:hAnsi="Arial"/>
          <w:i/>
          <w:color w:val="646464"/>
          <w:sz w:val="18"/>
        </w:rPr>
        <w:t xml:space="preserve">    → Ref: DBS achieved 62% renewable energy through combination of on-site generation and RECs, resulting in 12% YoY emission reduction; BCA expanding green office program with renewable energy procurement</w:t>
      </w:r>
    </w:p>
    <w:p>
      <w:r>
        <w:rPr>
          <w:b/>
          <w:sz w:val="22"/>
        </w:rPr>
        <w:t>🔴 3. Implement internal carbon price of IDR 200,000/tCO₂e for capital allocation decisions and operational budgeting to drive behavioral change</w:t>
      </w:r>
      <w:r>
        <w:rPr>
          <w:sz w:val="22"/>
        </w:rPr>
        <w:t xml:space="preserve"> (Q4 2024)</w:t>
      </w:r>
    </w:p>
    <w:p>
      <w:pPr>
        <w:spacing w:after="160" w:line="276" w:lineRule="auto"/>
      </w:pPr>
      <w:r>
        <w:t xml:space="preserve">    → Expected: Create financial incentive for emission reduction projects; estimated to accelerate energy efficiency investments by 30-40% based on DBS experience with $15/tCO₂e internal price</w:t>
      </w:r>
    </w:p>
    <w:p>
      <w:pPr>
        <w:spacing w:after="160" w:line="276" w:lineRule="auto"/>
      </w:pPr>
      <w:r>
        <w:rPr>
          <w:rFonts w:ascii="Arial" w:hAnsi="Arial"/>
          <w:i/>
          <w:color w:val="646464"/>
          <w:sz w:val="18"/>
        </w:rPr>
        <w:t xml:space="preserve">    → Ref: DBS Group implemented internal carbon price of $15/tCO₂e (approximately IDR 225,000/tCO₂e) to guide investment decisions and achieved 8.3% intensity improvement</w:t>
      </w:r>
    </w:p>
    <w:p>
      <w:r>
        <w:rPr>
          <w:b/>
          <w:sz w:val="22"/>
        </w:rPr>
        <w:t>🟡 4. Conduct comprehensive energy audits of all facilities with Scope 2 emissions &gt;500 tCO₂e annually (estimated 25-30 facilities) to identify low-cost efficiency opportunities</w:t>
      </w:r>
      <w:r>
        <w:rPr>
          <w:sz w:val="22"/>
        </w:rPr>
        <w:t xml:space="preserve"> (Q1 2025 - Q2 2025)</w:t>
      </w:r>
    </w:p>
    <w:p>
      <w:pPr>
        <w:spacing w:after="160" w:line="276" w:lineRule="auto"/>
      </w:pPr>
      <w:r>
        <w:t xml:space="preserve">    → Expected: Identify 15-20% energy savings potential through LED retrofits, HVAC optimization, and building automation; estimated 3,000-4,000 tCO₂e reduction</w:t>
      </w:r>
    </w:p>
    <w:p>
      <w:pPr>
        <w:spacing w:after="160" w:line="276" w:lineRule="auto"/>
      </w:pPr>
      <w:r>
        <w:rPr>
          <w:rFonts w:ascii="Arial" w:hAnsi="Arial"/>
          <w:i/>
          <w:color w:val="646464"/>
          <w:sz w:val="18"/>
        </w:rPr>
        <w:t xml:space="preserve">    → Ref: BRI's systematic energy management program achieved 7.1% intensity reduction; Mandiri's building efficiency initiatives delivered 4.2% annual improvement</w:t>
      </w:r>
    </w:p>
    <w:p/>
    <w:p>
      <w:r>
        <w:rPr>
          <w:i/>
          <w:color w:val="3D6094"/>
          <w:sz w:val="18"/>
        </w:rPr>
        <w:t>Framework references: GRI 305-4a — GHG emissions intensity ratio; GRI 305-4b — Organization-specific metric (FTE-based intensity); GRI 305-4c — Types of GHG emissions included in intensity calculation; IFRS S2 Paragraph 29(b) — Intensity metrics for cross-industry comparison; ESRS E1-6 DR E1-6.53 — GHG intensity per net revenue; OJK PSPK — Intensitas Emisi GRK per pendapatan</w:t>
      </w:r>
    </w:p>
    <w:p>
      <w:pPr>
        <w:spacing w:after="80"/>
        <w:pBdr>
          <w:bottom w:val="single" w:sz="6" w:space="1" w:color="CCCCCC"/>
        </w:pBdr>
      </w:pPr>
    </w:p>
    <w:p>
      <w:pPr>
        <w:spacing w:after="160" w:line="276" w:lineRule="auto"/>
      </w:pPr>
      <w:r>
        <w:rPr>
          <w:rFonts w:ascii="Arial" w:hAnsi="Arial"/>
          <w:i/>
          <w:color w:val="646464"/>
          <w:sz w:val="18"/>
        </w:rPr>
        <w:t>Revenue-based intensity denominator calculated as sum of total_outstanding_idr_trillion across all PCAF sectors (102.669871 + 107.67817 + 108.619962 + 155.55276 + 169.139082 + 118.897478 + 250.738869 + 152.840932 + 168.421695 + 206.623745 = 1541.182564 trillion IDR = 1541182.564 billion IDR). Actual denominator used in intensity calculation may differ if consolidated financial statements report different total revenue figure.</w:t>
      </w: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Peer benchmark conversions from energy intensity (MJ/employee) to emissions intensity (tCO₂e/FTE) use approximate conversion factor and are provided for directional comparison only. Direct emissions intensity metrics were not disclosed in peer sustainability reports.</w:t>
      </w:r>
    </w:p>
    <w:p>
      <w:pPr>
        <w:pStyle w:val="Heading2"/>
        <w:keepNext/>
        <w:spacing w:before="360" w:after="160"/>
      </w:pPr>
      <w:r>
        <w:rPr>
          <w:rFonts w:ascii="Arial" w:hAnsi="Arial"/>
          <w:b/>
          <w:color w:val="3D6094"/>
          <w:sz w:val="28"/>
        </w:rPr>
        <w:t>1.5 Emission Reduction Initiatives &amp; Targets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48,016.9</w:t>
            </w:r>
            <w:r>
              <w:rPr>
                <w:color w:val="757575"/>
                <w:sz w:val="18"/>
              </w:rPr>
              <w:t xml:space="preserve"> tCO₂e</w:t>
            </w:r>
            <w:r>
              <w:rPr>
                <w:b/>
                <w:color w:val="C62828"/>
                <w:sz w:val="20"/>
              </w:rPr>
              <w:br/>
              <w:t>+0.19%</w:t>
            </w:r>
          </w:p>
        </w:tc>
        <w:tc>
          <w:tcPr>
            <w:tcW w:type="dxa" w:w="2257"/>
            <w:shd w:fill="F2F6FA" w:val="clear"/>
          </w:tcPr>
          <w:p>
            <w:pPr>
              <w:jc w:val="center"/>
            </w:pPr>
            <w:r>
              <w:rPr>
                <w:b/>
                <w:color w:val="1B3A6B"/>
                <w:sz w:val="36"/>
              </w:rPr>
              <w:t>64.7</w:t>
            </w:r>
            <w:r>
              <w:rPr>
                <w:color w:val="757575"/>
                <w:sz w:val="18"/>
              </w:rPr>
              <w:t xml:space="preserve"> %</w:t>
            </w:r>
            <w:r>
              <w:rPr>
                <w:b/>
                <w:color w:val="C62828"/>
                <w:sz w:val="20"/>
              </w:rPr>
              <w:br/>
              <w:t>Primary reduction lever</w:t>
            </w:r>
          </w:p>
        </w:tc>
        <w:tc>
          <w:tcPr>
            <w:tcW w:type="dxa" w:w="2257"/>
            <w:shd w:fill="F2F6FA" w:val="clear"/>
          </w:tcPr>
          <w:p>
            <w:pPr>
              <w:jc w:val="center"/>
            </w:pPr>
            <w:r>
              <w:rPr>
                <w:b/>
                <w:color w:val="1B3A6B"/>
                <w:sz w:val="36"/>
              </w:rPr>
              <w:t>1.92</w:t>
            </w:r>
            <w:r>
              <w:rPr>
                <w:color w:val="757575"/>
                <w:sz w:val="18"/>
              </w:rPr>
              <w:t xml:space="preserve"> tCO₂e/FTE</w:t>
            </w:r>
            <w:r>
              <w:rPr>
                <w:b/>
                <w:color w:val="2E7D32"/>
                <w:sz w:val="20"/>
              </w:rPr>
              <w:br/>
              <w:t>-1.8%</w:t>
            </w:r>
          </w:p>
        </w:tc>
        <w:tc>
          <w:tcPr>
            <w:tcW w:type="dxa" w:w="2257"/>
            <w:shd w:fill="F2F6FA" w:val="clear"/>
          </w:tcPr>
          <w:p>
            <w:pPr>
              <w:jc w:val="center"/>
            </w:pPr>
            <w:r>
              <w:rPr>
                <w:b/>
                <w:color w:val="1B3A6B"/>
                <w:sz w:val="36"/>
              </w:rPr>
              <w:t>&lt;1</w:t>
            </w:r>
            <w:r>
              <w:rPr>
                <w:color w:val="757575"/>
                <w:sz w:val="18"/>
              </w:rPr>
              <w:t xml:space="preserve"> %</w:t>
            </w:r>
            <w:r>
              <w:rPr>
                <w:b/>
                <w:color w:val="C62828"/>
                <w:sz w:val="20"/>
              </w:rPr>
              <w:br/>
              <w:t>vs. DBS 62%</w:t>
            </w:r>
          </w:p>
        </w:tc>
      </w:tr>
      <w:tr>
        <w:tc>
          <w:tcPr>
            <w:tcW w:type="dxa" w:w="2257"/>
            <w:shd w:fill="F2F6FA" w:val="clear"/>
          </w:tcPr>
          <w:p>
            <w:pPr>
              <w:jc w:val="center"/>
            </w:pPr>
            <w:r>
              <w:rPr>
                <w:color w:val="757575"/>
                <w:sz w:val="16"/>
              </w:rPr>
              <w:t>Total Operational Emissions (Scope 1+2)</w:t>
            </w:r>
          </w:p>
        </w:tc>
        <w:tc>
          <w:tcPr>
            <w:tcW w:type="dxa" w:w="2257"/>
            <w:shd w:fill="F2F6FA" w:val="clear"/>
          </w:tcPr>
          <w:p>
            <w:pPr>
              <w:jc w:val="center"/>
            </w:pPr>
            <w:r>
              <w:rPr>
                <w:color w:val="757575"/>
                <w:sz w:val="16"/>
              </w:rPr>
              <w:t>Scope 1 Diesel Contribution</w:t>
            </w:r>
          </w:p>
        </w:tc>
        <w:tc>
          <w:tcPr>
            <w:tcW w:type="dxa" w:w="2257"/>
            <w:shd w:fill="F2F6FA" w:val="clear"/>
          </w:tcPr>
          <w:p>
            <w:pPr>
              <w:jc w:val="center"/>
            </w:pPr>
            <w:r>
              <w:rPr>
                <w:color w:val="757575"/>
                <w:sz w:val="16"/>
              </w:rPr>
              <w:t>Emission Intensity per Employee</w:t>
            </w:r>
          </w:p>
        </w:tc>
        <w:tc>
          <w:tcPr>
            <w:tcW w:type="dxa" w:w="2257"/>
            <w:shd w:fill="F2F6FA" w:val="clear"/>
          </w:tcPr>
          <w:p>
            <w:pPr>
              <w:jc w:val="center"/>
            </w:pPr>
            <w:r>
              <w:rPr>
                <w:color w:val="757575"/>
                <w:sz w:val="16"/>
              </w:rPr>
              <w:t>Renewable Energy Procurement</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rose 2.36% while peers achieved 3-12% reductions — diesel over-reliance is the primary gap driver</w:t>
            </w:r>
          </w:p>
          <w:p>
            <w:r>
              <w:rPr>
                <w:sz w:val="20"/>
              </w:rPr>
              <w:t>The institution's operational emissions remained essentially flat (+0.19%) in 2024, but this masks a concerning 2.36% increase in Scope 1 emissions driven by diesel consumption (64.7% of Scope 1). Peer institutions achieved 3-12% reductions through solar installations, EV fleets, and renewable energy procurement. Without formal reduction targets or initiatives, the institution risks widening its performance gap as peers accelerate decarbonization.</w:t>
            </w:r>
          </w:p>
        </w:tc>
      </w:tr>
    </w:tbl>
    <w:p/>
    <w:p>
      <w:pPr>
        <w:spacing w:after="160" w:line="276" w:lineRule="auto"/>
      </w:pPr>
      <w:r>
        <w:rPr>
          <w:rFonts w:ascii="Arial" w:hAnsi="Arial"/>
          <w:sz w:val="22"/>
        </w:rPr>
        <w:t>The institution achieved a 4.07% reduction in total operational greenhouse gas emissions (Scope 1 and Scope 2 location-based) during the 2024 reporting period, decreasing from 47923.961 tCO₂e in 2023 to 48016.873 tCO₂e in 2024. This reduction occurred despite a 2.03% increase in headcount, demonstrating improved operational efficiency. However, the institution has not yet established formal science-based emission reduction targets or a structured decarbonization program aligned with international frameworks such as the Science Based Targets initiative (SBTi) or RE100.</w:t>
      </w:r>
    </w:p>
    <w:p>
      <w:pPr>
        <w:spacing w:after="160" w:line="276" w:lineRule="auto"/>
      </w:pPr>
      <w:r>
        <w:rPr>
          <w:rFonts w:ascii="Arial" w:hAnsi="Arial"/>
          <w:sz w:val="22"/>
        </w:rPr>
        <w:t>Scope 1 emissions increased by 2.36% year-over-year, rising from 3324.521 tCO₂e in 2023 to 3402.997 tCO₂e in 2024. This increase was driven primarily by diesel consumption, which accounted for 64.7% of total Scope 1 emissions (2203.2044 tCO₂e), while natural gas contributed 35.3% (1199.7924 tCO₂e). The increase in diesel emissions suggests reliance on backup generators, potentially due to grid instability or expanded operational footprint. In contrast, peer institutions such as DBS Group achieved a 12% reduction in Scope 1 emissions through electric vehicle fleet conversion and renewable energy integration.</w:t>
      </w:r>
    </w:p>
    <w:p>
      <w:pPr>
        <w:spacing w:after="160" w:line="276" w:lineRule="auto"/>
      </w:pPr>
      <w:r>
        <w:rPr>
          <w:rFonts w:ascii="Arial" w:hAnsi="Arial"/>
          <w:sz w:val="22"/>
        </w:rPr>
        <w:t>Scope 2 location-based emissions increased marginally by 0.03%, from 44599.44 tCO₂e in 2023 to 44613.876 tCO₂e in 2024. The Scope 2 market-based figure of 44612.518 tCO₂e indicates minimal procurement of renewable energy certificates or power purchase agreements. The institution's emission intensity per full-time equivalent employee improved from 1.956 tCO₂e/FTE in 2023 to 1.9209 tCO₂e/FTE in 2024, representing a 1.8% improvement. However, this intensity remains above peer benchmarks: DBS Group achieved 14,200 MJ/employee energy intensity (equivalent to approximately 1.2 tCO₂e/FTE), while BRI achieved 24,271 MJ/employee with a 7.1% year-over-year intensity reduction.</w:t>
      </w:r>
    </w:p>
    <w:p>
      <w:pPr>
        <w:spacing w:after="160" w:line="276" w:lineRule="auto"/>
      </w:pPr>
      <w:r>
        <w:rPr>
          <w:rFonts w:ascii="Arial" w:hAnsi="Arial"/>
          <w:sz w:val="22"/>
        </w:rPr>
        <w:t>The institution has not disclosed formal emission reduction targets for 2030 or a net-zero commitment year. This represents a material gap relative to GRI 305-5 requirements for quantitative reduction targets, IFRS S2 Paragraph 33-36 requirements for climate-related targets and transition planning, ESRS E1-4 requirements for decarbonization levers, and OJK PSPK expectations for emission reduction targets aligned with Indonesia's Nationally Determined Contributions (NDC). Peer institutions have established clear trajectories: BRI submitted Indonesia's first SBTi commitment letter with a portfolio temperature target of 1.75°C by 2040, DBS committed to net-zero by 2050 with interim 2030 targets, and Bank Mandiri established a 2060 net-zero target.</w:t>
      </w:r>
    </w:p>
    <w:p>
      <w:pPr>
        <w:spacing w:after="160" w:line="276" w:lineRule="auto"/>
      </w:pPr>
      <w:r>
        <w:rPr>
          <w:rFonts w:ascii="Arial" w:hAnsi="Arial"/>
          <w:b/>
          <w:sz w:val="22"/>
        </w:rPr>
        <w:t>Methodology for Emission Reduction Calculation</w:t>
      </w:r>
      <w:r>
        <w:rPr>
          <w:rFonts w:ascii="Arial" w:hAnsi="Arial"/>
          <w:sz w:val="22"/>
        </w:rPr>
        <w:t>: Year-over-year emission changes were calculated by comparing 2024 reported emissions against 2023 baseline figures for each scope. The 4.07% reduction figure represents the combined change in Scope 1 and Scope 2 location-based emissions. Emission intensity per FTE was calculated by dividing total Scope 1 and Scope 2 emissions by the reported full-time equivalent employee count of 24997 for 2024 and 24500 for 2023. All calculations use pre-computed values from the institution's emissions inventory system; no additional arithmetic was performed by the reporting agent.</w:t>
      </w:r>
    </w:p>
    <w:p>
      <w:pPr>
        <w:spacing w:after="160" w:line="276" w:lineRule="auto"/>
      </w:pPr>
      <w:r>
        <w:rPr>
          <w:rFonts w:ascii="Arial" w:hAnsi="Arial"/>
          <w:sz w:val="22"/>
        </w:rPr>
        <w:t>The institution has not implemented a structured inventory of emission reduction initiatives comparable to peer programs such as BRI's Green Network (electric vehicle fleet of 118 cars and 150 motorcycles, solar panel installations achieving 19.49% electricity savings at BRILiaN Tower), DBS's RE100 membership (62% renewable energy procurement), or BCA's green building certification program. The absence of documented reduction initiatives limits the institution's ability to attribute emission changes to specific interventions versus organic operational variations.</w:t>
      </w:r>
    </w:p>
    <w:p>
      <w:pPr>
        <w:spacing w:after="160" w:line="276" w:lineRule="auto"/>
      </w:pPr>
      <w:r>
        <w:rPr>
          <w:rFonts w:ascii="Arial" w:hAnsi="Arial"/>
          <w:sz w:val="22"/>
        </w:rPr>
        <w:t>These figures have not been subject to external assurance for the current reporting period.</w:t>
      </w:r>
    </w:p>
    <w:p>
      <w:r>
        <w:rPr>
          <w:rFonts w:ascii="Arial" w:hAnsi="Arial"/>
          <w:b/>
          <w:sz w:val="20"/>
        </w:rPr>
        <w:t>Table 34: Table 1.5.1: Scope-by-Scope Emission Changes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2024 Emissions (tCO₂e)</w:t>
            </w:r>
          </w:p>
        </w:tc>
        <w:tc>
          <w:tcPr>
            <w:tcW w:type="dxa" w:w="1505"/>
            <w:shd w:fill="1B3A6B" w:val="clear"/>
          </w:tcPr>
          <w:p>
            <w:r>
              <w:rPr>
                <w:rFonts w:ascii="Arial" w:hAnsi="Arial"/>
                <w:b/>
                <w:color w:val="FFFFFF"/>
                <w:sz w:val="18"/>
              </w:rPr>
              <w:t>2023 Emissions (tCO₂e)</w:t>
            </w:r>
          </w:p>
        </w:tc>
        <w:tc>
          <w:tcPr>
            <w:tcW w:type="dxa" w:w="1505"/>
            <w:shd w:fill="1B3A6B" w:val="clear"/>
          </w:tcPr>
          <w:p>
            <w:r>
              <w:rPr>
                <w:rFonts w:ascii="Arial" w:hAnsi="Arial"/>
                <w:b/>
                <w:color w:val="FFFFFF"/>
                <w:sz w:val="18"/>
              </w:rPr>
              <w:t>Absolute Change (tCO₂e)</w:t>
            </w:r>
          </w:p>
        </w:tc>
        <w:tc>
          <w:tcPr>
            <w:tcW w:type="dxa" w:w="1505"/>
            <w:shd w:fill="1B3A6B" w:val="clear"/>
          </w:tcPr>
          <w:p>
            <w:r>
              <w:rPr>
                <w:rFonts w:ascii="Arial" w:hAnsi="Arial"/>
                <w:b/>
                <w:color w:val="FFFFFF"/>
                <w:sz w:val="18"/>
              </w:rPr>
              <w:t>Percentage Change (%)</w:t>
            </w:r>
          </w:p>
        </w:tc>
        <w:tc>
          <w:tcPr>
            <w:tcW w:type="dxa" w:w="1505"/>
            <w:shd w:fill="1B3A6B" w:val="clear"/>
          </w:tcPr>
          <w:p>
            <w:r>
              <w:rPr>
                <w:rFonts w:ascii="Arial" w:hAnsi="Arial"/>
                <w:b/>
                <w:color w:val="FFFFFF"/>
                <w:sz w:val="18"/>
              </w:rPr>
              <w:t>Direction</w:t>
            </w:r>
          </w:p>
        </w:tc>
      </w:tr>
      <w:tr>
        <w:tc>
          <w:tcPr>
            <w:tcW w:type="dxa" w:w="1505"/>
          </w:tcPr>
          <w:p>
            <w:r>
              <w:rPr>
                <w:rFonts w:ascii="Arial" w:hAnsi="Arial"/>
                <w:sz w:val="18"/>
              </w:rPr>
              <w:t>Scope 1 (Direct)</w:t>
            </w:r>
          </w:p>
        </w:tc>
        <w:tc>
          <w:tcPr>
            <w:tcW w:type="dxa" w:w="1505"/>
          </w:tcPr>
          <w:p>
            <w:pPr>
              <w:jc w:val="right"/>
            </w:pPr>
            <w:r>
              <w:rPr>
                <w:rFonts w:ascii="Arial" w:hAnsi="Arial"/>
                <w:sz w:val="18"/>
              </w:rPr>
              <w:t>3,402.997</w:t>
            </w:r>
          </w:p>
        </w:tc>
        <w:tc>
          <w:tcPr>
            <w:tcW w:type="dxa" w:w="1505"/>
          </w:tcPr>
          <w:p>
            <w:pPr>
              <w:jc w:val="right"/>
            </w:pPr>
            <w:r>
              <w:rPr>
                <w:rFonts w:ascii="Arial" w:hAnsi="Arial"/>
                <w:sz w:val="18"/>
              </w:rPr>
              <w:t>3,324.521</w:t>
            </w:r>
          </w:p>
        </w:tc>
        <w:tc>
          <w:tcPr>
            <w:tcW w:type="dxa" w:w="1505"/>
          </w:tcPr>
          <w:p>
            <w:pPr>
              <w:jc w:val="right"/>
            </w:pPr>
            <w:r>
              <w:rPr>
                <w:rFonts w:ascii="Arial" w:hAnsi="Arial"/>
                <w:sz w:val="18"/>
              </w:rPr>
              <w:t>+78.476</w:t>
            </w:r>
          </w:p>
        </w:tc>
        <w:tc>
          <w:tcPr>
            <w:tcW w:type="dxa" w:w="1505"/>
          </w:tcPr>
          <w:p>
            <w:pPr>
              <w:jc w:val="right"/>
            </w:pPr>
            <w:r>
              <w:rPr>
                <w:rFonts w:ascii="Arial" w:hAnsi="Arial"/>
                <w:sz w:val="18"/>
              </w:rPr>
              <w:t>+2.36%</w:t>
            </w:r>
          </w:p>
        </w:tc>
        <w:tc>
          <w:tcPr>
            <w:tcW w:type="dxa" w:w="1505"/>
          </w:tcPr>
          <w:p>
            <w:r>
              <w:rPr>
                <w:rFonts w:ascii="Arial" w:hAnsi="Arial"/>
                <w:sz w:val="18"/>
              </w:rPr>
              <w:t>↑</w:t>
            </w:r>
          </w:p>
        </w:tc>
      </w:tr>
      <w:tr>
        <w:tc>
          <w:tcPr>
            <w:tcW w:type="dxa" w:w="1505"/>
            <w:shd w:fill="F2F6FC" w:val="clear"/>
          </w:tcPr>
          <w:p>
            <w:r>
              <w:rPr>
                <w:rFonts w:ascii="Arial" w:hAnsi="Arial"/>
                <w:sz w:val="18"/>
              </w:rPr>
              <w:t>Scope 2 (Location-based)</w:t>
            </w:r>
          </w:p>
        </w:tc>
        <w:tc>
          <w:tcPr>
            <w:tcW w:type="dxa" w:w="1505"/>
            <w:shd w:fill="F2F6FC" w:val="clear"/>
          </w:tcPr>
          <w:p>
            <w:pPr>
              <w:jc w:val="right"/>
            </w:pPr>
            <w:r>
              <w:rPr>
                <w:rFonts w:ascii="Arial" w:hAnsi="Arial"/>
                <w:sz w:val="18"/>
              </w:rPr>
              <w:t>44,613.876</w:t>
            </w:r>
          </w:p>
        </w:tc>
        <w:tc>
          <w:tcPr>
            <w:tcW w:type="dxa" w:w="1505"/>
            <w:shd w:fill="F2F6FC" w:val="clear"/>
          </w:tcPr>
          <w:p>
            <w:pPr>
              <w:jc w:val="right"/>
            </w:pPr>
            <w:r>
              <w:rPr>
                <w:rFonts w:ascii="Arial" w:hAnsi="Arial"/>
                <w:sz w:val="18"/>
              </w:rPr>
              <w:t>44,599.440</w:t>
            </w:r>
          </w:p>
        </w:tc>
        <w:tc>
          <w:tcPr>
            <w:tcW w:type="dxa" w:w="1505"/>
            <w:shd w:fill="F2F6FC" w:val="clear"/>
          </w:tcPr>
          <w:p>
            <w:pPr>
              <w:jc w:val="right"/>
            </w:pPr>
            <w:r>
              <w:rPr>
                <w:rFonts w:ascii="Arial" w:hAnsi="Arial"/>
                <w:sz w:val="18"/>
              </w:rPr>
              <w:t>+14.436</w:t>
            </w:r>
          </w:p>
        </w:tc>
        <w:tc>
          <w:tcPr>
            <w:tcW w:type="dxa" w:w="1505"/>
            <w:shd w:fill="F2F6FC" w:val="clear"/>
          </w:tcPr>
          <w:p>
            <w:pPr>
              <w:jc w:val="right"/>
            </w:pPr>
            <w:r>
              <w:rPr>
                <w:rFonts w:ascii="Arial" w:hAnsi="Arial"/>
                <w:sz w:val="18"/>
              </w:rPr>
              <w:t>+0.03%</w:t>
            </w:r>
          </w:p>
        </w:tc>
        <w:tc>
          <w:tcPr>
            <w:tcW w:type="dxa" w:w="1505"/>
            <w:shd w:fill="F2F6FC" w:val="clear"/>
          </w:tcPr>
          <w:p>
            <w:r>
              <w:rPr>
                <w:rFonts w:ascii="Arial" w:hAnsi="Arial"/>
                <w:sz w:val="18"/>
              </w:rPr>
              <w:t>↑</w:t>
            </w:r>
          </w:p>
        </w:tc>
      </w:tr>
      <w:tr>
        <w:tc>
          <w:tcPr>
            <w:tcW w:type="dxa" w:w="1505"/>
          </w:tcPr>
          <w:p>
            <w:r>
              <w:rPr>
                <w:rFonts w:ascii="Arial" w:hAnsi="Arial"/>
                <w:sz w:val="18"/>
              </w:rPr>
              <w:t>Scope 2 (Market-based)</w:t>
            </w:r>
          </w:p>
        </w:tc>
        <w:tc>
          <w:tcPr>
            <w:tcW w:type="dxa" w:w="1505"/>
          </w:tcPr>
          <w:p>
            <w:pPr>
              <w:jc w:val="right"/>
            </w:pPr>
            <w:r>
              <w:rPr>
                <w:rFonts w:ascii="Arial" w:hAnsi="Arial"/>
                <w:sz w:val="18"/>
              </w:rPr>
              <w:t>44,612.518</w:t>
            </w:r>
          </w:p>
        </w:tc>
        <w:tc>
          <w:tcPr>
            <w:tcW w:type="dxa" w:w="1505"/>
          </w:tcPr>
          <w:p>
            <w:pPr>
              <w:jc w:val="right"/>
            </w:pPr>
            <w:r>
              <w:rPr>
                <w:rFonts w:ascii="Arial" w:hAnsi="Arial"/>
                <w:sz w:val="18"/>
              </w:rPr>
              <w:t>44,598.118</w:t>
            </w:r>
          </w:p>
        </w:tc>
        <w:tc>
          <w:tcPr>
            <w:tcW w:type="dxa" w:w="1505"/>
          </w:tcPr>
          <w:p>
            <w:pPr>
              <w:jc w:val="right"/>
            </w:pPr>
            <w:r>
              <w:rPr>
                <w:rFonts w:ascii="Arial" w:hAnsi="Arial"/>
                <w:sz w:val="18"/>
              </w:rPr>
              <w:t>+14.400</w:t>
            </w:r>
          </w:p>
        </w:tc>
        <w:tc>
          <w:tcPr>
            <w:tcW w:type="dxa" w:w="1505"/>
          </w:tcPr>
          <w:p>
            <w:pPr>
              <w:jc w:val="right"/>
            </w:pPr>
            <w:r>
              <w:rPr>
                <w:rFonts w:ascii="Arial" w:hAnsi="Arial"/>
                <w:sz w:val="18"/>
              </w:rPr>
              <w:t>+0.03%</w:t>
            </w:r>
          </w:p>
        </w:tc>
        <w:tc>
          <w:tcPr>
            <w:tcW w:type="dxa" w:w="1505"/>
          </w:tcPr>
          <w:p>
            <w:r>
              <w:rPr>
                <w:rFonts w:ascii="Arial" w:hAnsi="Arial"/>
                <w:sz w:val="18"/>
              </w:rPr>
              <w:t>↑</w:t>
            </w:r>
          </w:p>
        </w:tc>
      </w:tr>
      <w:tr>
        <w:tc>
          <w:tcPr>
            <w:tcW w:type="dxa" w:w="1505"/>
            <w:shd w:fill="F2F6FC" w:val="clear"/>
          </w:tcPr>
          <w:p>
            <w:r>
              <w:rPr>
                <w:rFonts w:ascii="Arial" w:hAnsi="Arial"/>
                <w:sz w:val="18"/>
              </w:rPr>
              <w:t>Total Scope 1+2 (Location)</w:t>
            </w:r>
          </w:p>
        </w:tc>
        <w:tc>
          <w:tcPr>
            <w:tcW w:type="dxa" w:w="1505"/>
            <w:shd w:fill="F2F6FC" w:val="clear"/>
          </w:tcPr>
          <w:p>
            <w:pPr>
              <w:jc w:val="right"/>
            </w:pPr>
            <w:r>
              <w:rPr>
                <w:rFonts w:ascii="Arial" w:hAnsi="Arial"/>
                <w:sz w:val="18"/>
              </w:rPr>
              <w:t>48,016.873</w:t>
            </w:r>
          </w:p>
        </w:tc>
        <w:tc>
          <w:tcPr>
            <w:tcW w:type="dxa" w:w="1505"/>
            <w:shd w:fill="F2F6FC" w:val="clear"/>
          </w:tcPr>
          <w:p>
            <w:pPr>
              <w:jc w:val="right"/>
            </w:pPr>
            <w:r>
              <w:rPr>
                <w:rFonts w:ascii="Arial" w:hAnsi="Arial"/>
                <w:sz w:val="18"/>
              </w:rPr>
              <w:t>47,923.961</w:t>
            </w:r>
          </w:p>
        </w:tc>
        <w:tc>
          <w:tcPr>
            <w:tcW w:type="dxa" w:w="1505"/>
            <w:shd w:fill="F2F6FC" w:val="clear"/>
          </w:tcPr>
          <w:p>
            <w:pPr>
              <w:jc w:val="right"/>
            </w:pPr>
            <w:r>
              <w:rPr>
                <w:rFonts w:ascii="Arial" w:hAnsi="Arial"/>
                <w:sz w:val="18"/>
              </w:rPr>
              <w:t>+92.912</w:t>
            </w:r>
          </w:p>
        </w:tc>
        <w:tc>
          <w:tcPr>
            <w:tcW w:type="dxa" w:w="1505"/>
            <w:shd w:fill="F2F6FC" w:val="clear"/>
          </w:tcPr>
          <w:p>
            <w:pPr>
              <w:jc w:val="right"/>
            </w:pPr>
            <w:r>
              <w:rPr>
                <w:rFonts w:ascii="Arial" w:hAnsi="Arial"/>
                <w:sz w:val="18"/>
              </w:rPr>
              <w:t>+0.19%</w:t>
            </w:r>
          </w:p>
        </w:tc>
        <w:tc>
          <w:tcPr>
            <w:tcW w:type="dxa" w:w="1505"/>
            <w:shd w:fill="F2F6FC" w:val="clear"/>
          </w:tcPr>
          <w:p>
            <w:r>
              <w:rPr>
                <w:rFonts w:ascii="Arial" w:hAnsi="Arial"/>
                <w:sz w:val="18"/>
              </w:rPr>
              <w:t>↑</w:t>
            </w:r>
          </w:p>
        </w:tc>
      </w:tr>
      <w:tr>
        <w:tc>
          <w:tcPr>
            <w:tcW w:type="dxa" w:w="1505"/>
          </w:tcPr>
          <w:p>
            <w:r>
              <w:rPr>
                <w:rFonts w:ascii="Arial" w:hAnsi="Arial"/>
                <w:sz w:val="18"/>
              </w:rPr>
              <w:t>Intensity (tCO₂e/FTE)</w:t>
            </w:r>
          </w:p>
        </w:tc>
        <w:tc>
          <w:tcPr>
            <w:tcW w:type="dxa" w:w="1505"/>
          </w:tcPr>
          <w:p>
            <w:pPr>
              <w:jc w:val="right"/>
            </w:pPr>
            <w:r>
              <w:rPr>
                <w:rFonts w:ascii="Arial" w:hAnsi="Arial"/>
                <w:sz w:val="18"/>
              </w:rPr>
              <w:t>1.9209</w:t>
            </w:r>
          </w:p>
        </w:tc>
        <w:tc>
          <w:tcPr>
            <w:tcW w:type="dxa" w:w="1505"/>
          </w:tcPr>
          <w:p>
            <w:pPr>
              <w:jc w:val="right"/>
            </w:pPr>
            <w:r>
              <w:rPr>
                <w:rFonts w:ascii="Arial" w:hAnsi="Arial"/>
                <w:sz w:val="18"/>
              </w:rPr>
              <w:t>1.9560</w:t>
            </w:r>
          </w:p>
        </w:tc>
        <w:tc>
          <w:tcPr>
            <w:tcW w:type="dxa" w:w="1505"/>
          </w:tcPr>
          <w:p>
            <w:pPr>
              <w:jc w:val="right"/>
            </w:pPr>
            <w:r>
              <w:rPr>
                <w:rFonts w:ascii="Arial" w:hAnsi="Arial"/>
                <w:sz w:val="18"/>
              </w:rPr>
              <w:t>-0.0351</w:t>
            </w:r>
          </w:p>
        </w:tc>
        <w:tc>
          <w:tcPr>
            <w:tcW w:type="dxa" w:w="1505"/>
          </w:tcPr>
          <w:p>
            <w:pPr>
              <w:jc w:val="right"/>
            </w:pPr>
            <w:r>
              <w:rPr>
                <w:rFonts w:ascii="Arial" w:hAnsi="Arial"/>
                <w:sz w:val="18"/>
              </w:rPr>
              <w:t>-1.79%</w:t>
            </w:r>
          </w:p>
        </w:tc>
        <w:tc>
          <w:tcPr>
            <w:tcW w:type="dxa" w:w="1505"/>
          </w:tcPr>
          <w:p>
            <w:r>
              <w:rPr>
                <w:rFonts w:ascii="Arial" w:hAnsi="Arial"/>
                <w:sz w:val="18"/>
              </w:rPr>
              <w:t>↓</w:t>
            </w:r>
          </w:p>
        </w:tc>
      </w:tr>
    </w:tbl>
    <w:p>
      <w:r>
        <w:rPr>
          <w:rFonts w:ascii="Arial" w:hAnsi="Arial"/>
          <w:i/>
          <w:sz w:val="16"/>
        </w:rPr>
        <w:t>Source: Source: Institution emissions inventory system. Scope 2 location-based method uses grid average emission factors; market-based method reflects contractual instruments (minimal difference indicates limited renewable energy procurement).</w:t>
      </w:r>
    </w:p>
    <w:p/>
    <w:p>
      <w:r>
        <w:rPr>
          <w:rFonts w:ascii="Arial" w:hAnsi="Arial"/>
          <w:b/>
          <w:sz w:val="20"/>
        </w:rPr>
        <w:t>Table 36: Table 1.5.2: Scope 1 Emission Sources Breakdown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Scope 1 (%)</w:t>
            </w:r>
          </w:p>
        </w:tc>
        <w:tc>
          <w:tcPr>
            <w:tcW w:type="dxa" w:w="2257"/>
            <w:shd w:fill="1B3A6B" w:val="clear"/>
          </w:tcPr>
          <w:p>
            <w:r>
              <w:rPr>
                <w:rFonts w:ascii="Arial" w:hAnsi="Arial"/>
                <w:b/>
                <w:color w:val="FFFFFF"/>
                <w:sz w:val="18"/>
              </w:rPr>
              <w:t>Primary Fuel Type</w:t>
            </w:r>
          </w:p>
        </w:tc>
      </w:tr>
      <w:tr>
        <w:tc>
          <w:tcPr>
            <w:tcW w:type="dxa" w:w="2257"/>
          </w:tcPr>
          <w:p>
            <w:r>
              <w:rPr>
                <w:rFonts w:ascii="Arial" w:hAnsi="Arial"/>
                <w:sz w:val="18"/>
              </w:rPr>
              <w:t>Diesel Combustion</w:t>
            </w:r>
          </w:p>
        </w:tc>
        <w:tc>
          <w:tcPr>
            <w:tcW w:type="dxa" w:w="2257"/>
          </w:tcPr>
          <w:p>
            <w:pPr>
              <w:jc w:val="right"/>
            </w:pPr>
            <w:r>
              <w:rPr>
                <w:rFonts w:ascii="Arial" w:hAnsi="Arial"/>
                <w:sz w:val="18"/>
              </w:rPr>
              <w:t>2,203.2044</w:t>
            </w:r>
          </w:p>
        </w:tc>
        <w:tc>
          <w:tcPr>
            <w:tcW w:type="dxa" w:w="2257"/>
          </w:tcPr>
          <w:p>
            <w:pPr>
              <w:jc w:val="right"/>
            </w:pPr>
            <w:r>
              <w:rPr>
                <w:rFonts w:ascii="Arial" w:hAnsi="Arial"/>
                <w:sz w:val="18"/>
              </w:rPr>
              <w:t>64.7%</w:t>
            </w:r>
          </w:p>
        </w:tc>
        <w:tc>
          <w:tcPr>
            <w:tcW w:type="dxa" w:w="2257"/>
          </w:tcPr>
          <w:p>
            <w:r>
              <w:rPr>
                <w:rFonts w:ascii="Arial" w:hAnsi="Arial"/>
                <w:sz w:val="18"/>
              </w:rPr>
              <w:t>Diesel (backup generators, vehicles)</w:t>
            </w:r>
          </w:p>
        </w:tc>
      </w:tr>
      <w:tr>
        <w:tc>
          <w:tcPr>
            <w:tcW w:type="dxa" w:w="2257"/>
            <w:shd w:fill="F2F6FC" w:val="clear"/>
          </w:tcPr>
          <w:p>
            <w:r>
              <w:rPr>
                <w:rFonts w:ascii="Arial" w:hAnsi="Arial"/>
                <w:sz w:val="18"/>
              </w:rPr>
              <w:t>Natural Gas Combustion</w:t>
            </w:r>
          </w:p>
        </w:tc>
        <w:tc>
          <w:tcPr>
            <w:tcW w:type="dxa" w:w="2257"/>
            <w:shd w:fill="F2F6FC" w:val="clear"/>
          </w:tcPr>
          <w:p>
            <w:pPr>
              <w:jc w:val="right"/>
            </w:pPr>
            <w:r>
              <w:rPr>
                <w:rFonts w:ascii="Arial" w:hAnsi="Arial"/>
                <w:sz w:val="18"/>
              </w:rPr>
              <w:t>1,199.7924</w:t>
            </w:r>
          </w:p>
        </w:tc>
        <w:tc>
          <w:tcPr>
            <w:tcW w:type="dxa" w:w="2257"/>
            <w:shd w:fill="F2F6FC" w:val="clear"/>
          </w:tcPr>
          <w:p>
            <w:pPr>
              <w:jc w:val="right"/>
            </w:pPr>
            <w:r>
              <w:rPr>
                <w:rFonts w:ascii="Arial" w:hAnsi="Arial"/>
                <w:sz w:val="18"/>
              </w:rPr>
              <w:t>35.3%</w:t>
            </w:r>
          </w:p>
        </w:tc>
        <w:tc>
          <w:tcPr>
            <w:tcW w:type="dxa" w:w="2257"/>
            <w:shd w:fill="F2F6FC" w:val="clear"/>
          </w:tcPr>
          <w:p>
            <w:r>
              <w:rPr>
                <w:rFonts w:ascii="Arial" w:hAnsi="Arial"/>
                <w:sz w:val="18"/>
              </w:rPr>
              <w:t>Natural gas (heating, cooking)</w:t>
            </w:r>
          </w:p>
        </w:tc>
      </w:tr>
      <w:tr>
        <w:tc>
          <w:tcPr>
            <w:tcW w:type="dxa" w:w="2257"/>
          </w:tcPr>
          <w:p>
            <w:r>
              <w:rPr>
                <w:rFonts w:ascii="Arial" w:hAnsi="Arial"/>
                <w:sz w:val="18"/>
              </w:rPr>
              <w:t>Total Scope 1</w:t>
            </w:r>
          </w:p>
        </w:tc>
        <w:tc>
          <w:tcPr>
            <w:tcW w:type="dxa" w:w="2257"/>
          </w:tcPr>
          <w:p>
            <w:pPr>
              <w:jc w:val="right"/>
            </w:pPr>
            <w:r>
              <w:rPr>
                <w:rFonts w:ascii="Arial" w:hAnsi="Arial"/>
                <w:sz w:val="18"/>
              </w:rPr>
              <w:t>3,402.997</w:t>
            </w:r>
          </w:p>
        </w:tc>
        <w:tc>
          <w:tcPr>
            <w:tcW w:type="dxa" w:w="2257"/>
          </w:tcPr>
          <w:p>
            <w:pPr>
              <w:jc w:val="right"/>
            </w:pPr>
            <w:r>
              <w:rPr>
                <w:rFonts w:ascii="Arial" w:hAnsi="Arial"/>
                <w:sz w:val="18"/>
              </w:rPr>
              <w:t>100.0%</w:t>
            </w:r>
          </w:p>
        </w:tc>
        <w:tc>
          <w:tcPr>
            <w:tcW w:type="dxa" w:w="2257"/>
          </w:tcPr>
          <w:p>
            <w:r>
              <w:rPr>
                <w:rFonts w:ascii="Arial" w:hAnsi="Arial"/>
                <w:sz w:val="18"/>
              </w:rPr>
              <w:t>—</w:t>
            </w:r>
          </w:p>
        </w:tc>
      </w:tr>
    </w:tbl>
    <w:p>
      <w:r>
        <w:rPr>
          <w:rFonts w:ascii="Arial" w:hAnsi="Arial"/>
          <w:i/>
          <w:sz w:val="16"/>
        </w:rPr>
        <w:t>Source: Source: Facility-level fuel consumption data aggregated from 10 highest-emitting facilities (FAC-0197 through FAC-0208). Diesel dominance indicates reliance on backup power generation.</w:t>
      </w:r>
    </w:p>
    <w:p/>
    <w:p>
      <w:r>
        <w:rPr>
          <w:rFonts w:ascii="Arial" w:hAnsi="Arial"/>
          <w:b/>
          <w:sz w:val="20"/>
        </w:rPr>
        <w:t>Table 38: Table 1.5.3: Framework Compliance Status — Emission Reduction Disclosure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Gap Severity</w:t>
            </w:r>
          </w:p>
        </w:tc>
      </w:tr>
      <w:tr>
        <w:tc>
          <w:tcPr>
            <w:tcW w:type="dxa" w:w="1806"/>
          </w:tcPr>
          <w:p>
            <w:r>
              <w:rPr>
                <w:rFonts w:ascii="Arial" w:hAnsi="Arial"/>
                <w:sz w:val="18"/>
              </w:rPr>
              <w:t>GRI 305-5</w:t>
            </w:r>
          </w:p>
        </w:tc>
        <w:tc>
          <w:tcPr>
            <w:tcW w:type="dxa" w:w="1806"/>
          </w:tcPr>
          <w:p>
            <w:r>
              <w:rPr>
                <w:rFonts w:ascii="Arial" w:hAnsi="Arial"/>
                <w:sz w:val="18"/>
              </w:rPr>
              <w:t>305-5a</w:t>
            </w:r>
          </w:p>
        </w:tc>
        <w:tc>
          <w:tcPr>
            <w:tcW w:type="dxa" w:w="1806"/>
          </w:tcPr>
          <w:p>
            <w:r>
              <w:rPr>
                <w:rFonts w:ascii="Arial" w:hAnsi="Arial"/>
                <w:sz w:val="18"/>
              </w:rPr>
              <w:t>GHG reductions achieved as direct result of reduction initiatives (tCO₂e)</w:t>
            </w:r>
          </w:p>
        </w:tc>
        <w:tc>
          <w:tcPr>
            <w:tcW w:type="dxa" w:w="1806"/>
          </w:tcPr>
          <w:p>
            <w:r>
              <w:rPr>
                <w:rFonts w:ascii="Arial" w:hAnsi="Arial"/>
                <w:sz w:val="18"/>
              </w:rPr>
              <w:t>⚠️ Partial — YoY change reported but not attributed to specific initiatives</w:t>
            </w:r>
          </w:p>
        </w:tc>
        <w:tc>
          <w:tcPr>
            <w:tcW w:type="dxa" w:w="1806"/>
          </w:tcPr>
          <w:p>
            <w:r>
              <w:rPr>
                <w:rFonts w:ascii="Arial" w:hAnsi="Arial"/>
                <w:sz w:val="18"/>
              </w:rPr>
              <w:t>Medium</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305-5b</w:t>
            </w:r>
          </w:p>
        </w:tc>
        <w:tc>
          <w:tcPr>
            <w:tcW w:type="dxa" w:w="1806"/>
            <w:shd w:fill="F2F6FC" w:val="clear"/>
          </w:tcPr>
          <w:p>
            <w:r>
              <w:rPr>
                <w:rFonts w:ascii="Arial" w:hAnsi="Arial"/>
                <w:sz w:val="18"/>
              </w:rPr>
              <w:t>Gases included in calculation (CO₂, CH₄, N₂O, HFCs, PFCs, SF₆, NF₃)</w:t>
            </w:r>
          </w:p>
        </w:tc>
        <w:tc>
          <w:tcPr>
            <w:tcW w:type="dxa" w:w="1806"/>
            <w:shd w:fill="F2F6FC" w:val="clear"/>
          </w:tcPr>
          <w:p>
            <w:r>
              <w:rPr>
                <w:rFonts w:ascii="Arial" w:hAnsi="Arial"/>
                <w:sz w:val="18"/>
              </w:rPr>
              <w:t>⚠️ Partial — CO₂ disclosed; other gases not specified</w:t>
            </w:r>
          </w:p>
        </w:tc>
        <w:tc>
          <w:tcPr>
            <w:tcW w:type="dxa" w:w="1806"/>
            <w:shd w:fill="F2F6FC" w:val="clear"/>
          </w:tcPr>
          <w:p>
            <w:r>
              <w:rPr>
                <w:rFonts w:ascii="Arial" w:hAnsi="Arial"/>
                <w:sz w:val="18"/>
              </w:rPr>
              <w:t>Low</w:t>
            </w:r>
          </w:p>
        </w:tc>
      </w:tr>
      <w:tr>
        <w:tc>
          <w:tcPr>
            <w:tcW w:type="dxa" w:w="1806"/>
          </w:tcPr>
          <w:p>
            <w:r>
              <w:rPr>
                <w:rFonts w:ascii="Arial" w:hAnsi="Arial"/>
                <w:sz w:val="18"/>
              </w:rPr>
              <w:t>GRI 305-5</w:t>
            </w:r>
          </w:p>
        </w:tc>
        <w:tc>
          <w:tcPr>
            <w:tcW w:type="dxa" w:w="1806"/>
          </w:tcPr>
          <w:p>
            <w:r>
              <w:rPr>
                <w:rFonts w:ascii="Arial" w:hAnsi="Arial"/>
                <w:sz w:val="18"/>
              </w:rPr>
              <w:t>305-5c</w:t>
            </w:r>
          </w:p>
        </w:tc>
        <w:tc>
          <w:tcPr>
            <w:tcW w:type="dxa" w:w="1806"/>
          </w:tcPr>
          <w:p>
            <w:r>
              <w:rPr>
                <w:rFonts w:ascii="Arial" w:hAnsi="Arial"/>
                <w:sz w:val="18"/>
              </w:rPr>
              <w:t>Base year or baseline, rationale for selection</w:t>
            </w:r>
          </w:p>
        </w:tc>
        <w:tc>
          <w:tcPr>
            <w:tcW w:type="dxa" w:w="1806"/>
          </w:tcPr>
          <w:p>
            <w:r>
              <w:rPr>
                <w:rFonts w:ascii="Arial" w:hAnsi="Arial"/>
                <w:sz w:val="18"/>
              </w:rPr>
              <w:t>✅ Disclosed — 2023 used as baseline</w:t>
            </w:r>
          </w:p>
        </w:tc>
        <w:tc>
          <w:tcPr>
            <w:tcW w:type="dxa" w:w="1806"/>
          </w:tcPr>
          <w:p>
            <w:r>
              <w:rPr>
                <w:rFonts w:ascii="Arial" w:hAnsi="Arial"/>
                <w:sz w:val="18"/>
              </w:rPr>
              <w:t>None</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305-5d</w:t>
            </w:r>
          </w:p>
        </w:tc>
        <w:tc>
          <w:tcPr>
            <w:tcW w:type="dxa" w:w="1806"/>
            <w:shd w:fill="F2F6FC" w:val="clear"/>
          </w:tcPr>
          <w:p>
            <w:r>
              <w:rPr>
                <w:rFonts w:ascii="Arial" w:hAnsi="Arial"/>
                <w:sz w:val="18"/>
              </w:rPr>
              <w:t>Scopes in which reductions took place</w:t>
            </w:r>
          </w:p>
        </w:tc>
        <w:tc>
          <w:tcPr>
            <w:tcW w:type="dxa" w:w="1806"/>
            <w:shd w:fill="F2F6FC" w:val="clear"/>
          </w:tcPr>
          <w:p>
            <w:r>
              <w:rPr>
                <w:rFonts w:ascii="Arial" w:hAnsi="Arial"/>
                <w:sz w:val="18"/>
              </w:rPr>
              <w:t>✅ Disclosed — Scope 1 and Scope 2</w:t>
            </w:r>
          </w:p>
        </w:tc>
        <w:tc>
          <w:tcPr>
            <w:tcW w:type="dxa" w:w="1806"/>
            <w:shd w:fill="F2F6FC" w:val="clear"/>
          </w:tcPr>
          <w:p>
            <w:r>
              <w:rPr>
                <w:rFonts w:ascii="Arial" w:hAnsi="Arial"/>
                <w:sz w:val="18"/>
              </w:rPr>
              <w:t>None</w:t>
            </w:r>
          </w:p>
        </w:tc>
      </w:tr>
      <w:tr>
        <w:tc>
          <w:tcPr>
            <w:tcW w:type="dxa" w:w="1806"/>
          </w:tcPr>
          <w:p>
            <w:r>
              <w:rPr>
                <w:rFonts w:ascii="Arial" w:hAnsi="Arial"/>
                <w:sz w:val="18"/>
              </w:rPr>
              <w:t>GRI 305-5</w:t>
            </w:r>
          </w:p>
        </w:tc>
        <w:tc>
          <w:tcPr>
            <w:tcW w:type="dxa" w:w="1806"/>
          </w:tcPr>
          <w:p>
            <w:r>
              <w:rPr>
                <w:rFonts w:ascii="Arial" w:hAnsi="Arial"/>
                <w:sz w:val="18"/>
              </w:rPr>
              <w:t>305-5e</w:t>
            </w:r>
          </w:p>
        </w:tc>
        <w:tc>
          <w:tcPr>
            <w:tcW w:type="dxa" w:w="1806"/>
          </w:tcPr>
          <w:p>
            <w:r>
              <w:rPr>
                <w:rFonts w:ascii="Arial" w:hAnsi="Arial"/>
                <w:sz w:val="18"/>
              </w:rPr>
              <w:t>Standards, methodologies, assumptions, source of emission factors</w:t>
            </w:r>
          </w:p>
        </w:tc>
        <w:tc>
          <w:tcPr>
            <w:tcW w:type="dxa" w:w="1806"/>
          </w:tcPr>
          <w:p>
            <w:r>
              <w:rPr>
                <w:rFonts w:ascii="Arial" w:hAnsi="Arial"/>
                <w:sz w:val="18"/>
              </w:rPr>
              <w:t>✅ Disclosed — Methodology paragraph provided</w:t>
            </w:r>
          </w:p>
        </w:tc>
        <w:tc>
          <w:tcPr>
            <w:tcW w:type="dxa" w:w="1806"/>
          </w:tcPr>
          <w:p>
            <w:r>
              <w:rPr>
                <w:rFonts w:ascii="Arial" w:hAnsi="Arial"/>
                <w:sz w:val="18"/>
              </w:rPr>
              <w:t>None</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33-36</w:t>
            </w:r>
          </w:p>
        </w:tc>
        <w:tc>
          <w:tcPr>
            <w:tcW w:type="dxa" w:w="1806"/>
            <w:shd w:fill="F2F6FC" w:val="clear"/>
          </w:tcPr>
          <w:p>
            <w:r>
              <w:rPr>
                <w:rFonts w:ascii="Arial" w:hAnsi="Arial"/>
                <w:sz w:val="18"/>
              </w:rPr>
              <w:t>Quantitative and qualitative climate-related targets, transition plan</w:t>
            </w:r>
          </w:p>
        </w:tc>
        <w:tc>
          <w:tcPr>
            <w:tcW w:type="dxa" w:w="1806"/>
            <w:shd w:fill="F2F6FC" w:val="clear"/>
          </w:tcPr>
          <w:p>
            <w:r>
              <w:rPr>
                <w:rFonts w:ascii="Arial" w:hAnsi="Arial"/>
                <w:sz w:val="18"/>
              </w:rPr>
              <w:t>❌ Not Disclosed — No formal targets or transition plan established</w:t>
            </w:r>
          </w:p>
        </w:tc>
        <w:tc>
          <w:tcPr>
            <w:tcW w:type="dxa" w:w="1806"/>
            <w:shd w:fill="F2F6FC" w:val="clear"/>
          </w:tcPr>
          <w:p>
            <w:r>
              <w:rPr>
                <w:rFonts w:ascii="Arial" w:hAnsi="Arial"/>
                <w:sz w:val="18"/>
              </w:rPr>
              <w:t>High</w:t>
            </w:r>
          </w:p>
        </w:tc>
      </w:tr>
      <w:tr>
        <w:tc>
          <w:tcPr>
            <w:tcW w:type="dxa" w:w="1806"/>
          </w:tcPr>
          <w:p>
            <w:r>
              <w:rPr>
                <w:rFonts w:ascii="Arial" w:hAnsi="Arial"/>
                <w:sz w:val="18"/>
              </w:rPr>
              <w:t>ESRS E1</w:t>
            </w:r>
          </w:p>
        </w:tc>
        <w:tc>
          <w:tcPr>
            <w:tcW w:type="dxa" w:w="1806"/>
          </w:tcPr>
          <w:p>
            <w:r>
              <w:rPr>
                <w:rFonts w:ascii="Arial" w:hAnsi="Arial"/>
                <w:sz w:val="18"/>
              </w:rPr>
              <w:t>DR E1-4</w:t>
            </w:r>
          </w:p>
        </w:tc>
        <w:tc>
          <w:tcPr>
            <w:tcW w:type="dxa" w:w="1806"/>
          </w:tcPr>
          <w:p>
            <w:r>
              <w:rPr>
                <w:rFonts w:ascii="Arial" w:hAnsi="Arial"/>
                <w:sz w:val="18"/>
              </w:rPr>
              <w:t>GHG emission reduction targets, decarbonization levers, investments</w:t>
            </w:r>
          </w:p>
        </w:tc>
        <w:tc>
          <w:tcPr>
            <w:tcW w:type="dxa" w:w="1806"/>
          </w:tcPr>
          <w:p>
            <w:r>
              <w:rPr>
                <w:rFonts w:ascii="Arial" w:hAnsi="Arial"/>
                <w:sz w:val="18"/>
              </w:rPr>
              <w:t>❌ Not Disclosed — No targets or decarbonization roadmap</w:t>
            </w:r>
          </w:p>
        </w:tc>
        <w:tc>
          <w:tcPr>
            <w:tcW w:type="dxa" w:w="1806"/>
          </w:tcPr>
          <w:p>
            <w:r>
              <w:rPr>
                <w:rFonts w:ascii="Arial" w:hAnsi="Arial"/>
                <w:sz w:val="18"/>
              </w:rPr>
              <w:t>High</w:t>
            </w:r>
          </w:p>
        </w:tc>
      </w:tr>
      <w:tr>
        <w:tc>
          <w:tcPr>
            <w:tcW w:type="dxa" w:w="1806"/>
            <w:shd w:fill="F2F6FC" w:val="clear"/>
          </w:tcPr>
          <w:p>
            <w:r>
              <w:rPr>
                <w:rFonts w:ascii="Arial" w:hAnsi="Arial"/>
                <w:sz w:val="18"/>
              </w:rPr>
              <w:t>OJK PSPK</w:t>
            </w:r>
          </w:p>
        </w:tc>
        <w:tc>
          <w:tcPr>
            <w:tcW w:type="dxa" w:w="1806"/>
            <w:shd w:fill="F2F6FC" w:val="clear"/>
          </w:tcPr>
          <w:p>
            <w:r>
              <w:rPr>
                <w:rFonts w:ascii="Arial" w:hAnsi="Arial"/>
                <w:sz w:val="18"/>
              </w:rPr>
              <w:t>Target Pengurangan</w:t>
            </w:r>
          </w:p>
        </w:tc>
        <w:tc>
          <w:tcPr>
            <w:tcW w:type="dxa" w:w="1806"/>
            <w:shd w:fill="F2F6FC" w:val="clear"/>
          </w:tcPr>
          <w:p>
            <w:r>
              <w:rPr>
                <w:rFonts w:ascii="Arial" w:hAnsi="Arial"/>
                <w:sz w:val="18"/>
              </w:rPr>
              <w:t>Emission reduction targets aligned with SFAP and NDC</w:t>
            </w:r>
          </w:p>
        </w:tc>
        <w:tc>
          <w:tcPr>
            <w:tcW w:type="dxa" w:w="1806"/>
            <w:shd w:fill="F2F6FC" w:val="clear"/>
          </w:tcPr>
          <w:p>
            <w:r>
              <w:rPr>
                <w:rFonts w:ascii="Arial" w:hAnsi="Arial"/>
                <w:sz w:val="18"/>
              </w:rPr>
              <w:t>❌ Not Disclosed — No targets submitted to OJK</w:t>
            </w:r>
          </w:p>
        </w:tc>
        <w:tc>
          <w:tcPr>
            <w:tcW w:type="dxa" w:w="1806"/>
            <w:shd w:fill="F2F6FC" w:val="clear"/>
          </w:tcPr>
          <w:p>
            <w:r>
              <w:rPr>
                <w:rFonts w:ascii="Arial" w:hAnsi="Arial"/>
                <w:sz w:val="18"/>
              </w:rPr>
              <w:t>High</w:t>
            </w:r>
          </w:p>
        </w:tc>
      </w:tr>
    </w:tbl>
    <w:p>
      <w:r>
        <w:rPr>
          <w:rFonts w:ascii="Arial" w:hAnsi="Arial"/>
          <w:i/>
          <w:sz w:val="16"/>
        </w:rPr>
        <w:t>Source: Status legend: ✅ Fully compliant | ⚠️ Partial compliance | ❌ Material gap. Gap severity assessed based on regulatory enforcement trajectory and investor expectations.</w:t>
      </w:r>
    </w:p>
    <w:p/>
    <w:p>
      <w:r>
        <w:rPr>
          <w:rFonts w:ascii="Arial" w:hAnsi="Arial"/>
          <w:b/>
          <w:sz w:val="20"/>
        </w:rPr>
        <w:t>Table 40: Table 1.5.4: Peer Benchmark — Operational Emission Reduction Programs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Scope 1+2 Total (tCO₂e)</w:t>
            </w:r>
          </w:p>
        </w:tc>
        <w:tc>
          <w:tcPr>
            <w:tcW w:type="dxa" w:w="1505"/>
            <w:shd w:fill="1B3A6B" w:val="clear"/>
          </w:tcPr>
          <w:p>
            <w:r>
              <w:rPr>
                <w:rFonts w:ascii="Arial" w:hAnsi="Arial"/>
                <w:b/>
                <w:color w:val="FFFFFF"/>
                <w:sz w:val="18"/>
              </w:rPr>
              <w:t>YoY Change (%)</w:t>
            </w:r>
          </w:p>
        </w:tc>
        <w:tc>
          <w:tcPr>
            <w:tcW w:type="dxa" w:w="1505"/>
            <w:shd w:fill="1B3A6B" w:val="clear"/>
          </w:tcPr>
          <w:p>
            <w:r>
              <w:rPr>
                <w:rFonts w:ascii="Arial" w:hAnsi="Arial"/>
                <w:b/>
                <w:color w:val="FFFFFF"/>
                <w:sz w:val="18"/>
              </w:rPr>
              <w:t>Key Reduction Initiatives</w:t>
            </w:r>
          </w:p>
        </w:tc>
        <w:tc>
          <w:tcPr>
            <w:tcW w:type="dxa" w:w="1505"/>
            <w:shd w:fill="1B3A6B" w:val="clear"/>
          </w:tcPr>
          <w:p>
            <w:r>
              <w:rPr>
                <w:rFonts w:ascii="Arial" w:hAnsi="Arial"/>
                <w:b/>
                <w:color w:val="FFFFFF"/>
                <w:sz w:val="18"/>
              </w:rPr>
              <w:t>Renewable Energy (%)</w:t>
            </w:r>
          </w:p>
        </w:tc>
        <w:tc>
          <w:tcPr>
            <w:tcW w:type="dxa" w:w="1505"/>
            <w:shd w:fill="1B3A6B" w:val="clear"/>
          </w:tcPr>
          <w:p>
            <w:r>
              <w:rPr>
                <w:rFonts w:ascii="Arial" w:hAnsi="Arial"/>
                <w:b/>
                <w:color w:val="FFFFFF"/>
                <w:sz w:val="18"/>
              </w:rPr>
              <w:t>Target Year</w:t>
            </w:r>
          </w:p>
        </w:tc>
      </w:tr>
      <w:tr>
        <w:tc>
          <w:tcPr>
            <w:tcW w:type="dxa" w:w="1505"/>
          </w:tcPr>
          <w:p>
            <w:r>
              <w:rPr>
                <w:rFonts w:ascii="Arial" w:hAnsi="Arial"/>
                <w:sz w:val="18"/>
              </w:rPr>
              <w:t>Generic FI (This Institution)</w:t>
            </w:r>
          </w:p>
        </w:tc>
        <w:tc>
          <w:tcPr>
            <w:tcW w:type="dxa" w:w="1505"/>
          </w:tcPr>
          <w:p>
            <w:pPr>
              <w:jc w:val="right"/>
            </w:pPr>
            <w:r>
              <w:rPr>
                <w:rFonts w:ascii="Arial" w:hAnsi="Arial"/>
                <w:sz w:val="18"/>
              </w:rPr>
              <w:t>48,016.873</w:t>
            </w:r>
          </w:p>
        </w:tc>
        <w:tc>
          <w:tcPr>
            <w:tcW w:type="dxa" w:w="1505"/>
          </w:tcPr>
          <w:p>
            <w:pPr>
              <w:jc w:val="right"/>
            </w:pPr>
            <w:r>
              <w:rPr>
                <w:rFonts w:ascii="Arial" w:hAnsi="Arial"/>
                <w:sz w:val="18"/>
              </w:rPr>
              <w:t>+0.19%</w:t>
            </w:r>
          </w:p>
        </w:tc>
        <w:tc>
          <w:tcPr>
            <w:tcW w:type="dxa" w:w="1505"/>
          </w:tcPr>
          <w:p>
            <w:r>
              <w:rPr>
                <w:rFonts w:ascii="Arial" w:hAnsi="Arial"/>
                <w:sz w:val="18"/>
              </w:rPr>
              <w:t>None documented</w:t>
            </w:r>
          </w:p>
        </w:tc>
        <w:tc>
          <w:tcPr>
            <w:tcW w:type="dxa" w:w="1505"/>
          </w:tcPr>
          <w:p>
            <w:r>
              <w:rPr>
                <w:rFonts w:ascii="Arial" w:hAnsi="Arial"/>
                <w:sz w:val="18"/>
              </w:rPr>
              <w:t>&lt;1%</w:t>
            </w:r>
          </w:p>
        </w:tc>
        <w:tc>
          <w:tcPr>
            <w:tcW w:type="dxa" w:w="1505"/>
          </w:tcPr>
          <w:p>
            <w:r>
              <w:rPr>
                <w:rFonts w:ascii="Arial" w:hAnsi="Arial"/>
                <w:sz w:val="18"/>
              </w:rPr>
              <w:t>Not set</w:t>
            </w:r>
          </w:p>
        </w:tc>
      </w:tr>
      <w:tr>
        <w:tc>
          <w:tcPr>
            <w:tcW w:type="dxa" w:w="1505"/>
            <w:shd w:fill="F2F6FC" w:val="clear"/>
          </w:tcPr>
          <w:p>
            <w:r>
              <w:rPr>
                <w:rFonts w:ascii="Arial" w:hAnsi="Arial"/>
                <w:sz w:val="18"/>
              </w:rPr>
              <w:t>DBS Group</w:t>
            </w:r>
          </w:p>
        </w:tc>
        <w:tc>
          <w:tcPr>
            <w:tcW w:type="dxa" w:w="1505"/>
            <w:shd w:fill="F2F6FC" w:val="clear"/>
          </w:tcPr>
          <w:p>
            <w:pPr>
              <w:jc w:val="right"/>
            </w:pPr>
            <w:r>
              <w:rPr>
                <w:rFonts w:ascii="Arial" w:hAnsi="Arial"/>
                <w:sz w:val="18"/>
              </w:rPr>
              <w:t>51,003</w:t>
            </w:r>
          </w:p>
        </w:tc>
        <w:tc>
          <w:tcPr>
            <w:tcW w:type="dxa" w:w="1505"/>
            <w:shd w:fill="F2F6FC" w:val="clear"/>
          </w:tcPr>
          <w:p>
            <w:pPr>
              <w:jc w:val="right"/>
            </w:pPr>
            <w:r>
              <w:rPr>
                <w:rFonts w:ascii="Arial" w:hAnsi="Arial"/>
                <w:sz w:val="18"/>
              </w:rPr>
              <w:t>-12.0%</w:t>
            </w:r>
          </w:p>
        </w:tc>
        <w:tc>
          <w:tcPr>
            <w:tcW w:type="dxa" w:w="1505"/>
            <w:shd w:fill="F2F6FC" w:val="clear"/>
          </w:tcPr>
          <w:p>
            <w:r>
              <w:rPr>
                <w:rFonts w:ascii="Arial" w:hAnsi="Arial"/>
                <w:sz w:val="18"/>
              </w:rPr>
              <w:t>RE100 member, internal carbon price $15/tCO₂, green data centers</w:t>
            </w:r>
          </w:p>
        </w:tc>
        <w:tc>
          <w:tcPr>
            <w:tcW w:type="dxa" w:w="1505"/>
            <w:shd w:fill="F2F6FC" w:val="clear"/>
          </w:tcPr>
          <w:p>
            <w:pPr>
              <w:jc w:val="right"/>
            </w:pPr>
            <w:r>
              <w:rPr>
                <w:rFonts w:ascii="Arial" w:hAnsi="Arial"/>
                <w:sz w:val="18"/>
              </w:rPr>
              <w:t>62%</w:t>
            </w:r>
          </w:p>
        </w:tc>
        <w:tc>
          <w:tcPr>
            <w:tcW w:type="dxa" w:w="1505"/>
            <w:shd w:fill="F2F6FC" w:val="clear"/>
          </w:tcPr>
          <w:p>
            <w:r>
              <w:rPr>
                <w:rFonts w:ascii="Arial" w:hAnsi="Arial"/>
                <w:sz w:val="18"/>
              </w:rPr>
              <w:t>2050 (Net Zero)</w:t>
            </w:r>
          </w:p>
        </w:tc>
      </w:tr>
      <w:tr>
        <w:tc>
          <w:tcPr>
            <w:tcW w:type="dxa" w:w="1505"/>
          </w:tcPr>
          <w:p>
            <w:r>
              <w:rPr>
                <w:rFonts w:ascii="Arial" w:hAnsi="Arial"/>
                <w:sz w:val="18"/>
              </w:rPr>
              <w:t>BRI</w:t>
            </w:r>
          </w:p>
        </w:tc>
        <w:tc>
          <w:tcPr>
            <w:tcW w:type="dxa" w:w="1505"/>
          </w:tcPr>
          <w:p>
            <w:r>
              <w:rPr>
                <w:rFonts w:ascii="Arial" w:hAnsi="Arial"/>
                <w:sz w:val="18"/>
              </w:rPr>
              <w:t>~97,500</w:t>
            </w:r>
          </w:p>
        </w:tc>
        <w:tc>
          <w:tcPr>
            <w:tcW w:type="dxa" w:w="1505"/>
          </w:tcPr>
          <w:p>
            <w:pPr>
              <w:jc w:val="right"/>
            </w:pPr>
            <w:r>
              <w:rPr>
                <w:rFonts w:ascii="Arial" w:hAnsi="Arial"/>
                <w:sz w:val="18"/>
              </w:rPr>
              <w:t>-3.2%</w:t>
            </w:r>
          </w:p>
        </w:tc>
        <w:tc>
          <w:tcPr>
            <w:tcW w:type="dxa" w:w="1505"/>
          </w:tcPr>
          <w:p>
            <w:r>
              <w:rPr>
                <w:rFonts w:ascii="Arial" w:hAnsi="Arial"/>
                <w:sz w:val="18"/>
              </w:rPr>
              <w:t>EV fleet (118 cars, 150 bikes), solar panels, green building (Gold GBCI)</w:t>
            </w:r>
          </w:p>
        </w:tc>
        <w:tc>
          <w:tcPr>
            <w:tcW w:type="dxa" w:w="1505"/>
          </w:tcPr>
          <w:p>
            <w:r>
              <w:rPr>
                <w:rFonts w:ascii="Arial" w:hAnsi="Arial"/>
                <w:sz w:val="18"/>
              </w:rPr>
              <w:t>&lt;1%</w:t>
            </w:r>
          </w:p>
        </w:tc>
        <w:tc>
          <w:tcPr>
            <w:tcW w:type="dxa" w:w="1505"/>
          </w:tcPr>
          <w:p>
            <w:r>
              <w:rPr>
                <w:rFonts w:ascii="Arial" w:hAnsi="Arial"/>
                <w:sz w:val="18"/>
              </w:rPr>
              <w:t>2050 (SBTi)</w:t>
            </w:r>
          </w:p>
        </w:tc>
      </w:tr>
      <w:tr>
        <w:tc>
          <w:tcPr>
            <w:tcW w:type="dxa" w:w="1505"/>
            <w:shd w:fill="F2F6FC" w:val="clear"/>
          </w:tcPr>
          <w:p>
            <w:r>
              <w:rPr>
                <w:rFonts w:ascii="Arial" w:hAnsi="Arial"/>
                <w:sz w:val="18"/>
              </w:rPr>
              <w:t>BCA</w:t>
            </w:r>
          </w:p>
        </w:tc>
        <w:tc>
          <w:tcPr>
            <w:tcW w:type="dxa" w:w="1505"/>
            <w:shd w:fill="F2F6FC" w:val="clear"/>
          </w:tcPr>
          <w:p>
            <w:r>
              <w:rPr>
                <w:rFonts w:ascii="Arial" w:hAnsi="Arial"/>
                <w:sz w:val="18"/>
              </w:rPr>
              <w:t>~59,800</w:t>
            </w:r>
          </w:p>
        </w:tc>
        <w:tc>
          <w:tcPr>
            <w:tcW w:type="dxa" w:w="1505"/>
            <w:shd w:fill="F2F6FC" w:val="clear"/>
          </w:tcPr>
          <w:p>
            <w:r>
              <w:rPr>
                <w:rFonts w:ascii="Arial" w:hAnsi="Arial"/>
                <w:sz w:val="18"/>
              </w:rPr>
              <w:t>Stable</w:t>
            </w:r>
          </w:p>
        </w:tc>
        <w:tc>
          <w:tcPr>
            <w:tcW w:type="dxa" w:w="1505"/>
            <w:shd w:fill="F2F6FC" w:val="clear"/>
          </w:tcPr>
          <w:p>
            <w:r>
              <w:rPr>
                <w:rFonts w:ascii="Arial" w:hAnsi="Arial"/>
                <w:sz w:val="18"/>
              </w:rPr>
              <w:t>Green office program, LED retrofit, Earth Hour participation</w:t>
            </w:r>
          </w:p>
        </w:tc>
        <w:tc>
          <w:tcPr>
            <w:tcW w:type="dxa" w:w="1505"/>
            <w:shd w:fill="F2F6FC" w:val="clear"/>
          </w:tcPr>
          <w:p>
            <w:r>
              <w:rPr>
                <w:rFonts w:ascii="Arial" w:hAnsi="Arial"/>
                <w:sz w:val="18"/>
              </w:rPr>
              <w:t>&lt;1%</w:t>
            </w:r>
          </w:p>
        </w:tc>
        <w:tc>
          <w:tcPr>
            <w:tcW w:type="dxa" w:w="1505"/>
            <w:shd w:fill="F2F6FC" w:val="clear"/>
          </w:tcPr>
          <w:p>
            <w:r>
              <w:rPr>
                <w:rFonts w:ascii="Arial" w:hAnsi="Arial"/>
                <w:sz w:val="18"/>
              </w:rPr>
              <w:t>NZE aligned</w:t>
            </w:r>
          </w:p>
        </w:tc>
      </w:tr>
      <w:tr>
        <w:tc>
          <w:tcPr>
            <w:tcW w:type="dxa" w:w="1505"/>
          </w:tcPr>
          <w:p>
            <w:r>
              <w:rPr>
                <w:rFonts w:ascii="Arial" w:hAnsi="Arial"/>
                <w:sz w:val="18"/>
              </w:rPr>
              <w:t>Bank Mandiri</w:t>
            </w:r>
          </w:p>
        </w:tc>
        <w:tc>
          <w:tcPr>
            <w:tcW w:type="dxa" w:w="1505"/>
          </w:tcPr>
          <w:p>
            <w:r>
              <w:rPr>
                <w:rFonts w:ascii="Arial" w:hAnsi="Arial"/>
                <w:sz w:val="18"/>
              </w:rPr>
              <w:t>~70,200</w:t>
            </w:r>
          </w:p>
        </w:tc>
        <w:tc>
          <w:tcPr>
            <w:tcW w:type="dxa" w:w="1505"/>
          </w:tcPr>
          <w:p>
            <w:pPr>
              <w:jc w:val="right"/>
            </w:pPr>
            <w:r>
              <w:rPr>
                <w:rFonts w:ascii="Arial" w:hAnsi="Arial"/>
                <w:sz w:val="18"/>
              </w:rPr>
              <w:t>-5.1%</w:t>
            </w:r>
          </w:p>
        </w:tc>
        <w:tc>
          <w:tcPr>
            <w:tcW w:type="dxa" w:w="1505"/>
          </w:tcPr>
          <w:p>
            <w:r>
              <w:rPr>
                <w:rFonts w:ascii="Arial" w:hAnsi="Arial"/>
                <w:sz w:val="18"/>
              </w:rPr>
              <w:t>Solar panel pilot, EV charging stations, building efficiency</w:t>
            </w:r>
          </w:p>
        </w:tc>
        <w:tc>
          <w:tcPr>
            <w:tcW w:type="dxa" w:w="1505"/>
          </w:tcPr>
          <w:p>
            <w:r>
              <w:rPr>
                <w:rFonts w:ascii="Arial" w:hAnsi="Arial"/>
                <w:sz w:val="18"/>
              </w:rPr>
              <w:t>&lt;1%</w:t>
            </w:r>
          </w:p>
        </w:tc>
        <w:tc>
          <w:tcPr>
            <w:tcW w:type="dxa" w:w="1505"/>
          </w:tcPr>
          <w:p>
            <w:pPr>
              <w:jc w:val="right"/>
            </w:pPr>
            <w:r>
              <w:rPr>
                <w:rFonts w:ascii="Arial" w:hAnsi="Arial"/>
                <w:sz w:val="18"/>
              </w:rPr>
              <w:t>2060</w:t>
            </w:r>
          </w:p>
        </w:tc>
      </w:tr>
    </w:tbl>
    <w:p>
      <w:r>
        <w:rPr>
          <w:rFonts w:ascii="Arial" w:hAnsi="Arial"/>
          <w:i/>
          <w:sz w:val="16"/>
        </w:rPr>
        <w:t>Source: Source: Sustainability reports (BRI 2023, DBS 2023, BCA 2024, Bank Mandiri 2023). DBS is best-in-class for absolute reduction rate and renewable energy procurement. BRI is first Indonesian FI to submit SBTi commitment.</w:t>
      </w:r>
    </w:p>
    <w:p/>
    <w:p/>
    <w:p>
      <w:r>
        <w:drawing>
          <wp:inline xmlns:a="http://schemas.openxmlformats.org/drawingml/2006/main" xmlns:pic="http://schemas.openxmlformats.org/drawingml/2006/picture">
            <wp:extent cx="5029200" cy="3522234"/>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522234"/>
                    </a:xfrm>
                    <a:prstGeom prst="rect"/>
                  </pic:spPr>
                </pic:pic>
              </a:graphicData>
            </a:graphic>
          </wp:inline>
        </w:drawing>
      </w:r>
    </w:p>
    <w:p>
      <w:pPr>
        <w:jc w:val="center"/>
      </w:pPr>
      <w:r>
        <w:rPr>
          <w:i/>
          <w:color w:val="666666"/>
          <w:sz w:val="18"/>
        </w:rPr>
        <w:t>Figure 15: Scope 1 Emission Sources (2024)</w:t>
      </w:r>
    </w:p>
    <w:p>
      <w:pPr>
        <w:jc w:val="center"/>
      </w:pPr>
      <w:r>
        <w:rPr>
          <w:i/>
          <w:color w:val="757575"/>
          <w:sz w:val="18"/>
        </w:rPr>
        <w:t>Diesel dominates at 64.7% — primary lever for reduction via solar+battery installations at high-consumption facilities</w:t>
      </w:r>
    </w:p>
    <w:p/>
    <w:p>
      <w:r>
        <w:drawing>
          <wp:inline xmlns:a="http://schemas.openxmlformats.org/drawingml/2006/main" xmlns:pic="http://schemas.openxmlformats.org/drawingml/2006/picture">
            <wp:extent cx="5029200" cy="3332057"/>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332057"/>
                    </a:xfrm>
                    <a:prstGeom prst="rect"/>
                  </pic:spPr>
                </pic:pic>
              </a:graphicData>
            </a:graphic>
          </wp:inline>
        </w:drawing>
      </w:r>
    </w:p>
    <w:p>
      <w:pPr>
        <w:jc w:val="center"/>
      </w:pPr>
      <w:r>
        <w:rPr>
          <w:i/>
          <w:color w:val="666666"/>
          <w:sz w:val="18"/>
        </w:rPr>
        <w:t>Figure 16: Year-over-Year Emission Change by Scope (2023-2024)</w:t>
      </w:r>
    </w:p>
    <w:p>
      <w:pPr>
        <w:jc w:val="center"/>
      </w:pPr>
      <w:r>
        <w:rPr>
          <w:i/>
          <w:color w:val="757575"/>
          <w:sz w:val="18"/>
        </w:rPr>
        <w:t>Scope 1 increased 2.36% while Scope 2 remained flat — contrasts with peer reductions of 3-12%</w:t>
      </w:r>
    </w:p>
    <w:p/>
    <w:p>
      <w:r>
        <w:drawing>
          <wp:inline xmlns:a="http://schemas.openxmlformats.org/drawingml/2006/main" xmlns:pic="http://schemas.openxmlformats.org/drawingml/2006/picture">
            <wp:extent cx="5029200" cy="2867569"/>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2867569"/>
                    </a:xfrm>
                    <a:prstGeom prst="rect"/>
                  </pic:spPr>
                </pic:pic>
              </a:graphicData>
            </a:graphic>
          </wp:inline>
        </w:drawing>
      </w:r>
    </w:p>
    <w:p>
      <w:pPr>
        <w:jc w:val="center"/>
      </w:pPr>
      <w:r>
        <w:rPr>
          <w:i/>
          <w:color w:val="666666"/>
          <w:sz w:val="18"/>
        </w:rPr>
        <w:t>Figure 17: Peer Comparison: Operational Emission Reduction Rates (2023-2024)</w:t>
      </w:r>
    </w:p>
    <w:p>
      <w:pPr>
        <w:jc w:val="center"/>
      </w:pPr>
      <w:r>
        <w:rPr>
          <w:i/>
          <w:color w:val="757575"/>
          <w:sz w:val="18"/>
        </w:rPr>
        <w:t>Institution's +0.19% increase lags all peers — DBS leads at -12% through RE100 and efficiency programs</w:t>
      </w:r>
    </w:p>
    <w:p/>
    <w:p>
      <w:r>
        <w:drawing>
          <wp:inline xmlns:a="http://schemas.openxmlformats.org/drawingml/2006/main" xmlns:pic="http://schemas.openxmlformats.org/drawingml/2006/picture">
            <wp:extent cx="5029200" cy="3332057"/>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332057"/>
                    </a:xfrm>
                    <a:prstGeom prst="rect"/>
                  </pic:spPr>
                </pic:pic>
              </a:graphicData>
            </a:graphic>
          </wp:inline>
        </w:drawing>
      </w:r>
    </w:p>
    <w:p>
      <w:pPr>
        <w:jc w:val="center"/>
      </w:pPr>
      <w:r>
        <w:rPr>
          <w:i/>
          <w:color w:val="666666"/>
          <w:sz w:val="18"/>
        </w:rPr>
        <w:t>Figure 18: Emission Intensity per Employee (2023-2024)</w:t>
      </w:r>
    </w:p>
    <w:p>
      <w:pPr>
        <w:jc w:val="center"/>
      </w:pPr>
      <w:r>
        <w:rPr>
          <w:i/>
          <w:color w:val="757575"/>
          <w:sz w:val="18"/>
        </w:rPr>
        <w:t>Intensity improved 1.8% to 1.92 tCO₂e/FTE, but remains above DBS benchmark of ~1.2 tCO₂e/FTE</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emission profile reveals three structural issues: (1) high diesel dependency (64.7% of Scope 1) indicates reliance on backup generators, likely due to grid instability or lack of renewable alternatives; (2) minimal renewable energy procurement (&lt;1%) despite Scope 2 representing 92.9% of operational emissions; (3) absence of formal reduction targets or documented initiatives prevents systematic decarbonization. The 2.36% increase in Scope 1 emissions contradicts the regional trend, where Indonesian peer banks achieved 3-12% reductions through targeted programs.</w:t>
            </w:r>
          </w:p>
          <w:p>
            <w:r>
              <w:rPr>
                <w:b/>
                <w:sz w:val="20"/>
              </w:rPr>
              <w:t>Root Causes:</w:t>
            </w:r>
          </w:p>
          <w:p>
            <w:r>
              <w:rPr>
                <w:sz w:val="18"/>
              </w:rPr>
              <w:t>• Diesel-powered backup generators account for 2,203.2 tCO₂e (64.7% of Scope 1), with no documented solar+battery alternative deployment</w:t>
            </w:r>
          </w:p>
          <w:p>
            <w:r>
              <w:rPr>
                <w:sz w:val="18"/>
              </w:rPr>
              <w:t>• Zero renewable energy procurement via RECs or PPAs, despite Scope 2 emissions of 44,613.9 tCO₂e representing 92.9% of operational footprint</w:t>
            </w:r>
          </w:p>
          <w:p>
            <w:r>
              <w:rPr>
                <w:sz w:val="18"/>
              </w:rPr>
              <w:t>• No structured reduction initiative inventory or attribution system, preventing identification of high-impact interventions</w:t>
            </w:r>
          </w:p>
          <w:p>
            <w:r>
              <w:rPr>
                <w:sz w:val="18"/>
              </w:rPr>
              <w:t>• Absence of science-based targets (SBTi) or net-zero commitment, unlike peers BRI (SBTi submitted), DBS (2050 net-zero), and Mandiri (2060 net-zero)</w:t>
            </w:r>
          </w:p>
          <w:p>
            <w:r>
              <w:rPr>
                <w:b/>
                <w:sz w:val="20"/>
              </w:rPr>
              <w:t>Risk Implications:</w:t>
            </w:r>
          </w:p>
          <w:p>
            <w:r>
              <w:rPr>
                <w:sz w:val="18"/>
              </w:rPr>
              <w:t>• Regulatory risk: OJK POJK 51/2017 and SEOJK 16/2021 increasingly expect quantitative emission reduction targets aligned with Indonesia's NDC; non-compliance may trigger supervisory action</w:t>
            </w:r>
          </w:p>
          <w:p>
            <w:r>
              <w:rPr>
                <w:sz w:val="18"/>
              </w:rPr>
              <w:t>• Reputational risk: ESG rating agencies (MSCI, Sustainalytics) penalize absence of climate targets; current gap vs. peers may result in rating downgrades affecting cost of capital</w:t>
            </w:r>
          </w:p>
          <w:p>
            <w:r>
              <w:rPr>
                <w:sz w:val="18"/>
              </w:rPr>
              <w:t>• Financial risk: Diesel price volatility exposes the institution to energy cost fluctuations; peers with solar+battery installations have locked in lower, stable energy costs</w:t>
            </w:r>
          </w:p>
          <w:p>
            <w:r>
              <w:rPr>
                <w:sz w:val="18"/>
              </w:rPr>
              <w:t>• Competitive risk: Institutional investors increasingly screen for SBTi-validated targets; absence may limit access to green bonds and sustainability-linked loans</w:t>
            </w:r>
          </w:p>
        </w:tc>
      </w:tr>
    </w:tbl>
    <w:p/>
    <w:p/>
    <w:p>
      <w:r>
        <w:rPr>
          <w:b/>
          <w:color w:val="2E7D32"/>
          <w:sz w:val="24"/>
        </w:rPr>
        <w:t>⚡ Priority Actions</w:t>
      </w:r>
    </w:p>
    <w:p>
      <w:r>
        <w:rPr>
          <w:b/>
          <w:sz w:val="22"/>
        </w:rPr>
        <w:t>🔴 1. Submit SBTi commitment letter and establish science-based emission reduction targets (50% operational reduction by 2030 vs. 2024 baseline, net-zero by 2050)</w:t>
      </w:r>
      <w:r>
        <w:rPr>
          <w:sz w:val="22"/>
        </w:rPr>
        <w:t xml:space="preserve"> (Q3 2025)</w:t>
      </w:r>
    </w:p>
    <w:p>
      <w:pPr>
        <w:spacing w:after="160" w:line="276" w:lineRule="auto"/>
      </w:pPr>
      <w:r>
        <w:t xml:space="preserve">    → Expected: Addresses material disclosure gap for IFRS S2, ESRS E1-4, and OJK PSPK; enhances ESG ratings; aligns with peer trajectory (BRI first Indonesian FI to submit SBTi)</w:t>
      </w:r>
    </w:p>
    <w:p>
      <w:pPr>
        <w:spacing w:after="160" w:line="276" w:lineRule="auto"/>
      </w:pPr>
      <w:r>
        <w:rPr>
          <w:rFonts w:ascii="Arial" w:hAnsi="Arial"/>
          <w:i/>
          <w:color w:val="646464"/>
          <w:sz w:val="18"/>
        </w:rPr>
        <w:t xml:space="preserve">    → Ref: BRI submitted Indonesia's first SBTi commitment with portfolio temperature target of 1.75°C by 2040; DBS achieved MSCI AA rating with validated SBTi targets</w:t>
      </w:r>
    </w:p>
    <w:p>
      <w:r>
        <w:rPr>
          <w:b/>
          <w:sz w:val="22"/>
        </w:rPr>
        <w:t>🔴 2. Install solar PV + battery storage at top 10 diesel-consuming facilities (FAC-0197 through FAC-0208), targeting 40-50% diesel displacement</w:t>
      </w:r>
      <w:r>
        <w:rPr>
          <w:sz w:val="22"/>
        </w:rPr>
        <w:t xml:space="preserve"> (Q4 2025 (feasibility study); Q2-Q4 2026 (phased installation))</w:t>
      </w:r>
    </w:p>
    <w:p>
      <w:pPr>
        <w:spacing w:after="160" w:line="276" w:lineRule="auto"/>
      </w:pPr>
      <w:r>
        <w:t xml:space="preserve">    → Expected: Reduce Scope 1 diesel emissions by 410-512 tCO₂e annually (12-15% of total Scope 1); eliminate 160,000-200,000 liters of diesel consumption; achieve payback in 5-7 years</w:t>
      </w:r>
    </w:p>
    <w:p>
      <w:pPr>
        <w:spacing w:after="160" w:line="276" w:lineRule="auto"/>
      </w:pPr>
      <w:r>
        <w:rPr>
          <w:rFonts w:ascii="Arial" w:hAnsi="Arial"/>
          <w:i/>
          <w:color w:val="646464"/>
          <w:sz w:val="18"/>
        </w:rPr>
        <w:t xml:space="preserve">    → Ref: BRI achieved 19.49% electricity savings at BRILiaN Tower through solar panel installation and green building design (Gold GBCI certification)</w:t>
      </w:r>
    </w:p>
    <w:p>
      <w:r>
        <w:rPr>
          <w:b/>
          <w:sz w:val="22"/>
        </w:rPr>
        <w:t>🔴 3. Procure renewable energy certificates (RECs) or establish power purchase agreements (PPAs) to achieve 20% renewable electricity by 2027, progressing toward RE100 membership</w:t>
      </w:r>
      <w:r>
        <w:rPr>
          <w:sz w:val="22"/>
        </w:rPr>
        <w:t xml:space="preserve"> (Q1 2026 (pilot 5-10%); Q4 2026 (scale to 20%))</w:t>
      </w:r>
    </w:p>
    <w:p>
      <w:pPr>
        <w:spacing w:after="160" w:line="276" w:lineRule="auto"/>
      </w:pPr>
      <w:r>
        <w:t xml:space="preserve">    → Expected: Reduce Scope 2 market-based emissions by 8,922 tCO₂e annually at 20% renewable procurement; position for RE100 membership (100% renewable commitment)</w:t>
      </w:r>
    </w:p>
    <w:p>
      <w:pPr>
        <w:spacing w:after="160" w:line="276" w:lineRule="auto"/>
      </w:pPr>
      <w:r>
        <w:rPr>
          <w:rFonts w:ascii="Arial" w:hAnsi="Arial"/>
          <w:i/>
          <w:color w:val="646464"/>
          <w:sz w:val="18"/>
        </w:rPr>
        <w:t xml:space="preserve">    → Ref: DBS Group achieved 62% renewable energy procurement through RE100 membership, contributing to 12% year-over-year emission reduction</w:t>
      </w:r>
    </w:p>
    <w:p>
      <w:r>
        <w:rPr>
          <w:b/>
          <w:sz w:val="22"/>
        </w:rPr>
        <w:t>🟡 4. Deploy automated energy management system (auto-shutdown for HVAC, lighting, IT equipment during non-business hours) across all branches and offices</w:t>
      </w:r>
      <w:r>
        <w:rPr>
          <w:sz w:val="22"/>
        </w:rPr>
        <w:t xml:space="preserve"> (Q3 2025 (pilot 10 branches); Q1 2026 (full deployment))</w:t>
      </w:r>
    </w:p>
    <w:p>
      <w:pPr>
        <w:spacing w:after="160" w:line="276" w:lineRule="auto"/>
      </w:pPr>
      <w:r>
        <w:t xml:space="preserve">    → Expected: Reduce Scope 2 emissions by 5-8% (2,231-3,569 tCO₂e annually); achieve payback in 2-3 years through electricity cost savings</w:t>
      </w:r>
    </w:p>
    <w:p>
      <w:pPr>
        <w:spacing w:after="160" w:line="276" w:lineRule="auto"/>
      </w:pPr>
      <w:r>
        <w:rPr>
          <w:rFonts w:ascii="Arial" w:hAnsi="Arial"/>
          <w:i/>
          <w:color w:val="646464"/>
          <w:sz w:val="18"/>
        </w:rPr>
        <w:t xml:space="preserve">    → Ref: BRI's Kaseya auto-shutdown program contributed to 7.1% reduction in energy intensity per employee year-over-year</w:t>
      </w:r>
    </w:p>
    <w:p/>
    <w:p>
      <w:r>
        <w:rPr>
          <w:i/>
          <w:color w:val="3D6094"/>
          <w:sz w:val="18"/>
        </w:rPr>
        <w:t>Framework references: GRI 305-5a — GHG emissions reduced as a direct result of reduction initiatives; GRI 305-5b — Gases included in the calculation; GRI 305-5c — Base year or baseline; GRI 305-5d — Scopes in which reductions took place; GRI 305-5e — Standards, methodologies, assumptions used; IFRS S2 Paragraph 33 — Quantitative and qualitative climate-related targets; IFRS S2 Paragraph 34 — Information about the target (metric, objective, time horizon); IFRS S2 Paragraph 35 — Information about how the target will be achieved; IFRS S2 Paragraph 36 — Progress toward achieving targets; ESRS E1-4 DR E1-4 — GHG emission reduction targets; ESRS E1-4 DR E1-4 — Decarbonization levers and key actions; OJK PSPK — Target Pengurangan Emisi GRK (Emission Reduction Targets)</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Year-over-year percentage changes are calculated using 2023 as the baseline year. The institution has not designated a formal base year for long-term target setting.</w:t>
      </w:r>
    </w:p>
    <w:p>
      <w:pPr>
        <w:spacing w:after="160" w:line="276" w:lineRule="auto"/>
      </w:pPr>
      <w:r>
        <w:rPr>
          <w:rFonts w:ascii="Arial" w:hAnsi="Arial"/>
          <w:i/>
          <w:color w:val="646464"/>
          <w:sz w:val="18"/>
        </w:rPr>
        <w:t>Scope 2 market-based emissions (44,612.518 tCO₂e) are nearly identical to location-based emissions (44,613.876 tCO₂e), indicating minimal procurement of renewable energy certificates or power purchase agreements.</w:t>
      </w:r>
    </w:p>
    <w:p>
      <w:pPr>
        <w:spacing w:after="160" w:line="276" w:lineRule="auto"/>
      </w:pPr>
      <w:r>
        <w:rPr>
          <w:rFonts w:ascii="Arial" w:hAnsi="Arial"/>
          <w:i/>
          <w:color w:val="646464"/>
          <w:sz w:val="18"/>
        </w:rPr>
        <w:t>Peer benchmark data sourced from publicly available sustainability reports: BRI Sustainability Report 2023, DBS Group Sustainability Report 2023, BCA Sustainability Report 2024, Bank Mandiri Sustainability Report 2023.</w:t>
      </w:r>
    </w:p>
    <w:p>
      <w:pPr>
        <w:spacing w:after="160" w:line="276" w:lineRule="auto"/>
      </w:pPr>
      <w:r>
        <w:rPr>
          <w:rFonts w:ascii="Arial" w:hAnsi="Arial"/>
          <w:i/>
          <w:color w:val="646464"/>
          <w:sz w:val="18"/>
        </w:rPr>
        <w:t>The institution's average PCAF data quality score of 3.36 indicates reliance on sector-average emission factors for financed emissions (Scope 3 Category 15). This does not affect Scope 1 and Scope 2 operational emissions reported in this section.</w:t>
      </w:r>
    </w:p>
    <w:p>
      <w:r>
        <w:br w:type="page"/>
      </w:r>
    </w:p>
    <w:p>
      <w:pPr>
        <w:pStyle w:val="Heading1"/>
        <w:keepNext/>
        <w:spacing w:before="480" w:after="240"/>
      </w:pPr>
      <w:r>
        <w:rPr>
          <w:rFonts w:ascii="Arial" w:hAnsi="Arial"/>
          <w:b/>
          <w:color w:val="1B3A6B"/>
          <w:sz w:val="36"/>
        </w:rPr>
        <w:t>Social Performance</w:t>
      </w:r>
    </w:p>
    <w:p>
      <w:pPr>
        <w:pStyle w:val="Heading2"/>
        <w:keepNext/>
        <w:spacing w:before="360" w:after="160"/>
      </w:pPr>
      <w:r>
        <w:rPr>
          <w:rFonts w:ascii="Arial" w:hAnsi="Arial"/>
          <w:b/>
          <w:color w:val="3D6094"/>
          <w:sz w:val="28"/>
        </w:rPr>
        <w:t>2.1 Workforce &amp; Human Capital</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24,997</w:t>
            </w:r>
            <w:r>
              <w:rPr>
                <w:color w:val="757575"/>
                <w:sz w:val="18"/>
              </w:rPr>
              <w:t xml:space="preserve"> FTE</w:t>
            </w:r>
            <w:r>
              <w:rPr>
                <w:b/>
                <w:color w:val="C62828"/>
                <w:sz w:val="20"/>
              </w:rPr>
              <w:br/>
              <w:t>+2.03%</w:t>
            </w:r>
          </w:p>
        </w:tc>
        <w:tc>
          <w:tcPr>
            <w:tcW w:type="dxa" w:w="2257"/>
            <w:shd w:fill="F2F6FA" w:val="clear"/>
          </w:tcPr>
          <w:p>
            <w:pPr>
              <w:jc w:val="center"/>
            </w:pPr>
            <w:r>
              <w:rPr>
                <w:b/>
                <w:color w:val="1B3A6B"/>
                <w:sz w:val="36"/>
              </w:rPr>
              <w:t>42.32%</w:t>
            </w:r>
            <w:r>
              <w:rPr>
                <w:color w:val="757575"/>
                <w:sz w:val="18"/>
              </w:rPr>
              <w:t xml:space="preserve"> %</w:t>
            </w:r>
            <w:r>
              <w:rPr>
                <w:b/>
                <w:color w:val="C62828"/>
                <w:sz w:val="20"/>
              </w:rPr>
              <w:br/>
              <w:t>-3.88pp</w:t>
            </w:r>
          </w:p>
        </w:tc>
        <w:tc>
          <w:tcPr>
            <w:tcW w:type="dxa" w:w="2257"/>
            <w:shd w:fill="F2F6FA" w:val="clear"/>
          </w:tcPr>
          <w:p>
            <w:pPr>
              <w:jc w:val="center"/>
            </w:pPr>
            <w:r>
              <w:rPr>
                <w:b/>
                <w:color w:val="1B3A6B"/>
                <w:sz w:val="36"/>
              </w:rPr>
              <w:t>49.3</w:t>
            </w:r>
            <w:r>
              <w:rPr>
                <w:color w:val="757575"/>
                <w:sz w:val="18"/>
              </w:rPr>
              <w:t xml:space="preserve"> hours</w:t>
            </w:r>
            <w:r>
              <w:rPr>
                <w:b/>
                <w:color w:val="C62828"/>
                <w:sz w:val="20"/>
              </w:rPr>
              <w:br/>
              <w:t>-23.14%</w:t>
            </w:r>
          </w:p>
        </w:tc>
        <w:tc>
          <w:tcPr>
            <w:tcW w:type="dxa" w:w="2257"/>
            <w:shd w:fill="F2F6FA" w:val="clear"/>
          </w:tcPr>
          <w:p>
            <w:pPr>
              <w:jc w:val="center"/>
            </w:pPr>
            <w:r>
              <w:rPr>
                <w:b/>
                <w:color w:val="1B3A6B"/>
                <w:sz w:val="36"/>
              </w:rPr>
              <w:t>8.45%</w:t>
            </w:r>
            <w:r>
              <w:rPr>
                <w:color w:val="757575"/>
                <w:sz w:val="18"/>
              </w:rPr>
              <w:t xml:space="preserve"> %</w:t>
            </w:r>
            <w:r>
              <w:rPr>
                <w:b/>
                <w:color w:val="C62828"/>
                <w:sz w:val="20"/>
              </w:rPr>
              <w:br/>
              <w:t>-40.66%</w:t>
            </w:r>
          </w:p>
        </w:tc>
      </w:tr>
      <w:tr>
        <w:tc>
          <w:tcPr>
            <w:tcW w:type="dxa" w:w="2257"/>
            <w:shd w:fill="F2F6FA" w:val="clear"/>
          </w:tcPr>
          <w:p>
            <w:pPr>
              <w:jc w:val="center"/>
            </w:pPr>
            <w:r>
              <w:rPr>
                <w:color w:val="757575"/>
                <w:sz w:val="16"/>
              </w:rPr>
              <w:t>Total Workforce</w:t>
            </w:r>
          </w:p>
        </w:tc>
        <w:tc>
          <w:tcPr>
            <w:tcW w:type="dxa" w:w="2257"/>
            <w:shd w:fill="F2F6FA" w:val="clear"/>
          </w:tcPr>
          <w:p>
            <w:pPr>
              <w:jc w:val="center"/>
            </w:pPr>
            <w:r>
              <w:rPr>
                <w:color w:val="757575"/>
                <w:sz w:val="16"/>
              </w:rPr>
              <w:t>Female Representation</w:t>
            </w:r>
          </w:p>
        </w:tc>
        <w:tc>
          <w:tcPr>
            <w:tcW w:type="dxa" w:w="2257"/>
            <w:shd w:fill="F2F6FA" w:val="clear"/>
          </w:tcPr>
          <w:p>
            <w:pPr>
              <w:jc w:val="center"/>
            </w:pPr>
            <w:r>
              <w:rPr>
                <w:color w:val="757575"/>
                <w:sz w:val="16"/>
              </w:rPr>
              <w:t>Training Hours per FTE</w:t>
            </w:r>
          </w:p>
        </w:tc>
        <w:tc>
          <w:tcPr>
            <w:tcW w:type="dxa" w:w="2257"/>
            <w:shd w:fill="F2F6FA" w:val="clear"/>
          </w:tcPr>
          <w:p>
            <w:pPr>
              <w:jc w:val="center"/>
            </w:pPr>
            <w:r>
              <w:rPr>
                <w:color w:val="757575"/>
                <w:sz w:val="16"/>
              </w:rPr>
              <w:t>Voluntary Turnover</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Training hours fell 23% to 49.3 hrs while peers maintain 60+ hrs — widening capability gap threatens climate transition readiness</w:t>
            </w:r>
          </w:p>
          <w:p>
            <w:r>
              <w:rPr>
                <w:sz w:val="20"/>
              </w:rPr>
              <w:t>The institution's training investment declined significantly while workforce grew 2%, indicating reduced per-employee development spend. This occurs as peers (BRI 62.4 hrs, OCBC 62.6 hrs) maintain intensive ESG upskilling programs. Simultaneously, female representation dropped 3.88pp to 42.32% and women in management declined to 26.67%, both substantially below BCA (61.6% overall) and DBS (38% management) benchmarks. These dual trends create workforce capability and diversity gaps that may impede climate strategy execution and ESG rating performance.</w:t>
            </w:r>
          </w:p>
        </w:tc>
      </w:tr>
    </w:tbl>
    <w:p/>
    <w:p>
      <w:pPr>
        <w:pStyle w:val="Heading3"/>
        <w:keepNext/>
      </w:pPr>
      <w:r>
        <w:rPr>
          <w:rFonts w:ascii="Arial" w:hAnsi="Arial"/>
          <w:b/>
          <w:color w:val="4A7AB5"/>
          <w:sz w:val="24"/>
        </w:rPr>
        <w:t>1. Workforce Overview (GRI 2-7)</w:t>
      </w:r>
    </w:p>
    <w:p>
      <w:pPr>
        <w:spacing w:after="160" w:line="276" w:lineRule="auto"/>
      </w:pPr>
      <w:r>
        <w:rPr>
          <w:rFonts w:ascii="Arial" w:hAnsi="Arial"/>
          <w:sz w:val="22"/>
        </w:rPr>
        <w:t>As of December 31, 2024, the institution employed 24,997 full-time equivalent (FTE) employees, representing a 2.03% increase from 24,500 employees in 2023. The workforce comprised 10,579 female employees (42.32%) and 14,418 male employees (57.68%). This headcount growth reflects the institution's continued operational expansion and strategic hiring initiatives during the reporting period.</w:t>
      </w:r>
    </w:p>
    <w:p>
      <w:pPr>
        <w:spacing w:after="160" w:line="276" w:lineRule="auto"/>
      </w:pPr>
      <w:r>
        <w:rPr>
          <w:rFonts w:ascii="Arial" w:hAnsi="Arial"/>
          <w:sz w:val="22"/>
        </w:rPr>
        <w:t>The year-over-year workforce composition shows a decline in female representation from 46.2% in 2023 to 42.32% in 2024, representing a decrease of 3.88 percentage points. This shift occurred despite absolute headcount growth, indicating that male hiring outpaced female hiring during the period. The institution added 497 net employees while female headcount decreased by 740 employees and male headcount increased by 1,237 employees.</w:t>
      </w:r>
    </w:p>
    <w:p>
      <w:pPr>
        <w:pStyle w:val="Heading3"/>
        <w:keepNext/>
      </w:pPr>
      <w:r>
        <w:rPr>
          <w:rFonts w:ascii="Arial" w:hAnsi="Arial"/>
          <w:b/>
          <w:color w:val="4A7AB5"/>
          <w:sz w:val="24"/>
        </w:rPr>
        <w:t>2. Employment (GRI 401-1)</w:t>
      </w:r>
    </w:p>
    <w:p>
      <w:pPr>
        <w:spacing w:after="160" w:line="276" w:lineRule="auto"/>
      </w:pPr>
      <w:r>
        <w:rPr>
          <w:rFonts w:ascii="Arial" w:hAnsi="Arial"/>
          <w:sz w:val="22"/>
        </w:rPr>
        <w:t>The institution hired 2,595 new employees during 2024, representing a hiring rate of 10.38% relative to total workforce. This reflects a decrease from 3,169 new hires (12.93% hiring rate) in 2023. The voluntary turnover rate improved significantly to 8.45% in 2024, down from 14.24% in 2023, representing a 40.66% reduction in turnover rate year-over-year. This substantial improvement in employee retention indicates enhanced workforce stability and effectiveness of retention strategies implemented during the reporting period.</w:t>
      </w:r>
    </w:p>
    <w:p>
      <w:pPr>
        <w:pStyle w:val="Heading3"/>
        <w:keepNext/>
      </w:pPr>
      <w:r>
        <w:rPr>
          <w:rFonts w:ascii="Arial" w:hAnsi="Arial"/>
          <w:b/>
          <w:color w:val="4A7AB5"/>
          <w:sz w:val="24"/>
        </w:rPr>
        <w:t>3. Training &amp; Education (GRI 404-1)</w:t>
      </w:r>
    </w:p>
    <w:p>
      <w:pPr>
        <w:spacing w:after="160" w:line="276" w:lineRule="auto"/>
      </w:pPr>
      <w:r>
        <w:rPr>
          <w:rFonts w:ascii="Arial" w:hAnsi="Arial"/>
          <w:sz w:val="22"/>
        </w:rPr>
        <w:t>The institution provided an average of 49.3 training hours per FTE during 2024, compared to 64.14 hours per FTE in 2023. This represents a 23.14% decrease in training hours year-over-year. The reduction in training intensity occurred despite workforce growth, indicating a shift in learning and development resource allocation or delivery methodology during the reporting period.</w:t>
      </w:r>
    </w:p>
    <w:p>
      <w:pPr>
        <w:pStyle w:val="Heading3"/>
        <w:keepNext/>
      </w:pPr>
      <w:r>
        <w:rPr>
          <w:rFonts w:ascii="Arial" w:hAnsi="Arial"/>
          <w:b/>
          <w:color w:val="4A7AB5"/>
          <w:sz w:val="24"/>
        </w:rPr>
        <w:t>4. Diversity &amp; Equal Opportunity (GRI 405-1)</w:t>
      </w:r>
    </w:p>
    <w:p>
      <w:pPr>
        <w:spacing w:after="160" w:line="276" w:lineRule="auto"/>
      </w:pPr>
      <w:r>
        <w:rPr>
          <w:rFonts w:ascii="Arial" w:hAnsi="Arial"/>
          <w:sz w:val="22"/>
        </w:rPr>
        <w:t>Female representation in management positions stood at 26.67% as of December 31, 2024, compared to 28.45% in 2023, representing a decline of 1.78 percentage points. This decrease in women's management representation occurred concurrently with the overall decline in female workforce participation. The institution's management diversity metrics indicate continued underrepresentation of women in leadership roles relative to their overall workforce presence.</w:t>
      </w:r>
    </w:p>
    <w:p>
      <w:pPr>
        <w:pStyle w:val="Heading3"/>
        <w:keepNext/>
      </w:pPr>
      <w:r>
        <w:rPr>
          <w:rFonts w:ascii="Arial" w:hAnsi="Arial"/>
          <w:b/>
          <w:color w:val="4A7AB5"/>
          <w:sz w:val="24"/>
        </w:rPr>
        <w:t>5. Non-Discrimination (GRI 406-1)</w:t>
      </w:r>
    </w:p>
    <w:p>
      <w:pPr>
        <w:spacing w:after="160" w:line="276" w:lineRule="auto"/>
      </w:pPr>
      <w:r>
        <w:rPr>
          <w:rFonts w:ascii="Arial" w:hAnsi="Arial"/>
          <w:sz w:val="22"/>
        </w:rPr>
        <w:t>The institution recorded 2 discrimination cases during the 2024 reporting period, compared to 3 cases in 2023. All reported cases were investigated through the institution's established grievance mechanisms and appropriate remediation measures were implemented in accordance with internal policies and applicable labor regulations. The institution maintains zero-tolerance policies for discrimination and continues to strengthen awareness programs and reporting channels to ensure a respectful and inclusive workplace environment.</w:t>
      </w:r>
    </w:p>
    <w:p>
      <w:r>
        <w:rPr>
          <w:rFonts w:ascii="Arial" w:hAnsi="Arial"/>
          <w:b/>
          <w:sz w:val="20"/>
        </w:rPr>
        <w:t>Table 42: Table 2.1.1: Workforce Composition by Gender</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Total Employees (FTE)</w:t>
            </w:r>
          </w:p>
        </w:tc>
        <w:tc>
          <w:tcPr>
            <w:tcW w:type="dxa" w:w="2257"/>
          </w:tcPr>
          <w:p>
            <w:pPr>
              <w:jc w:val="right"/>
            </w:pPr>
            <w:r>
              <w:rPr>
                <w:rFonts w:ascii="Arial" w:hAnsi="Arial"/>
                <w:sz w:val="18"/>
              </w:rPr>
              <w:t>24,997</w:t>
            </w:r>
          </w:p>
        </w:tc>
        <w:tc>
          <w:tcPr>
            <w:tcW w:type="dxa" w:w="2257"/>
          </w:tcPr>
          <w:p>
            <w:pPr>
              <w:jc w:val="right"/>
            </w:pPr>
            <w:r>
              <w:rPr>
                <w:rFonts w:ascii="Arial" w:hAnsi="Arial"/>
                <w:sz w:val="18"/>
              </w:rPr>
              <w:t>24,500</w:t>
            </w:r>
          </w:p>
        </w:tc>
        <w:tc>
          <w:tcPr>
            <w:tcW w:type="dxa" w:w="2257"/>
          </w:tcPr>
          <w:p>
            <w:r>
              <w:rPr>
                <w:rFonts w:ascii="Arial" w:hAnsi="Arial"/>
                <w:sz w:val="18"/>
              </w:rPr>
              <w:t>+497 (+2.03%)</w:t>
            </w:r>
          </w:p>
        </w:tc>
      </w:tr>
      <w:tr>
        <w:tc>
          <w:tcPr>
            <w:tcW w:type="dxa" w:w="2257"/>
            <w:shd w:fill="F2F6FC" w:val="clear"/>
          </w:tcPr>
          <w:p>
            <w:r>
              <w:rPr>
                <w:rFonts w:ascii="Arial" w:hAnsi="Arial"/>
                <w:sz w:val="18"/>
              </w:rPr>
              <w:t>Female Employees</w:t>
            </w:r>
          </w:p>
        </w:tc>
        <w:tc>
          <w:tcPr>
            <w:tcW w:type="dxa" w:w="2257"/>
            <w:shd w:fill="F2F6FC" w:val="clear"/>
          </w:tcPr>
          <w:p>
            <w:pPr>
              <w:jc w:val="right"/>
            </w:pPr>
            <w:r>
              <w:rPr>
                <w:rFonts w:ascii="Arial" w:hAnsi="Arial"/>
                <w:sz w:val="18"/>
              </w:rPr>
              <w:t>10,579</w:t>
            </w:r>
          </w:p>
        </w:tc>
        <w:tc>
          <w:tcPr>
            <w:tcW w:type="dxa" w:w="2257"/>
            <w:shd w:fill="F2F6FC" w:val="clear"/>
          </w:tcPr>
          <w:p>
            <w:pPr>
              <w:jc w:val="right"/>
            </w:pPr>
            <w:r>
              <w:rPr>
                <w:rFonts w:ascii="Arial" w:hAnsi="Arial"/>
                <w:sz w:val="18"/>
              </w:rPr>
              <w:t>11,319</w:t>
            </w:r>
          </w:p>
        </w:tc>
        <w:tc>
          <w:tcPr>
            <w:tcW w:type="dxa" w:w="2257"/>
            <w:shd w:fill="F2F6FC" w:val="clear"/>
          </w:tcPr>
          <w:p>
            <w:r>
              <w:rPr>
                <w:rFonts w:ascii="Arial" w:hAnsi="Arial"/>
                <w:sz w:val="18"/>
              </w:rPr>
              <w:t>-740 (-6.54%)</w:t>
            </w:r>
          </w:p>
        </w:tc>
      </w:tr>
      <w:tr>
        <w:tc>
          <w:tcPr>
            <w:tcW w:type="dxa" w:w="2257"/>
          </w:tcPr>
          <w:p>
            <w:r>
              <w:rPr>
                <w:rFonts w:ascii="Arial" w:hAnsi="Arial"/>
                <w:sz w:val="18"/>
              </w:rPr>
              <w:t>Male Employees</w:t>
            </w:r>
          </w:p>
        </w:tc>
        <w:tc>
          <w:tcPr>
            <w:tcW w:type="dxa" w:w="2257"/>
          </w:tcPr>
          <w:p>
            <w:pPr>
              <w:jc w:val="right"/>
            </w:pPr>
            <w:r>
              <w:rPr>
                <w:rFonts w:ascii="Arial" w:hAnsi="Arial"/>
                <w:sz w:val="18"/>
              </w:rPr>
              <w:t>14,418</w:t>
            </w:r>
          </w:p>
        </w:tc>
        <w:tc>
          <w:tcPr>
            <w:tcW w:type="dxa" w:w="2257"/>
          </w:tcPr>
          <w:p>
            <w:pPr>
              <w:jc w:val="right"/>
            </w:pPr>
            <w:r>
              <w:rPr>
                <w:rFonts w:ascii="Arial" w:hAnsi="Arial"/>
                <w:sz w:val="18"/>
              </w:rPr>
              <w:t>13,181</w:t>
            </w:r>
          </w:p>
        </w:tc>
        <w:tc>
          <w:tcPr>
            <w:tcW w:type="dxa" w:w="2257"/>
          </w:tcPr>
          <w:p>
            <w:r>
              <w:rPr>
                <w:rFonts w:ascii="Arial" w:hAnsi="Arial"/>
                <w:sz w:val="18"/>
              </w:rPr>
              <w:t>+1,237 (+9.38%)</w:t>
            </w:r>
          </w:p>
        </w:tc>
      </w:tr>
      <w:tr>
        <w:tc>
          <w:tcPr>
            <w:tcW w:type="dxa" w:w="2257"/>
            <w:shd w:fill="F2F6FC" w:val="clear"/>
          </w:tcPr>
          <w:p>
            <w:r>
              <w:rPr>
                <w:rFonts w:ascii="Arial" w:hAnsi="Arial"/>
                <w:sz w:val="18"/>
              </w:rPr>
              <w:t>Female Representation (%)</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w:t>
            </w:r>
          </w:p>
        </w:tc>
        <w:tc>
          <w:tcPr>
            <w:tcW w:type="dxa" w:w="2257"/>
            <w:shd w:fill="F2F6FC" w:val="clear"/>
          </w:tcPr>
          <w:p>
            <w:r>
              <w:rPr>
                <w:rFonts w:ascii="Arial" w:hAnsi="Arial"/>
                <w:sz w:val="18"/>
              </w:rPr>
              <w:t>-3.88pp</w:t>
            </w:r>
          </w:p>
        </w:tc>
      </w:tr>
      <w:tr>
        <w:tc>
          <w:tcPr>
            <w:tcW w:type="dxa" w:w="2257"/>
          </w:tcPr>
          <w:p>
            <w:r>
              <w:rPr>
                <w:rFonts w:ascii="Arial" w:hAnsi="Arial"/>
                <w:sz w:val="18"/>
              </w:rPr>
              <w:t>Male Representation (%)</w:t>
            </w:r>
          </w:p>
        </w:tc>
        <w:tc>
          <w:tcPr>
            <w:tcW w:type="dxa" w:w="2257"/>
          </w:tcPr>
          <w:p>
            <w:pPr>
              <w:jc w:val="right"/>
            </w:pPr>
            <w:r>
              <w:rPr>
                <w:rFonts w:ascii="Arial" w:hAnsi="Arial"/>
                <w:sz w:val="18"/>
              </w:rPr>
              <w:t>57.68%</w:t>
            </w:r>
          </w:p>
        </w:tc>
        <w:tc>
          <w:tcPr>
            <w:tcW w:type="dxa" w:w="2257"/>
          </w:tcPr>
          <w:p>
            <w:pPr>
              <w:jc w:val="right"/>
            </w:pPr>
            <w:r>
              <w:rPr>
                <w:rFonts w:ascii="Arial" w:hAnsi="Arial"/>
                <w:sz w:val="18"/>
              </w:rPr>
              <w:t>53.8%</w:t>
            </w:r>
          </w:p>
        </w:tc>
        <w:tc>
          <w:tcPr>
            <w:tcW w:type="dxa" w:w="2257"/>
          </w:tcPr>
          <w:p>
            <w:r>
              <w:rPr>
                <w:rFonts w:ascii="Arial" w:hAnsi="Arial"/>
                <w:sz w:val="18"/>
              </w:rPr>
              <w:t>+3.88pp</w:t>
            </w:r>
          </w:p>
        </w:tc>
      </w:tr>
    </w:tbl>
    <w:p>
      <w:r>
        <w:rPr>
          <w:rFonts w:ascii="Arial" w:hAnsi="Arial"/>
          <w:i/>
          <w:sz w:val="16"/>
        </w:rPr>
        <w:t>Source: Source: Institution HR system. GRI 2-7 disclosure.</w:t>
      </w:r>
    </w:p>
    <w:p/>
    <w:p>
      <w:r>
        <w:rPr>
          <w:rFonts w:ascii="Arial" w:hAnsi="Arial"/>
          <w:b/>
          <w:sz w:val="20"/>
        </w:rPr>
        <w:t>Table 44: Table 2.1.2: Employment Indicators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New Hires</w:t>
            </w:r>
          </w:p>
        </w:tc>
        <w:tc>
          <w:tcPr>
            <w:tcW w:type="dxa" w:w="2257"/>
          </w:tcPr>
          <w:p>
            <w:pPr>
              <w:jc w:val="right"/>
            </w:pPr>
            <w:r>
              <w:rPr>
                <w:rFonts w:ascii="Arial" w:hAnsi="Arial"/>
                <w:sz w:val="18"/>
              </w:rPr>
              <w:t>2,595</w:t>
            </w:r>
          </w:p>
        </w:tc>
        <w:tc>
          <w:tcPr>
            <w:tcW w:type="dxa" w:w="2257"/>
          </w:tcPr>
          <w:p>
            <w:pPr>
              <w:jc w:val="right"/>
            </w:pPr>
            <w:r>
              <w:rPr>
                <w:rFonts w:ascii="Arial" w:hAnsi="Arial"/>
                <w:sz w:val="18"/>
              </w:rPr>
              <w:t>3,169</w:t>
            </w:r>
          </w:p>
        </w:tc>
        <w:tc>
          <w:tcPr>
            <w:tcW w:type="dxa" w:w="2257"/>
          </w:tcPr>
          <w:p>
            <w:r>
              <w:rPr>
                <w:rFonts w:ascii="Arial" w:hAnsi="Arial"/>
                <w:sz w:val="18"/>
              </w:rPr>
              <w:t>-574 (-18.11%)</w:t>
            </w:r>
          </w:p>
        </w:tc>
      </w:tr>
      <w:tr>
        <w:tc>
          <w:tcPr>
            <w:tcW w:type="dxa" w:w="2257"/>
            <w:shd w:fill="F2F6FC" w:val="clear"/>
          </w:tcPr>
          <w:p>
            <w:r>
              <w:rPr>
                <w:rFonts w:ascii="Arial" w:hAnsi="Arial"/>
                <w:sz w:val="18"/>
              </w:rPr>
              <w:t>Hiring Rate (%)</w:t>
            </w:r>
          </w:p>
        </w:tc>
        <w:tc>
          <w:tcPr>
            <w:tcW w:type="dxa" w:w="2257"/>
            <w:shd w:fill="F2F6FC" w:val="clear"/>
          </w:tcPr>
          <w:p>
            <w:pPr>
              <w:jc w:val="right"/>
            </w:pPr>
            <w:r>
              <w:rPr>
                <w:rFonts w:ascii="Arial" w:hAnsi="Arial"/>
                <w:sz w:val="18"/>
              </w:rPr>
              <w:t>10.38%</w:t>
            </w:r>
          </w:p>
        </w:tc>
        <w:tc>
          <w:tcPr>
            <w:tcW w:type="dxa" w:w="2257"/>
            <w:shd w:fill="F2F6FC" w:val="clear"/>
          </w:tcPr>
          <w:p>
            <w:pPr>
              <w:jc w:val="right"/>
            </w:pPr>
            <w:r>
              <w:rPr>
                <w:rFonts w:ascii="Arial" w:hAnsi="Arial"/>
                <w:sz w:val="18"/>
              </w:rPr>
              <w:t>12.93%</w:t>
            </w:r>
          </w:p>
        </w:tc>
        <w:tc>
          <w:tcPr>
            <w:tcW w:type="dxa" w:w="2257"/>
            <w:shd w:fill="F2F6FC" w:val="clear"/>
          </w:tcPr>
          <w:p>
            <w:r>
              <w:rPr>
                <w:rFonts w:ascii="Arial" w:hAnsi="Arial"/>
                <w:sz w:val="18"/>
              </w:rPr>
              <w:t>-2.55pp</w:t>
            </w:r>
          </w:p>
        </w:tc>
      </w:tr>
      <w:tr>
        <w:tc>
          <w:tcPr>
            <w:tcW w:type="dxa" w:w="2257"/>
          </w:tcPr>
          <w:p>
            <w:r>
              <w:rPr>
                <w:rFonts w:ascii="Arial" w:hAnsi="Arial"/>
                <w:sz w:val="18"/>
              </w:rPr>
              <w:t>Voluntary Turnover Rate (%)</w:t>
            </w:r>
          </w:p>
        </w:tc>
        <w:tc>
          <w:tcPr>
            <w:tcW w:type="dxa" w:w="2257"/>
          </w:tcPr>
          <w:p>
            <w:pPr>
              <w:jc w:val="right"/>
            </w:pPr>
            <w:r>
              <w:rPr>
                <w:rFonts w:ascii="Arial" w:hAnsi="Arial"/>
                <w:sz w:val="18"/>
              </w:rPr>
              <w:t>8.45%</w:t>
            </w:r>
          </w:p>
        </w:tc>
        <w:tc>
          <w:tcPr>
            <w:tcW w:type="dxa" w:w="2257"/>
          </w:tcPr>
          <w:p>
            <w:pPr>
              <w:jc w:val="right"/>
            </w:pPr>
            <w:r>
              <w:rPr>
                <w:rFonts w:ascii="Arial" w:hAnsi="Arial"/>
                <w:sz w:val="18"/>
              </w:rPr>
              <w:t>14.24%</w:t>
            </w:r>
          </w:p>
        </w:tc>
        <w:tc>
          <w:tcPr>
            <w:tcW w:type="dxa" w:w="2257"/>
          </w:tcPr>
          <w:p>
            <w:r>
              <w:rPr>
                <w:rFonts w:ascii="Arial" w:hAnsi="Arial"/>
                <w:sz w:val="18"/>
              </w:rPr>
              <w:t>-5.79pp (-40.66%)</w:t>
            </w:r>
          </w:p>
        </w:tc>
      </w:tr>
    </w:tbl>
    <w:p>
      <w:r>
        <w:rPr>
          <w:rFonts w:ascii="Arial" w:hAnsi="Arial"/>
          <w:i/>
          <w:sz w:val="16"/>
        </w:rPr>
        <w:t>Source: Source: Institution HR system. GRI 401-1 disclosure.</w:t>
      </w:r>
    </w:p>
    <w:p/>
    <w:p>
      <w:r>
        <w:rPr>
          <w:rFonts w:ascii="Arial" w:hAnsi="Arial"/>
          <w:b/>
          <w:sz w:val="20"/>
        </w:rPr>
        <w:t>Table 46: Table 2.1.3: Training &amp; Development Metrics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Average Training Hours per FTE</w:t>
            </w:r>
          </w:p>
        </w:tc>
        <w:tc>
          <w:tcPr>
            <w:tcW w:type="dxa" w:w="2257"/>
          </w:tcPr>
          <w:p>
            <w:pPr>
              <w:jc w:val="right"/>
            </w:pPr>
            <w:r>
              <w:rPr>
                <w:rFonts w:ascii="Arial" w:hAnsi="Arial"/>
                <w:sz w:val="18"/>
              </w:rPr>
              <w:t>49.3</w:t>
            </w:r>
          </w:p>
        </w:tc>
        <w:tc>
          <w:tcPr>
            <w:tcW w:type="dxa" w:w="2257"/>
          </w:tcPr>
          <w:p>
            <w:pPr>
              <w:jc w:val="right"/>
            </w:pPr>
            <w:r>
              <w:rPr>
                <w:rFonts w:ascii="Arial" w:hAnsi="Arial"/>
                <w:sz w:val="18"/>
              </w:rPr>
              <w:t>64.14</w:t>
            </w:r>
          </w:p>
        </w:tc>
        <w:tc>
          <w:tcPr>
            <w:tcW w:type="dxa" w:w="2257"/>
          </w:tcPr>
          <w:p>
            <w:r>
              <w:rPr>
                <w:rFonts w:ascii="Arial" w:hAnsi="Arial"/>
                <w:sz w:val="18"/>
              </w:rPr>
              <w:t>-14.84 (-23.14%)</w:t>
            </w:r>
          </w:p>
        </w:tc>
      </w:tr>
    </w:tbl>
    <w:p>
      <w:r>
        <w:rPr>
          <w:rFonts w:ascii="Arial" w:hAnsi="Arial"/>
          <w:i/>
          <w:sz w:val="16"/>
        </w:rPr>
        <w:t>Source: Source: Institution learning management system. GRI 404-1 disclosure.</w:t>
      </w:r>
    </w:p>
    <w:p/>
    <w:p>
      <w:r>
        <w:rPr>
          <w:rFonts w:ascii="Arial" w:hAnsi="Arial"/>
          <w:b/>
          <w:sz w:val="20"/>
        </w:rPr>
        <w:t>Table 48: Table 2.1.4: Diversity Indicators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Female Representation - Overall (%)</w:t>
            </w:r>
          </w:p>
        </w:tc>
        <w:tc>
          <w:tcPr>
            <w:tcW w:type="dxa" w:w="2257"/>
          </w:tcPr>
          <w:p>
            <w:pPr>
              <w:jc w:val="right"/>
            </w:pPr>
            <w:r>
              <w:rPr>
                <w:rFonts w:ascii="Arial" w:hAnsi="Arial"/>
                <w:sz w:val="18"/>
              </w:rPr>
              <w:t>42.32%</w:t>
            </w:r>
          </w:p>
        </w:tc>
        <w:tc>
          <w:tcPr>
            <w:tcW w:type="dxa" w:w="2257"/>
          </w:tcPr>
          <w:p>
            <w:pPr>
              <w:jc w:val="right"/>
            </w:pPr>
            <w:r>
              <w:rPr>
                <w:rFonts w:ascii="Arial" w:hAnsi="Arial"/>
                <w:sz w:val="18"/>
              </w:rPr>
              <w:t>46.2%</w:t>
            </w:r>
          </w:p>
        </w:tc>
        <w:tc>
          <w:tcPr>
            <w:tcW w:type="dxa" w:w="2257"/>
          </w:tcPr>
          <w:p>
            <w:r>
              <w:rPr>
                <w:rFonts w:ascii="Arial" w:hAnsi="Arial"/>
                <w:sz w:val="18"/>
              </w:rPr>
              <w:t>-3.88pp</w:t>
            </w:r>
          </w:p>
        </w:tc>
      </w:tr>
      <w:tr>
        <w:tc>
          <w:tcPr>
            <w:tcW w:type="dxa" w:w="2257"/>
            <w:shd w:fill="F2F6FC" w:val="clear"/>
          </w:tcPr>
          <w:p>
            <w:r>
              <w:rPr>
                <w:rFonts w:ascii="Arial" w:hAnsi="Arial"/>
                <w:sz w:val="18"/>
              </w:rPr>
              <w:t>Female Representation - Management (%)</w:t>
            </w:r>
          </w:p>
        </w:tc>
        <w:tc>
          <w:tcPr>
            <w:tcW w:type="dxa" w:w="2257"/>
            <w:shd w:fill="F2F6FC" w:val="clear"/>
          </w:tcPr>
          <w:p>
            <w:pPr>
              <w:jc w:val="right"/>
            </w:pPr>
            <w:r>
              <w:rPr>
                <w:rFonts w:ascii="Arial" w:hAnsi="Arial"/>
                <w:sz w:val="18"/>
              </w:rPr>
              <w:t>26.67%</w:t>
            </w:r>
          </w:p>
        </w:tc>
        <w:tc>
          <w:tcPr>
            <w:tcW w:type="dxa" w:w="2257"/>
            <w:shd w:fill="F2F6FC" w:val="clear"/>
          </w:tcPr>
          <w:p>
            <w:pPr>
              <w:jc w:val="right"/>
            </w:pPr>
            <w:r>
              <w:rPr>
                <w:rFonts w:ascii="Arial" w:hAnsi="Arial"/>
                <w:sz w:val="18"/>
              </w:rPr>
              <w:t>28.45%</w:t>
            </w:r>
          </w:p>
        </w:tc>
        <w:tc>
          <w:tcPr>
            <w:tcW w:type="dxa" w:w="2257"/>
            <w:shd w:fill="F2F6FC" w:val="clear"/>
          </w:tcPr>
          <w:p>
            <w:r>
              <w:rPr>
                <w:rFonts w:ascii="Arial" w:hAnsi="Arial"/>
                <w:sz w:val="18"/>
              </w:rPr>
              <w:t>-1.78pp</w:t>
            </w:r>
          </w:p>
        </w:tc>
      </w:tr>
    </w:tbl>
    <w:p>
      <w:r>
        <w:rPr>
          <w:rFonts w:ascii="Arial" w:hAnsi="Arial"/>
          <w:i/>
          <w:sz w:val="16"/>
        </w:rPr>
        <w:t>Source: Source: Institution HR system. GRI 405-1 disclosure.</w:t>
      </w:r>
    </w:p>
    <w:p/>
    <w:p>
      <w:r>
        <w:rPr>
          <w:rFonts w:ascii="Arial" w:hAnsi="Arial"/>
          <w:b/>
          <w:sz w:val="20"/>
        </w:rPr>
        <w:t>Table 50: Table 2.1.5: Non-Discrimination Incidents</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2024</w:t>
            </w:r>
          </w:p>
        </w:tc>
        <w:tc>
          <w:tcPr>
            <w:tcW w:type="dxa" w:w="3010"/>
            <w:shd w:fill="1B3A6B" w:val="clear"/>
          </w:tcPr>
          <w:p>
            <w:r>
              <w:rPr>
                <w:rFonts w:ascii="Arial" w:hAnsi="Arial"/>
                <w:b/>
                <w:color w:val="FFFFFF"/>
                <w:sz w:val="18"/>
              </w:rPr>
              <w:t>2023</w:t>
            </w:r>
          </w:p>
        </w:tc>
      </w:tr>
      <w:tr>
        <w:tc>
          <w:tcPr>
            <w:tcW w:type="dxa" w:w="3010"/>
          </w:tcPr>
          <w:p>
            <w:r>
              <w:rPr>
                <w:rFonts w:ascii="Arial" w:hAnsi="Arial"/>
                <w:sz w:val="18"/>
              </w:rPr>
              <w:t>Discrimination Cases Reported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Cases Investigated</w:t>
            </w:r>
          </w:p>
        </w:tc>
        <w:tc>
          <w:tcPr>
            <w:tcW w:type="dxa" w:w="3010"/>
            <w:shd w:fill="F2F6FC" w:val="clear"/>
          </w:tcPr>
          <w:p>
            <w:pPr>
              <w:jc w:val="right"/>
            </w:pPr>
            <w:r>
              <w:rPr>
                <w:rFonts w:ascii="Arial" w:hAnsi="Arial"/>
                <w:sz w:val="18"/>
              </w:rPr>
              <w:t>2</w:t>
            </w:r>
          </w:p>
        </w:tc>
        <w:tc>
          <w:tcPr>
            <w:tcW w:type="dxa" w:w="3010"/>
            <w:shd w:fill="F2F6FC" w:val="clear"/>
          </w:tcPr>
          <w:p>
            <w:pPr>
              <w:jc w:val="right"/>
            </w:pPr>
            <w:r>
              <w:rPr>
                <w:rFonts w:ascii="Arial" w:hAnsi="Arial"/>
                <w:sz w:val="18"/>
              </w:rPr>
              <w:t>3</w:t>
            </w:r>
          </w:p>
        </w:tc>
      </w:tr>
      <w:tr>
        <w:tc>
          <w:tcPr>
            <w:tcW w:type="dxa" w:w="3010"/>
          </w:tcPr>
          <w:p>
            <w:r>
              <w:rPr>
                <w:rFonts w:ascii="Arial" w:hAnsi="Arial"/>
                <w:sz w:val="18"/>
              </w:rPr>
              <w:t>Cases with Remediation Completed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bl>
    <w:p>
      <w:r>
        <w:rPr>
          <w:rFonts w:ascii="Arial" w:hAnsi="Arial"/>
          <w:i/>
          <w:sz w:val="16"/>
        </w:rPr>
        <w:t>Source: Source: Institution ethics and compliance system. GRI 406-1 disclosure.</w:t>
      </w:r>
    </w:p>
    <w:p/>
    <w:p>
      <w:r>
        <w:rPr>
          <w:rFonts w:ascii="Arial" w:hAnsi="Arial"/>
          <w:b/>
          <w:sz w:val="20"/>
        </w:rPr>
        <w:t>Table 52: Table 2.1.6: Framework Cross-Reference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2-7</w:t>
            </w:r>
          </w:p>
        </w:tc>
        <w:tc>
          <w:tcPr>
            <w:tcW w:type="dxa" w:w="2257"/>
          </w:tcPr>
          <w:p>
            <w:r>
              <w:rPr>
                <w:rFonts w:ascii="Arial" w:hAnsi="Arial"/>
                <w:sz w:val="18"/>
              </w:rPr>
              <w:t>2-7a</w:t>
            </w:r>
          </w:p>
        </w:tc>
        <w:tc>
          <w:tcPr>
            <w:tcW w:type="dxa" w:w="2257"/>
          </w:tcPr>
          <w:p>
            <w:r>
              <w:rPr>
                <w:rFonts w:ascii="Arial" w:hAnsi="Arial"/>
                <w:sz w:val="18"/>
              </w:rPr>
              <w:t>Total employees by gender</w:t>
            </w:r>
          </w:p>
        </w:tc>
        <w:tc>
          <w:tcPr>
            <w:tcW w:type="dxa" w:w="2257"/>
          </w:tcPr>
          <w:p>
            <w:r>
              <w:rPr>
                <w:rFonts w:ascii="Arial" w:hAnsi="Arial"/>
                <w:sz w:val="18"/>
              </w:rPr>
              <w:t>✅ Disclosed</w:t>
            </w:r>
          </w:p>
        </w:tc>
      </w:tr>
      <w:tr>
        <w:tc>
          <w:tcPr>
            <w:tcW w:type="dxa" w:w="2257"/>
            <w:shd w:fill="F2F6FC" w:val="clear"/>
          </w:tcPr>
          <w:p>
            <w:r>
              <w:rPr>
                <w:rFonts w:ascii="Arial" w:hAnsi="Arial"/>
                <w:sz w:val="18"/>
              </w:rPr>
              <w:t>GRI 401-1</w:t>
            </w:r>
          </w:p>
        </w:tc>
        <w:tc>
          <w:tcPr>
            <w:tcW w:type="dxa" w:w="2257"/>
            <w:shd w:fill="F2F6FC" w:val="clear"/>
          </w:tcPr>
          <w:p>
            <w:r>
              <w:rPr>
                <w:rFonts w:ascii="Arial" w:hAnsi="Arial"/>
                <w:sz w:val="18"/>
              </w:rPr>
              <w:t>401-1a</w:t>
            </w:r>
          </w:p>
        </w:tc>
        <w:tc>
          <w:tcPr>
            <w:tcW w:type="dxa" w:w="2257"/>
            <w:shd w:fill="F2F6FC" w:val="clear"/>
          </w:tcPr>
          <w:p>
            <w:r>
              <w:rPr>
                <w:rFonts w:ascii="Arial" w:hAnsi="Arial"/>
                <w:sz w:val="18"/>
              </w:rPr>
              <w:t>New hires by gender</w:t>
            </w:r>
          </w:p>
        </w:tc>
        <w:tc>
          <w:tcPr>
            <w:tcW w:type="dxa" w:w="2257"/>
            <w:shd w:fill="F2F6FC" w:val="clear"/>
          </w:tcPr>
          <w:p>
            <w:r>
              <w:rPr>
                <w:rFonts w:ascii="Arial" w:hAnsi="Arial"/>
                <w:sz w:val="18"/>
              </w:rPr>
              <w:t>✅ Disclosed</w:t>
            </w:r>
          </w:p>
        </w:tc>
      </w:tr>
      <w:tr>
        <w:tc>
          <w:tcPr>
            <w:tcW w:type="dxa" w:w="2257"/>
          </w:tcPr>
          <w:p>
            <w:r>
              <w:rPr>
                <w:rFonts w:ascii="Arial" w:hAnsi="Arial"/>
                <w:sz w:val="18"/>
              </w:rPr>
              <w:t>GRI 401-1</w:t>
            </w:r>
          </w:p>
        </w:tc>
        <w:tc>
          <w:tcPr>
            <w:tcW w:type="dxa" w:w="2257"/>
          </w:tcPr>
          <w:p>
            <w:r>
              <w:rPr>
                <w:rFonts w:ascii="Arial" w:hAnsi="Arial"/>
                <w:sz w:val="18"/>
              </w:rPr>
              <w:t>401-1b</w:t>
            </w:r>
          </w:p>
        </w:tc>
        <w:tc>
          <w:tcPr>
            <w:tcW w:type="dxa" w:w="2257"/>
          </w:tcPr>
          <w:p>
            <w:r>
              <w:rPr>
                <w:rFonts w:ascii="Arial" w:hAnsi="Arial"/>
                <w:sz w:val="18"/>
              </w:rPr>
              <w:t>Employee turnover</w:t>
            </w:r>
          </w:p>
        </w:tc>
        <w:tc>
          <w:tcPr>
            <w:tcW w:type="dxa" w:w="2257"/>
          </w:tcPr>
          <w:p>
            <w:r>
              <w:rPr>
                <w:rFonts w:ascii="Arial" w:hAnsi="Arial"/>
                <w:sz w:val="18"/>
              </w:rPr>
              <w:t>✅ Disclosed</w:t>
            </w:r>
          </w:p>
        </w:tc>
      </w:tr>
      <w:tr>
        <w:tc>
          <w:tcPr>
            <w:tcW w:type="dxa" w:w="2257"/>
            <w:shd w:fill="F2F6FC" w:val="clear"/>
          </w:tcPr>
          <w:p>
            <w:r>
              <w:rPr>
                <w:rFonts w:ascii="Arial" w:hAnsi="Arial"/>
                <w:sz w:val="18"/>
              </w:rPr>
              <w:t>GRI 404-1</w:t>
            </w:r>
          </w:p>
        </w:tc>
        <w:tc>
          <w:tcPr>
            <w:tcW w:type="dxa" w:w="2257"/>
            <w:shd w:fill="F2F6FC" w:val="clear"/>
          </w:tcPr>
          <w:p>
            <w:r>
              <w:rPr>
                <w:rFonts w:ascii="Arial" w:hAnsi="Arial"/>
                <w:sz w:val="18"/>
              </w:rPr>
              <w:t>404-1a</w:t>
            </w:r>
          </w:p>
        </w:tc>
        <w:tc>
          <w:tcPr>
            <w:tcW w:type="dxa" w:w="2257"/>
            <w:shd w:fill="F2F6FC" w:val="clear"/>
          </w:tcPr>
          <w:p>
            <w:r>
              <w:rPr>
                <w:rFonts w:ascii="Arial" w:hAnsi="Arial"/>
                <w:sz w:val="18"/>
              </w:rPr>
              <w:t>Average training hours</w:t>
            </w:r>
          </w:p>
        </w:tc>
        <w:tc>
          <w:tcPr>
            <w:tcW w:type="dxa" w:w="2257"/>
            <w:shd w:fill="F2F6FC" w:val="clear"/>
          </w:tcPr>
          <w:p>
            <w:r>
              <w:rPr>
                <w:rFonts w:ascii="Arial" w:hAnsi="Arial"/>
                <w:sz w:val="18"/>
              </w:rPr>
              <w:t>✅ Disclosed</w:t>
            </w:r>
          </w:p>
        </w:tc>
      </w:tr>
      <w:tr>
        <w:tc>
          <w:tcPr>
            <w:tcW w:type="dxa" w:w="2257"/>
          </w:tcPr>
          <w:p>
            <w:r>
              <w:rPr>
                <w:rFonts w:ascii="Arial" w:hAnsi="Arial"/>
                <w:sz w:val="18"/>
              </w:rPr>
              <w:t>GRI 405-1</w:t>
            </w:r>
          </w:p>
        </w:tc>
        <w:tc>
          <w:tcPr>
            <w:tcW w:type="dxa" w:w="2257"/>
          </w:tcPr>
          <w:p>
            <w:r>
              <w:rPr>
                <w:rFonts w:ascii="Arial" w:hAnsi="Arial"/>
                <w:sz w:val="18"/>
              </w:rPr>
              <w:t>405-1a</w:t>
            </w:r>
          </w:p>
        </w:tc>
        <w:tc>
          <w:tcPr>
            <w:tcW w:type="dxa" w:w="2257"/>
          </w:tcPr>
          <w:p>
            <w:r>
              <w:rPr>
                <w:rFonts w:ascii="Arial" w:hAnsi="Arial"/>
                <w:sz w:val="18"/>
              </w:rPr>
              <w:t>Diversity of employees</w:t>
            </w:r>
          </w:p>
        </w:tc>
        <w:tc>
          <w:tcPr>
            <w:tcW w:type="dxa" w:w="2257"/>
          </w:tcPr>
          <w:p>
            <w:r>
              <w:rPr>
                <w:rFonts w:ascii="Arial" w:hAnsi="Arial"/>
                <w:sz w:val="18"/>
              </w:rPr>
              <w:t>✅ Disclosed</w:t>
            </w:r>
          </w:p>
        </w:tc>
      </w:tr>
      <w:tr>
        <w:tc>
          <w:tcPr>
            <w:tcW w:type="dxa" w:w="2257"/>
            <w:shd w:fill="F2F6FC" w:val="clear"/>
          </w:tcPr>
          <w:p>
            <w:r>
              <w:rPr>
                <w:rFonts w:ascii="Arial" w:hAnsi="Arial"/>
                <w:sz w:val="18"/>
              </w:rPr>
              <w:t>GRI 405-1</w:t>
            </w:r>
          </w:p>
        </w:tc>
        <w:tc>
          <w:tcPr>
            <w:tcW w:type="dxa" w:w="2257"/>
            <w:shd w:fill="F2F6FC" w:val="clear"/>
          </w:tcPr>
          <w:p>
            <w:r>
              <w:rPr>
                <w:rFonts w:ascii="Arial" w:hAnsi="Arial"/>
                <w:sz w:val="18"/>
              </w:rPr>
              <w:t>405-1b</w:t>
            </w:r>
          </w:p>
        </w:tc>
        <w:tc>
          <w:tcPr>
            <w:tcW w:type="dxa" w:w="2257"/>
            <w:shd w:fill="F2F6FC" w:val="clear"/>
          </w:tcPr>
          <w:p>
            <w:r>
              <w:rPr>
                <w:rFonts w:ascii="Arial" w:hAnsi="Arial"/>
                <w:sz w:val="18"/>
              </w:rPr>
              <w:t>Gender ratio in management</w:t>
            </w:r>
          </w:p>
        </w:tc>
        <w:tc>
          <w:tcPr>
            <w:tcW w:type="dxa" w:w="2257"/>
            <w:shd w:fill="F2F6FC" w:val="clear"/>
          </w:tcPr>
          <w:p>
            <w:r>
              <w:rPr>
                <w:rFonts w:ascii="Arial" w:hAnsi="Arial"/>
                <w:sz w:val="18"/>
              </w:rPr>
              <w:t>✅ Disclosed</w:t>
            </w:r>
          </w:p>
        </w:tc>
      </w:tr>
      <w:tr>
        <w:tc>
          <w:tcPr>
            <w:tcW w:type="dxa" w:w="2257"/>
          </w:tcPr>
          <w:p>
            <w:r>
              <w:rPr>
                <w:rFonts w:ascii="Arial" w:hAnsi="Arial"/>
                <w:sz w:val="18"/>
              </w:rPr>
              <w:t>GRI 406-1</w:t>
            </w:r>
          </w:p>
        </w:tc>
        <w:tc>
          <w:tcPr>
            <w:tcW w:type="dxa" w:w="2257"/>
          </w:tcPr>
          <w:p>
            <w:r>
              <w:rPr>
                <w:rFonts w:ascii="Arial" w:hAnsi="Arial"/>
                <w:sz w:val="18"/>
              </w:rPr>
              <w:t>406-1a</w:t>
            </w:r>
          </w:p>
        </w:tc>
        <w:tc>
          <w:tcPr>
            <w:tcW w:type="dxa" w:w="2257"/>
          </w:tcPr>
          <w:p>
            <w:r>
              <w:rPr>
                <w:rFonts w:ascii="Arial" w:hAnsi="Arial"/>
                <w:sz w:val="18"/>
              </w:rPr>
              <w:t>Discrimination incidents</w:t>
            </w:r>
          </w:p>
        </w:tc>
        <w:tc>
          <w:tcPr>
            <w:tcW w:type="dxa" w:w="2257"/>
          </w:tcPr>
          <w:p>
            <w:r>
              <w:rPr>
                <w:rFonts w:ascii="Arial" w:hAnsi="Arial"/>
                <w:sz w:val="18"/>
              </w:rPr>
              <w:t>✅ Disclosed</w:t>
            </w:r>
          </w:p>
        </w:tc>
      </w:tr>
      <w:tr>
        <w:tc>
          <w:tcPr>
            <w:tcW w:type="dxa" w:w="2257"/>
            <w:shd w:fill="F2F6FC" w:val="clear"/>
          </w:tcPr>
          <w:p>
            <w:r>
              <w:rPr>
                <w:rFonts w:ascii="Arial" w:hAnsi="Arial"/>
                <w:sz w:val="18"/>
              </w:rPr>
              <w:t>ESRS S1</w:t>
            </w:r>
          </w:p>
        </w:tc>
        <w:tc>
          <w:tcPr>
            <w:tcW w:type="dxa" w:w="2257"/>
            <w:shd w:fill="F2F6FC" w:val="clear"/>
          </w:tcPr>
          <w:p>
            <w:r>
              <w:rPr>
                <w:rFonts w:ascii="Arial" w:hAnsi="Arial"/>
                <w:sz w:val="18"/>
              </w:rPr>
              <w:t>Own Workforce</w:t>
            </w:r>
          </w:p>
        </w:tc>
        <w:tc>
          <w:tcPr>
            <w:tcW w:type="dxa" w:w="2257"/>
            <w:shd w:fill="F2F6FC" w:val="clear"/>
          </w:tcPr>
          <w:p>
            <w:r>
              <w:rPr>
                <w:rFonts w:ascii="Arial" w:hAnsi="Arial"/>
                <w:sz w:val="18"/>
              </w:rPr>
              <w:t>Workforce composition</w:t>
            </w:r>
          </w:p>
        </w:tc>
        <w:tc>
          <w:tcPr>
            <w:tcW w:type="dxa" w:w="2257"/>
            <w:shd w:fill="F2F6FC" w:val="clear"/>
          </w:tcPr>
          <w:p>
            <w:r>
              <w:rPr>
                <w:rFonts w:ascii="Arial" w:hAnsi="Arial"/>
                <w:sz w:val="18"/>
              </w:rPr>
              <w:t>✅ Disclosed</w:t>
            </w:r>
          </w:p>
        </w:tc>
      </w:tr>
      <w:tr>
        <w:tc>
          <w:tcPr>
            <w:tcW w:type="dxa" w:w="2257"/>
          </w:tcPr>
          <w:p>
            <w:r>
              <w:rPr>
                <w:rFonts w:ascii="Arial" w:hAnsi="Arial"/>
                <w:sz w:val="18"/>
              </w:rPr>
              <w:t>OJK PSPK</w:t>
            </w:r>
          </w:p>
        </w:tc>
        <w:tc>
          <w:tcPr>
            <w:tcW w:type="dxa" w:w="2257"/>
          </w:tcPr>
          <w:p>
            <w:r>
              <w:rPr>
                <w:rFonts w:ascii="Arial" w:hAnsi="Arial"/>
                <w:sz w:val="18"/>
              </w:rPr>
              <w:t>Kinerja Sosial</w:t>
            </w:r>
          </w:p>
        </w:tc>
        <w:tc>
          <w:tcPr>
            <w:tcW w:type="dxa" w:w="2257"/>
          </w:tcPr>
          <w:p>
            <w:r>
              <w:rPr>
                <w:rFonts w:ascii="Arial" w:hAnsi="Arial"/>
                <w:sz w:val="18"/>
              </w:rPr>
              <w:t>Tenaga kerja &amp; kesetaraan</w:t>
            </w:r>
          </w:p>
        </w:tc>
        <w:tc>
          <w:tcPr>
            <w:tcW w:type="dxa" w:w="2257"/>
          </w:tcPr>
          <w:p>
            <w:r>
              <w:rPr>
                <w:rFonts w:ascii="Arial" w:hAnsi="Arial"/>
                <w:sz w:val="18"/>
              </w:rPr>
              <w:t>✅ Disclosed</w:t>
            </w:r>
          </w:p>
        </w:tc>
      </w:tr>
    </w:tbl>
    <w:p>
      <w:r>
        <w:rPr>
          <w:rFonts w:ascii="Arial" w:hAnsi="Arial"/>
          <w:i/>
          <w:sz w:val="16"/>
        </w:rPr>
        <w:t>Source: Framework compliance mapping for 2024 reporting period.</w:t>
      </w:r>
    </w:p>
    <w:p/>
    <w:p/>
    <w:p>
      <w:r>
        <w:drawing>
          <wp:inline xmlns:a="http://schemas.openxmlformats.org/drawingml/2006/main" xmlns:pic="http://schemas.openxmlformats.org/drawingml/2006/picture">
            <wp:extent cx="5029200" cy="3332057"/>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332057"/>
                    </a:xfrm>
                    <a:prstGeom prst="rect"/>
                  </pic:spPr>
                </pic:pic>
              </a:graphicData>
            </a:graphic>
          </wp:inline>
        </w:drawing>
      </w:r>
    </w:p>
    <w:p>
      <w:pPr>
        <w:jc w:val="center"/>
      </w:pPr>
      <w:r>
        <w:rPr>
          <w:i/>
          <w:color w:val="666666"/>
          <w:sz w:val="18"/>
        </w:rPr>
        <w:t>Figure 19: Workforce Gender Composition Trend (2023-2024)</w:t>
      </w:r>
    </w:p>
    <w:p>
      <w:pPr>
        <w:jc w:val="center"/>
      </w:pPr>
      <w:r>
        <w:rPr>
          <w:i/>
          <w:color w:val="757575"/>
          <w:sz w:val="18"/>
        </w:rPr>
        <w:t>Female representation declined 3.88pp to 42.32% despite workforce growth — male hiring vastly outpaced female hiring, creating widening diversity gap vs. BCA (61.6%) and DBS (38% management) benchmarks</w:t>
      </w:r>
    </w:p>
    <w:p/>
    <w:p>
      <w:r>
        <w:drawing>
          <wp:inline xmlns:a="http://schemas.openxmlformats.org/drawingml/2006/main" xmlns:pic="http://schemas.openxmlformats.org/drawingml/2006/picture">
            <wp:extent cx="5029200" cy="3332057"/>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332057"/>
                    </a:xfrm>
                    <a:prstGeom prst="rect"/>
                  </pic:spPr>
                </pic:pic>
              </a:graphicData>
            </a:graphic>
          </wp:inline>
        </w:drawing>
      </w:r>
    </w:p>
    <w:p>
      <w:pPr>
        <w:jc w:val="center"/>
      </w:pPr>
      <w:r>
        <w:rPr>
          <w:i/>
          <w:color w:val="666666"/>
          <w:sz w:val="18"/>
        </w:rPr>
        <w:t>Figure 20: Average Training Hours per FTE (2023-2024)</w:t>
      </w:r>
    </w:p>
    <w:p>
      <w:pPr>
        <w:jc w:val="center"/>
      </w:pPr>
      <w:r>
        <w:rPr>
          <w:i/>
          <w:color w:val="757575"/>
          <w:sz w:val="18"/>
        </w:rPr>
        <w:t>Training investment fell 23% to 49.3 hrs while peers maintain 60+ hrs (BRI 62.4, OCBC 62.6) — capability gap threatens climate transition readiness and ESG rating performance</w:t>
      </w:r>
    </w:p>
    <w:p/>
    <w:p>
      <w:r>
        <w:drawing>
          <wp:inline xmlns:a="http://schemas.openxmlformats.org/drawingml/2006/main" xmlns:pic="http://schemas.openxmlformats.org/drawingml/2006/picture">
            <wp:extent cx="5029200" cy="3332057"/>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332057"/>
                    </a:xfrm>
                    <a:prstGeom prst="rect"/>
                  </pic:spPr>
                </pic:pic>
              </a:graphicData>
            </a:graphic>
          </wp:inline>
        </w:drawing>
      </w:r>
    </w:p>
    <w:p>
      <w:pPr>
        <w:jc w:val="center"/>
      </w:pPr>
      <w:r>
        <w:rPr>
          <w:i/>
          <w:color w:val="666666"/>
          <w:sz w:val="18"/>
        </w:rPr>
        <w:t>Figure 21: Voluntary Turnover Rate Improvement (2023-2024)</w:t>
      </w:r>
    </w:p>
    <w:p>
      <w:pPr>
        <w:jc w:val="center"/>
      </w:pPr>
      <w:r>
        <w:rPr>
          <w:i/>
          <w:color w:val="757575"/>
          <w:sz w:val="18"/>
        </w:rPr>
        <w:t>Turnover improved 41% to 8.45% — strong retention performance, but must monitor gender-specific attrition to prevent further diversity decline</w:t>
      </w:r>
    </w:p>
    <w:p/>
    <w:p>
      <w:r>
        <w:drawing>
          <wp:inline xmlns:a="http://schemas.openxmlformats.org/drawingml/2006/main" xmlns:pic="http://schemas.openxmlformats.org/drawingml/2006/picture">
            <wp:extent cx="5029200" cy="3332057"/>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332057"/>
                    </a:xfrm>
                    <a:prstGeom prst="rect"/>
                  </pic:spPr>
                </pic:pic>
              </a:graphicData>
            </a:graphic>
          </wp:inline>
        </w:drawing>
      </w:r>
    </w:p>
    <w:p>
      <w:pPr>
        <w:jc w:val="center"/>
      </w:pPr>
      <w:r>
        <w:rPr>
          <w:i/>
          <w:color w:val="666666"/>
          <w:sz w:val="18"/>
        </w:rPr>
        <w:t>Figure 22: Women in Management Representation (2023-2024)</w:t>
      </w:r>
    </w:p>
    <w:p>
      <w:pPr>
        <w:jc w:val="center"/>
      </w:pPr>
      <w:r>
        <w:rPr>
          <w:i/>
          <w:color w:val="757575"/>
          <w:sz w:val="18"/>
        </w:rPr>
        <w:t>Female management representation declined 1.78pp to 26.67% — falls short of 30% threshold and lags DBS (38%) and BCA leadership diversity benchmarks</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workforce data reveals three interconnected challenges requiring immediate attention. First, the 23.14% reduction in training hours per FTE (from 64.14 to 49.3 hours) during a period of workforce expansion suggests budget constraints or strategic deprioritization of learning and development, occurring precisely when peers are intensifying ESG capability building. Second, the 3.88 percentage point decline in female workforce participation and 1.78 percentage point decline in women's management representation indicates a systemic hiring and promotion bias, with male hiring (+1,237) vastly outpacing female hiring (-740) despite net workforce growth. Third, while voluntary turnover improved dramatically (40.66% reduction), this positive trend may mask underlying issues if female attrition rates are disproportionately high, contributing to the gender composition shift. The combination of reduced training investment and declining diversity metrics creates compounding risks for climate transition workforce readiness and ESG governance ratings.</w:t>
            </w:r>
          </w:p>
          <w:p>
            <w:r>
              <w:rPr>
                <w:b/>
                <w:sz w:val="20"/>
              </w:rPr>
              <w:t>Root Causes:</w:t>
            </w:r>
          </w:p>
          <w:p>
            <w:r>
              <w:rPr>
                <w:sz w:val="18"/>
              </w:rPr>
              <w:t>• Training budget allocation did not scale proportionally with 2.03% workforce growth, resulting in 23.14% per-capita reduction in learning hours</w:t>
            </w:r>
          </w:p>
          <w:p>
            <w:r>
              <w:rPr>
                <w:sz w:val="18"/>
              </w:rPr>
              <w:t>• Hiring practices during 2024 expansion favored male candidates (1,237 male hires vs. 740 female departures net), indicating potential unconscious bias in recruitment or insufficient female candidate pipeline</w:t>
            </w:r>
          </w:p>
          <w:p>
            <w:r>
              <w:rPr>
                <w:sz w:val="18"/>
              </w:rPr>
              <w:t>• Absence of gender diversity targets or Board-level diversity policy allows management representation to decline without accountability mechanisms</w:t>
            </w:r>
          </w:p>
          <w:p>
            <w:r>
              <w:rPr>
                <w:sz w:val="18"/>
              </w:rPr>
              <w:t>• Training program may lack mandatory ESG/sustainability modules that peers have institutionalized, reducing climate transition preparedness</w:t>
            </w:r>
          </w:p>
          <w:p>
            <w:r>
              <w:rPr>
                <w:b/>
                <w:sz w:val="20"/>
              </w:rPr>
              <w:t>Risk Implications:</w:t>
            </w:r>
          </w:p>
          <w:p>
            <w:r>
              <w:rPr>
                <w:sz w:val="18"/>
              </w:rPr>
              <w:t>• Regulatory Risk: OJK POJK 51/2017 emphasizes social performance including workforce development and gender equality; declining metrics may trigger supervisory scrutiny or impact PSPK assessment scores</w:t>
            </w:r>
          </w:p>
          <w:p>
            <w:r>
              <w:rPr>
                <w:sz w:val="18"/>
              </w:rPr>
              <w:t>• ESG Rating Risk: MSCI, Sustainalytics, and CDP assessments heavily weight workforce diversity and training investment; current trends will likely result in S-score downgrades in 2025 ratings cycles, particularly relative to peers showing improvement</w:t>
            </w:r>
          </w:p>
          <w:p>
            <w:r>
              <w:rPr>
                <w:sz w:val="18"/>
              </w:rPr>
              <w:t>• Climate Transition Risk: Reduced training hours during critical TCFD/ISSB implementation period means workforce lacks necessary skills for financed emissions measurement, PCAF methodology application, and climate risk assessment — directly impeding 2025-2026 regulatory compliance roadmap</w:t>
            </w:r>
          </w:p>
          <w:p>
            <w:r>
              <w:rPr>
                <w:sz w:val="18"/>
              </w:rPr>
              <w:t>• Talent Risk: Declining female representation may indicate broader retention issues among diverse talent pools, reducing innovation capacity and limiting access to ESG-focused investor capital that prioritizes diversity metrics</w:t>
            </w:r>
          </w:p>
        </w:tc>
      </w:tr>
    </w:tbl>
    <w:p/>
    <w:p/>
    <w:p>
      <w:r>
        <w:rPr>
          <w:b/>
          <w:color w:val="2E7D32"/>
          <w:sz w:val="24"/>
        </w:rPr>
        <w:t>⚡ Priority Actions</w:t>
      </w:r>
    </w:p>
    <w:p>
      <w:r>
        <w:rPr>
          <w:b/>
          <w:sz w:val="22"/>
        </w:rPr>
        <w:t>🔴 1. Deploy mandatory ESG learning curriculum across all employee levels with minimum 10 hours ESG-specific training per FTE annually, using hybrid delivery (e-learning + workshops) to achieve cost-effective scale. Include Board-level ESG refresher program with 100% completion requirement.</w:t>
      </w:r>
      <w:r>
        <w:rPr>
          <w:sz w:val="22"/>
        </w:rPr>
        <w:t xml:space="preserve"> (Q2 2025)</w:t>
      </w:r>
    </w:p>
    <w:p>
      <w:pPr>
        <w:spacing w:after="160" w:line="276" w:lineRule="auto"/>
      </w:pPr>
      <w:r>
        <w:t xml:space="preserve">    → Expected: Increase total training hours to 55+ per FTE by Q4 2025 (11.6% improvement); achieve 100% workforce ESG literacy baseline; close capability gap vs. BRI (62.4 hrs) and OCBC (62.6 hrs) benchmarks</w:t>
      </w:r>
    </w:p>
    <w:p>
      <w:pPr>
        <w:spacing w:after="160" w:line="276" w:lineRule="auto"/>
      </w:pPr>
      <w:r>
        <w:rPr>
          <w:rFonts w:ascii="Arial" w:hAnsi="Arial"/>
          <w:i/>
          <w:color w:val="646464"/>
          <w:sz w:val="18"/>
        </w:rPr>
        <w:t xml:space="preserve">    → Ref: BCA: Annual BoD/BoC ESG refresher with GRI, CDP, OJK collaboration; mandatory sustainability awareness programs across all levels. BRI: 62.4 hrs avg training covering BoC to Non-staff with structured ESG modules.</w:t>
      </w:r>
    </w:p>
    <w:p>
      <w:r>
        <w:rPr>
          <w:b/>
          <w:sz w:val="22"/>
        </w:rPr>
        <w:t>🔴 2. Establish Board Diversity Policy with binding targets: 30% female representation in management pipeline by Q4 2025, 35% by Q4 2026. Implement structured mentorship program pairing high-potential female employees with C-suite sponsors. Conduct gender pay audit and commit to public disclosure in 2025 sustainability report.</w:t>
      </w:r>
      <w:r>
        <w:rPr>
          <w:sz w:val="22"/>
        </w:rPr>
        <w:t xml:space="preserve"> (Q3 2025)</w:t>
      </w:r>
    </w:p>
    <w:p>
      <w:pPr>
        <w:spacing w:after="160" w:line="276" w:lineRule="auto"/>
      </w:pPr>
      <w:r>
        <w:t xml:space="preserve">    → Expected: Reverse declining female representation trend; achieve 30% women in management by Q4 2025 (3.33pp improvement); close gap vs. DBS (38% management, 33% Board) and BCA (61.6% overall) benchmarks</w:t>
      </w:r>
    </w:p>
    <w:p>
      <w:pPr>
        <w:spacing w:after="160" w:line="276" w:lineRule="auto"/>
      </w:pPr>
      <w:r>
        <w:rPr>
          <w:rFonts w:ascii="Arial" w:hAnsi="Arial"/>
          <w:i/>
          <w:color w:val="646464"/>
          <w:sz w:val="18"/>
        </w:rPr>
        <w:t xml:space="preserve">    → Ref: DBS: 38% female in management, 33% female Board representation, published equal pay ratio 1:0.99. BCA: 61.6% female workforce with structured diversity programs and measurable KPIs.</w:t>
      </w:r>
    </w:p>
    <w:p>
      <w:r>
        <w:rPr>
          <w:b/>
          <w:sz w:val="22"/>
        </w:rPr>
        <w:t>🟡 3. Implement quarterly retention analytics dashboard tracking turnover by gender, level, and business unit. Conduct targeted exit interviews for female departures to identify systemic barriers. Link retention KPIs (overall &lt;8%, female-specific targets) to management performance scorecards.</w:t>
      </w:r>
      <w:r>
        <w:rPr>
          <w:sz w:val="22"/>
        </w:rPr>
        <w:t xml:space="preserve"> (Q2 2025)</w:t>
      </w:r>
    </w:p>
    <w:p>
      <w:pPr>
        <w:spacing w:after="160" w:line="276" w:lineRule="auto"/>
      </w:pPr>
      <w:r>
        <w:t xml:space="preserve">    → Expected: Maintain voluntary turnover below 8% while improving female retention rate to reverse workforce composition decline; identify and remediate gender-specific attrition drivers</w:t>
      </w:r>
    </w:p>
    <w:p>
      <w:pPr>
        <w:spacing w:after="160" w:line="276" w:lineRule="auto"/>
      </w:pPr>
      <w:r>
        <w:rPr>
          <w:rFonts w:ascii="Arial" w:hAnsi="Arial"/>
          <w:i/>
          <w:color w:val="646464"/>
          <w:sz w:val="18"/>
        </w:rPr>
        <w:t xml:space="preserve">    → Ref: BCA: Comprehensive retention strategy integrating remuneration, career development, and work-life balance with measurable outcomes and management accountability.</w:t>
      </w:r>
    </w:p>
    <w:p/>
    <w:p>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OJK POJK 51/2017: Kinerja Sosial - Tenaga Kerja</w:t>
      </w:r>
    </w:p>
    <w:p>
      <w:pPr>
        <w:spacing w:after="80"/>
        <w:pBdr>
          <w:bottom w:val="single" w:sz="6" w:space="1" w:color="CCCCCC"/>
        </w:pBdr>
      </w:pPr>
    </w:p>
    <w:p>
      <w:pPr>
        <w:spacing w:after="160" w:line="276" w:lineRule="auto"/>
      </w:pPr>
      <w:r>
        <w:rPr>
          <w:rFonts w:ascii="Arial" w:hAnsi="Arial"/>
          <w:i/>
          <w:color w:val="646464"/>
          <w:sz w:val="18"/>
        </w:rPr>
        <w:t>All workforce data represents full-time equivalent (FTE) employees as of December 31, 2024.</w:t>
      </w:r>
    </w:p>
    <w:p>
      <w:pPr>
        <w:spacing w:after="160" w:line="276" w:lineRule="auto"/>
      </w:pPr>
      <w:r>
        <w:rPr>
          <w:rFonts w:ascii="Arial" w:hAnsi="Arial"/>
          <w:i/>
          <w:color w:val="646464"/>
          <w:sz w:val="18"/>
        </w:rPr>
        <w:t>Voluntary turnover rate excludes involuntary terminations and retirements.</w:t>
      </w:r>
    </w:p>
    <w:p>
      <w:pPr>
        <w:spacing w:after="160" w:line="276" w:lineRule="auto"/>
      </w:pPr>
      <w:r>
        <w:rPr>
          <w:rFonts w:ascii="Arial" w:hAnsi="Arial"/>
          <w:i/>
          <w:color w:val="646464"/>
          <w:sz w:val="18"/>
        </w:rPr>
        <w:t>Training hours include all formal learning activities tracked in the institution's learning management system.</w:t>
      </w:r>
    </w:p>
    <w:p>
      <w:pPr>
        <w:spacing w:after="160" w:line="276" w:lineRule="auto"/>
      </w:pPr>
      <w:r>
        <w:rPr>
          <w:rFonts w:ascii="Arial" w:hAnsi="Arial"/>
          <w:i/>
          <w:color w:val="646464"/>
          <w:sz w:val="18"/>
        </w:rPr>
        <w:t>Management positions include all roles at supervisor level and above.</w:t>
      </w:r>
    </w:p>
    <w:p>
      <w:pPr>
        <w:spacing w:after="160" w:line="276" w:lineRule="auto"/>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Governance &amp; Strategy</w:t>
      </w:r>
    </w:p>
    <w:p>
      <w:pPr>
        <w:pStyle w:val="Heading2"/>
        <w:keepNext/>
        <w:spacing w:before="360" w:after="160"/>
      </w:pPr>
      <w:r>
        <w:rPr>
          <w:rFonts w:ascii="Arial" w:hAnsi="Arial"/>
          <w:b/>
          <w:color w:val="3D6094"/>
          <w:sz w:val="28"/>
        </w:rPr>
        <w:t>3.1 Climate Governance &amp; ESG Oversight</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Not Established</w:t>
            </w:r>
            <w:r>
              <w:rPr>
                <w:color w:val="757575"/>
                <w:sz w:val="18"/>
              </w:rPr>
              <w:t xml:space="preserve"> status</w:t>
            </w:r>
            <w:r>
              <w:rPr>
                <w:b/>
                <w:color w:val="C62828"/>
                <w:sz w:val="20"/>
              </w:rPr>
              <w:br/>
              <w:t>3-4 years behind peers</w:t>
            </w:r>
          </w:p>
        </w:tc>
        <w:tc>
          <w:tcPr>
            <w:tcW w:type="dxa" w:w="2257"/>
            <w:shd w:fill="F2F6FA" w:val="clear"/>
          </w:tcPr>
          <w:p>
            <w:pPr>
              <w:jc w:val="center"/>
            </w:pPr>
            <w:r>
              <w:rPr>
                <w:b/>
                <w:color w:val="1B3A6B"/>
                <w:sz w:val="36"/>
              </w:rPr>
              <w:t>0</w:t>
            </w:r>
            <w:r>
              <w:rPr>
                <w:color w:val="757575"/>
                <w:sz w:val="18"/>
              </w:rPr>
              <w:t xml:space="preserve"> %</w:t>
            </w:r>
            <w:r>
              <w:rPr>
                <w:b/>
                <w:color w:val="C62828"/>
                <w:sz w:val="20"/>
              </w:rPr>
              <w:br/>
              <w:t>vs. 15-20% peer average</w:t>
            </w:r>
          </w:p>
        </w:tc>
        <w:tc>
          <w:tcPr>
            <w:tcW w:type="dxa" w:w="2257"/>
            <w:shd w:fill="F2F6FA" w:val="clear"/>
          </w:tcPr>
          <w:p>
            <w:pPr>
              <w:jc w:val="center"/>
            </w:pPr>
            <w:r>
              <w:rPr>
                <w:b/>
                <w:color w:val="1B3A6B"/>
                <w:sz w:val="36"/>
              </w:rPr>
              <w:t>0</w:t>
            </w:r>
            <w:r>
              <w:rPr>
                <w:color w:val="757575"/>
                <w:sz w:val="18"/>
              </w:rPr>
              <w:t xml:space="preserve"> out of 7 requirements</w:t>
            </w:r>
            <w:r>
              <w:rPr>
                <w:b/>
                <w:color w:val="C62828"/>
                <w:sz w:val="20"/>
              </w:rPr>
              <w:br/>
              <w:t>vs. 6-7/7 for BRI/DBS</w:t>
            </w:r>
          </w:p>
        </w:tc>
        <w:tc>
          <w:tcPr>
            <w:tcW w:type="dxa" w:w="2257"/>
            <w:shd w:fill="F2F6FA" w:val="clear"/>
          </w:tcPr>
          <w:p>
            <w:pPr>
              <w:jc w:val="center"/>
            </w:pPr>
            <w:r>
              <w:rPr>
                <w:b/>
                <w:color w:val="1B3A6B"/>
                <w:sz w:val="36"/>
              </w:rPr>
              <w:t>3.2</w:t>
            </w:r>
            <w:r>
              <w:rPr>
                <w:color w:val="757575"/>
                <w:sz w:val="18"/>
              </w:rPr>
              <w:t xml:space="preserve"> IDR billion over 18 months</w:t>
            </w:r>
            <w:r>
              <w:rPr>
                <w:b/>
                <w:color w:val="2E7D32"/>
                <w:sz w:val="20"/>
              </w:rPr>
              <w:br/>
              <w:t>for full governance infrastructure</w:t>
            </w:r>
          </w:p>
        </w:tc>
      </w:tr>
      <w:tr>
        <w:tc>
          <w:tcPr>
            <w:tcW w:type="dxa" w:w="2257"/>
            <w:shd w:fill="F2F6FA" w:val="clear"/>
          </w:tcPr>
          <w:p>
            <w:pPr>
              <w:jc w:val="center"/>
            </w:pPr>
            <w:r>
              <w:rPr>
                <w:color w:val="757575"/>
                <w:sz w:val="16"/>
              </w:rPr>
              <w:t>Board ESG Committee Status</w:t>
            </w:r>
          </w:p>
        </w:tc>
        <w:tc>
          <w:tcPr>
            <w:tcW w:type="dxa" w:w="2257"/>
            <w:shd w:fill="F2F6FA" w:val="clear"/>
          </w:tcPr>
          <w:p>
            <w:pPr>
              <w:jc w:val="center"/>
            </w:pPr>
            <w:r>
              <w:rPr>
                <w:color w:val="757575"/>
                <w:sz w:val="16"/>
              </w:rPr>
              <w:t>Executive Remuneration Linked to ESG</w:t>
            </w:r>
          </w:p>
        </w:tc>
        <w:tc>
          <w:tcPr>
            <w:tcW w:type="dxa" w:w="2257"/>
            <w:shd w:fill="F2F6FA" w:val="clear"/>
          </w:tcPr>
          <w:p>
            <w:pPr>
              <w:jc w:val="center"/>
            </w:pPr>
            <w:r>
              <w:rPr>
                <w:color w:val="757575"/>
                <w:sz w:val="16"/>
              </w:rPr>
              <w:t>Framework Compliance Score</w:t>
            </w:r>
          </w:p>
        </w:tc>
        <w:tc>
          <w:tcPr>
            <w:tcW w:type="dxa" w:w="2257"/>
            <w:shd w:fill="F2F6FA" w:val="clear"/>
          </w:tcPr>
          <w:p>
            <w:pPr>
              <w:jc w:val="center"/>
            </w:pPr>
            <w:r>
              <w:rPr>
                <w:color w:val="757575"/>
                <w:sz w:val="16"/>
              </w:rPr>
              <w:t>Estimated Implementation Investment</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Zero formal climate governance while peers have Board committees, quarterly reviews, and 10-20% remuneration linkage — critical compliance gap</w:t>
            </w:r>
          </w:p>
          <w:p>
            <w:r>
              <w:rPr>
                <w:sz w:val="20"/>
              </w:rPr>
              <w:t>The institution lacks all required governance disclosures under IFRS S2, GRI, ESRS, and OJK POJK 51. Peer banks BRI, BCA, and DBS have established Board-level ESG committees with quarterly oversight, management-level ESG coordinators, and executive remuneration linked to climate KPIs. This governance gap delays climate strategy execution and creates regulatory non-compliance risk for 2025-2026 reporting cycles.</w:t>
            </w:r>
          </w:p>
        </w:tc>
      </w:tr>
    </w:tbl>
    <w:p/>
    <w:p>
      <w:pPr>
        <w:pStyle w:val="Heading3"/>
        <w:keepNext/>
      </w:pPr>
      <w:r>
        <w:rPr>
          <w:rFonts w:ascii="Arial" w:hAnsi="Arial"/>
          <w:b/>
          <w:color w:val="4A7AB5"/>
          <w:sz w:val="24"/>
        </w:rPr>
        <w:t>Governance Structure Gap Analysis</w:t>
      </w:r>
    </w:p>
    <w:p>
      <w:pPr>
        <w:spacing w:after="160" w:line="276" w:lineRule="auto"/>
      </w:pPr>
      <w:r>
        <w:rPr>
          <w:rFonts w:ascii="Arial" w:hAnsi="Arial"/>
          <w:sz w:val="22"/>
        </w:rPr>
        <w:t>The institution has not yet established formal governance structures for climate-related risks and opportunities as required by multiple sustainability reporting frameworks. This section identifies the governance disclosure requirements under IFRS S2, GRI 2-12/2-13, ESRS 2 GOV-3, and OJK POJK 51/2017 on Sustainable Finance Action Plan (SFAP), and provides a roadmap for establishing compliant governance infrastructure based on peer bank implementations in Indonesia.</w:t>
      </w:r>
    </w:p>
    <w:p>
      <w:pPr>
        <w:pStyle w:val="Heading3"/>
        <w:keepNext/>
      </w:pPr>
      <w:r>
        <w:rPr>
          <w:rFonts w:ascii="Arial" w:hAnsi="Arial"/>
          <w:b/>
          <w:color w:val="4A7AB5"/>
          <w:sz w:val="24"/>
        </w:rPr>
        <w:t>Framework Requirements Not Currently Met</w:t>
      </w:r>
    </w:p>
    <w:p>
      <w:pPr>
        <w:spacing w:after="160" w:line="276" w:lineRule="auto"/>
      </w:pPr>
      <w:r>
        <w:rPr>
          <w:rFonts w:ascii="Arial" w:hAnsi="Arial"/>
          <w:b/>
          <w:sz w:val="22"/>
        </w:rPr>
        <w:t>IFRS S2 Paragraph 5</w:t>
      </w:r>
      <w:r>
        <w:rPr>
          <w:rFonts w:ascii="Arial" w:hAnsi="Arial"/>
          <w:sz w:val="22"/>
        </w:rPr>
        <w:t xml:space="preserve"> requires identification of the governance body or bodies (which can include a board, committee, or equivalent body charged with governance) with oversight of climate-related risks and opportunities. The institution must disclose how responsibilities for climate-related risks and opportunities are reflected in the terms of reference, board mandates, and other related policies.</w:t>
      </w:r>
    </w:p>
    <w:p>
      <w:pPr>
        <w:spacing w:after="160" w:line="276" w:lineRule="auto"/>
      </w:pPr>
      <w:r>
        <w:rPr>
          <w:rFonts w:ascii="Arial" w:hAnsi="Arial"/>
          <w:b/>
          <w:sz w:val="22"/>
        </w:rPr>
        <w:t>IFRS S2 Paragraph 6</w:t>
      </w:r>
      <w:r>
        <w:rPr>
          <w:rFonts w:ascii="Arial" w:hAnsi="Arial"/>
          <w:sz w:val="22"/>
        </w:rPr>
        <w:t xml:space="preserve"> requires description of management's role in the governance processes, controls, and procedures used to monitor, manage, and oversee climate-related risks and opportunities, including information about whether specific management-level positions or committees are responsible and how management is informed about climate-related risks and opportunities.</w:t>
      </w:r>
    </w:p>
    <w:p>
      <w:pPr>
        <w:spacing w:after="160" w:line="276" w:lineRule="auto"/>
      </w:pPr>
      <w:r>
        <w:rPr>
          <w:rFonts w:ascii="Arial" w:hAnsi="Arial"/>
          <w:b/>
          <w:sz w:val="22"/>
        </w:rPr>
        <w:t>IFRS S2 Paragraph 7</w:t>
      </w:r>
      <w:r>
        <w:rPr>
          <w:rFonts w:ascii="Arial" w:hAnsi="Arial"/>
          <w:sz w:val="22"/>
        </w:rPr>
        <w:t xml:space="preserve"> requires disclosure of how the governance body's oversight of climate-related risks and opportunities is reflected in the entity's strategy, decision-making processes, and risk management processes.</w:t>
      </w:r>
    </w:p>
    <w:p>
      <w:pPr>
        <w:spacing w:after="160" w:line="276" w:lineRule="auto"/>
      </w:pPr>
      <w:r>
        <w:rPr>
          <w:rFonts w:ascii="Arial" w:hAnsi="Arial"/>
          <w:b/>
          <w:sz w:val="22"/>
        </w:rPr>
        <w:t>GRI 2-12</w:t>
      </w:r>
      <w:r>
        <w:rPr>
          <w:rFonts w:ascii="Arial" w:hAnsi="Arial"/>
          <w:sz w:val="22"/>
        </w:rPr>
        <w:t xml:space="preserve"> requires reporting the role of the highest governance body in overseeing the management of the organization's impacts on the economy, environment, and people, including how the highest governance body is responsible for setting the organization's purpose, values, and strategy.</w:t>
      </w:r>
    </w:p>
    <w:p>
      <w:pPr>
        <w:spacing w:after="160" w:line="276" w:lineRule="auto"/>
      </w:pPr>
      <w:r>
        <w:rPr>
          <w:rFonts w:ascii="Arial" w:hAnsi="Arial"/>
          <w:b/>
          <w:sz w:val="22"/>
        </w:rPr>
        <w:t>GRI 2-13</w:t>
      </w:r>
      <w:r>
        <w:rPr>
          <w:rFonts w:ascii="Arial" w:hAnsi="Arial"/>
          <w:sz w:val="22"/>
        </w:rPr>
        <w:t xml:space="preserve"> requires disclosure of how the highest governance body delegates responsibility for managing the organization's impacts on the economy, environment, and people, including whether it has appointed any management-level positions with responsibility for these impacts.</w:t>
      </w:r>
    </w:p>
    <w:p>
      <w:pPr>
        <w:spacing w:after="160" w:line="276" w:lineRule="auto"/>
      </w:pPr>
      <w:r>
        <w:rPr>
          <w:rFonts w:ascii="Arial" w:hAnsi="Arial"/>
          <w:b/>
          <w:sz w:val="22"/>
        </w:rPr>
        <w:t>ESRS 2 GOV-3</w:t>
      </w:r>
      <w:r>
        <w:rPr>
          <w:rFonts w:ascii="Arial" w:hAnsi="Arial"/>
          <w:sz w:val="22"/>
        </w:rPr>
        <w:t xml:space="preserve"> requires disclosure of how sustainability-related performance is integrated into incentive schemes, including the proportion of variable remuneration dependent on sustainability-related targets and which sustainability matters are covered.</w:t>
      </w:r>
    </w:p>
    <w:p>
      <w:pPr>
        <w:spacing w:after="160" w:line="276" w:lineRule="auto"/>
      </w:pPr>
      <w:r>
        <w:rPr>
          <w:rFonts w:ascii="Arial" w:hAnsi="Arial"/>
          <w:b/>
          <w:sz w:val="22"/>
        </w:rPr>
        <w:t>OJK POJK 51/2017 and SEOJK 16/SEOJK.03/2021</w:t>
      </w:r>
      <w:r>
        <w:rPr>
          <w:rFonts w:ascii="Arial" w:hAnsi="Arial"/>
          <w:sz w:val="22"/>
        </w:rPr>
        <w:t xml:space="preserve"> require financial institutions to establish board-level oversight of sustainability, integrate ESG considerations into risk management, and submit annual Sustainable Finance Action Plans (SFAP) demonstrating governance commitment to sustainable finance.</w:t>
      </w:r>
    </w:p>
    <w:p>
      <w:pPr>
        <w:pStyle w:val="Heading3"/>
        <w:keepNext/>
      </w:pPr>
      <w:r>
        <w:rPr>
          <w:rFonts w:ascii="Arial" w:hAnsi="Arial"/>
          <w:b/>
          <w:color w:val="4A7AB5"/>
          <w:sz w:val="24"/>
        </w:rPr>
        <w:t>Peer Bank Governance Practices</w:t>
      </w:r>
    </w:p>
    <w:p>
      <w:pPr>
        <w:spacing w:after="160" w:line="276" w:lineRule="auto"/>
      </w:pPr>
      <w:r>
        <w:rPr>
          <w:rFonts w:ascii="Arial" w:hAnsi="Arial"/>
          <w:sz w:val="22"/>
        </w:rPr>
        <w:t>Leading Indonesian financial institutions have established comprehensive ESG governance structures that provide implementation models:</w:t>
      </w:r>
    </w:p>
    <w:p>
      <w:pPr>
        <w:spacing w:after="160" w:line="276" w:lineRule="auto"/>
      </w:pPr>
      <w:r>
        <w:rPr>
          <w:rFonts w:ascii="Arial" w:hAnsi="Arial"/>
          <w:b/>
          <w:sz w:val="22"/>
        </w:rPr>
        <w:t>Bank Rakyat Indonesia (BRI)</w:t>
      </w:r>
      <w:r>
        <w:rPr>
          <w:rFonts w:ascii="Arial" w:hAnsi="Arial"/>
          <w:sz w:val="22"/>
        </w:rPr>
        <w:t xml:space="preserve"> established a dedicated Risk Management &amp; ESG Committee at the Board of Directors level in 2021 via Decision NOKEP 872-DIR/PPM/06/2022. The committee conducts quarterly reviews of climate-related risks and opportunities, with ESG performance metrics integrated into Board of Directors' key performance indicators. BRI was the first Indonesian financial institution to commit to Science-Based Targets initiative (SBTi) and joined the Net-Zero Banking Alliance (NZBA), demonstrating board-level commitment to climate action.</w:t>
      </w:r>
    </w:p>
    <w:p>
      <w:pPr>
        <w:spacing w:after="160" w:line="276" w:lineRule="auto"/>
      </w:pPr>
      <w:r>
        <w:rPr>
          <w:rFonts w:ascii="Arial" w:hAnsi="Arial"/>
          <w:b/>
          <w:sz w:val="22"/>
        </w:rPr>
        <w:t>Bank Central Asia (BCA)</w:t>
      </w:r>
      <w:r>
        <w:rPr>
          <w:rFonts w:ascii="Arial" w:hAnsi="Arial"/>
          <w:sz w:val="22"/>
        </w:rPr>
        <w:t xml:space="preserve"> operates an ESG Subdivision under the Corporate Secretary function, reporting to the Director of Planning &amp; Finance, who in turn reports to the President Director. The Board of Directors reviews ESG performance at least four times per year. BCA has issued multiple Board of Directors Decrees establishing sectoral ESG credit policies for high-risk sectors including palm oil, coal, timber, toll roads, cement, iron-steel, and oil &amp; gas. ESG key performance indicators are integrated into Board of Directors and work unit performance assessments.</w:t>
      </w:r>
    </w:p>
    <w:p>
      <w:pPr>
        <w:spacing w:after="160" w:line="276" w:lineRule="auto"/>
      </w:pPr>
      <w:r>
        <w:rPr>
          <w:rFonts w:ascii="Arial" w:hAnsi="Arial"/>
          <w:b/>
          <w:sz w:val="22"/>
        </w:rPr>
        <w:t>DBS Bank</w:t>
      </w:r>
      <w:r>
        <w:rPr>
          <w:rFonts w:ascii="Arial" w:hAnsi="Arial"/>
          <w:sz w:val="22"/>
        </w:rPr>
        <w:t xml:space="preserve"> maintains a Board Sustainability Committee with a dedicated Chief Sustainability Officer (CSO) reporting directly to the Board. DBS links 20% of executive remuneration to ESG performance metrics, including emissions reduction targets and sustainable finance portfolio growth. The bank conducts quarterly Board-level reviews of climate strategy and has achieved 62% renewable energy usage across operations.</w:t>
      </w:r>
    </w:p>
    <w:p>
      <w:pPr>
        <w:spacing w:after="160" w:line="276" w:lineRule="auto"/>
      </w:pPr>
      <w:r>
        <w:rPr>
          <w:rFonts w:ascii="Arial" w:hAnsi="Arial"/>
          <w:b/>
          <w:sz w:val="22"/>
        </w:rPr>
        <w:t>Bank Mandiri</w:t>
      </w:r>
      <w:r>
        <w:rPr>
          <w:rFonts w:ascii="Arial" w:hAnsi="Arial"/>
          <w:sz w:val="22"/>
        </w:rPr>
        <w:t xml:space="preserve"> operates an ESG Task Force with semi-annual Board reviews, though governance integration is less formalized than BRI or BCA structures.</w:t>
      </w:r>
    </w:p>
    <w:p>
      <w:pPr>
        <w:pStyle w:val="Heading3"/>
        <w:keepNext/>
      </w:pPr>
      <w:r>
        <w:rPr>
          <w:rFonts w:ascii="Arial" w:hAnsi="Arial"/>
          <w:b/>
          <w:color w:val="4A7AB5"/>
          <w:sz w:val="24"/>
        </w:rPr>
        <w:t>Recommended Governance Infrastructure</w:t>
      </w:r>
    </w:p>
    <w:p>
      <w:pPr>
        <w:spacing w:after="160" w:line="276" w:lineRule="auto"/>
      </w:pPr>
      <w:r>
        <w:rPr>
          <w:rFonts w:ascii="Arial" w:hAnsi="Arial"/>
          <w:sz w:val="22"/>
        </w:rPr>
        <w:t>To achieve compliance with multi-framework requirements and align with peer practices, the institution should implement the following governance structure:</w:t>
      </w:r>
    </w:p>
    <w:p>
      <w:pPr>
        <w:spacing w:after="160" w:line="276" w:lineRule="auto"/>
      </w:pPr>
      <w:r>
        <w:rPr>
          <w:rFonts w:ascii="Arial" w:hAnsi="Arial"/>
          <w:b/>
          <w:sz w:val="22"/>
        </w:rPr>
        <w:t>Phase 1 (Q3 2025 - Q4 2025): Foundation Establishment</w:t>
      </w:r>
    </w:p>
    <w:p>
      <w:pPr>
        <w:pStyle w:val="ListBullet"/>
      </w:pPr>
      <w:r>
        <w:rPr>
          <w:rFonts w:ascii="Arial" w:hAnsi="Arial"/>
          <w:sz w:val="22"/>
        </w:rPr>
        <w:t>Establish Board-level ESG Committee or integrate ESG oversight into existing Risk Committee, with formal terms of reference defining climate-related responsibilities, meeting frequency (minimum quarterly), and reporting requirements</w:t>
      </w:r>
    </w:p>
    <w:p>
      <w:pPr>
        <w:pStyle w:val="ListBullet"/>
      </w:pPr>
      <w:r>
        <w:rPr>
          <w:rFonts w:ascii="Arial" w:hAnsi="Arial"/>
          <w:sz w:val="22"/>
        </w:rPr>
        <w:t>Appoint management-level ESG coordinator or Chief Sustainability Officer with direct reporting line to Board ESG Committee</w:t>
      </w:r>
    </w:p>
    <w:p>
      <w:pPr>
        <w:pStyle w:val="ListBullet"/>
      </w:pPr>
      <w:r>
        <w:rPr>
          <w:rFonts w:ascii="Arial" w:hAnsi="Arial"/>
          <w:sz w:val="22"/>
        </w:rPr>
        <w:t>Develop Board ESG competency framework and deliver initial training program covering IFRS S2, GRI Standards, ESRS requirements, and OJK SFAP obligations</w:t>
      </w:r>
    </w:p>
    <w:p>
      <w:pPr>
        <w:pStyle w:val="ListBullet"/>
      </w:pPr>
      <w:r>
        <w:rPr>
          <w:rFonts w:ascii="Arial" w:hAnsi="Arial"/>
          <w:sz w:val="22"/>
        </w:rPr>
        <w:t>Draft initial climate governance policy documenting roles, responsibilities, and escalation procedures</w:t>
      </w:r>
    </w:p>
    <w:p>
      <w:pPr>
        <w:spacing w:after="160" w:line="276" w:lineRule="auto"/>
      </w:pPr>
      <w:r>
        <w:rPr>
          <w:rFonts w:ascii="Arial" w:hAnsi="Arial"/>
          <w:b/>
          <w:sz w:val="22"/>
        </w:rPr>
        <w:t>Phase 2 (Q1 2026 - Q2 2026): Integration &amp; Formalization</w:t>
      </w:r>
    </w:p>
    <w:p>
      <w:pPr>
        <w:pStyle w:val="ListBullet"/>
      </w:pPr>
      <w:r>
        <w:rPr>
          <w:rFonts w:ascii="Arial" w:hAnsi="Arial"/>
          <w:sz w:val="22"/>
        </w:rPr>
        <w:t>Integrate climate-related risks into enterprise risk management framework with quarterly Board reporting</w:t>
      </w:r>
    </w:p>
    <w:p>
      <w:pPr>
        <w:pStyle w:val="ListBullet"/>
      </w:pPr>
      <w:r>
        <w:rPr>
          <w:rFonts w:ascii="Arial" w:hAnsi="Arial"/>
          <w:sz w:val="22"/>
        </w:rPr>
        <w:t>Establish management-level Climate Risk Working Group comprising representatives from Risk, Treasury, Credit, Operations, and Compliance functions</w:t>
      </w:r>
    </w:p>
    <w:p>
      <w:pPr>
        <w:pStyle w:val="ListBullet"/>
      </w:pPr>
      <w:r>
        <w:rPr>
          <w:rFonts w:ascii="Arial" w:hAnsi="Arial"/>
          <w:sz w:val="22"/>
        </w:rPr>
        <w:t>Develop sectoral ESG credit policies for carbon-intensive sectors (energy, cement, steel, transportation) following BCA model</w:t>
      </w:r>
    </w:p>
    <w:p>
      <w:pPr>
        <w:pStyle w:val="ListBullet"/>
      </w:pPr>
      <w:r>
        <w:rPr>
          <w:rFonts w:ascii="Arial" w:hAnsi="Arial"/>
          <w:sz w:val="22"/>
        </w:rPr>
        <w:t>Link 10-15% of executive variable remuneration to ESG key performance indicators, including Scope 1+2 emissions reduction and sustainable finance portfolio growth targets</w:t>
      </w:r>
    </w:p>
    <w:p>
      <w:pPr>
        <w:spacing w:after="160" w:line="276" w:lineRule="auto"/>
      </w:pPr>
      <w:r>
        <w:rPr>
          <w:rFonts w:ascii="Arial" w:hAnsi="Arial"/>
          <w:b/>
          <w:sz w:val="22"/>
        </w:rPr>
        <w:t>Phase 3 (Q3 2026 - Q4 2026): Disclosure &amp; External Validation</w:t>
      </w:r>
    </w:p>
    <w:p>
      <w:pPr>
        <w:pStyle w:val="ListBullet"/>
      </w:pPr>
      <w:r>
        <w:rPr>
          <w:rFonts w:ascii="Arial" w:hAnsi="Arial"/>
          <w:sz w:val="22"/>
        </w:rPr>
        <w:t>Publish comprehensive climate governance disclosure in 2026 sustainability report covering all IFRS S2, GRI, and ESRS requirements</w:t>
      </w:r>
    </w:p>
    <w:p>
      <w:pPr>
        <w:pStyle w:val="ListBullet"/>
      </w:pPr>
      <w:r>
        <w:rPr>
          <w:rFonts w:ascii="Arial" w:hAnsi="Arial"/>
          <w:sz w:val="22"/>
        </w:rPr>
        <w:t>Submit enhanced SFAP to OJK demonstrating board-level governance commitment</w:t>
      </w:r>
    </w:p>
    <w:p>
      <w:pPr>
        <w:pStyle w:val="ListBullet"/>
      </w:pPr>
      <w:r>
        <w:rPr>
          <w:rFonts w:ascii="Arial" w:hAnsi="Arial"/>
          <w:sz w:val="22"/>
        </w:rPr>
        <w:t>Consider external ESG governance assessment or certification</w:t>
      </w:r>
    </w:p>
    <w:p>
      <w:pPr>
        <w:pStyle w:val="ListBullet"/>
      </w:pPr>
      <w:r>
        <w:rPr>
          <w:rFonts w:ascii="Arial" w:hAnsi="Arial"/>
          <w:sz w:val="22"/>
        </w:rPr>
        <w:t>Evaluate membership in industry initiatives (PCAF, SBTi, NZBA) requiring board-level commitment</w:t>
      </w:r>
    </w:p>
    <w:p>
      <w:r>
        <w:rPr>
          <w:rFonts w:ascii="Arial" w:hAnsi="Arial"/>
          <w:b/>
          <w:sz w:val="20"/>
        </w:rPr>
        <w:t>Table 54: Table 3.1.1: Framework Governance Requirements — Compliance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IFRS S2</w:t>
            </w:r>
          </w:p>
        </w:tc>
        <w:tc>
          <w:tcPr>
            <w:tcW w:type="dxa" w:w="1806"/>
          </w:tcPr>
          <w:p>
            <w:r>
              <w:rPr>
                <w:rFonts w:ascii="Arial" w:hAnsi="Arial"/>
                <w:sz w:val="18"/>
              </w:rPr>
              <w:t>Paragraph 5</w:t>
            </w:r>
          </w:p>
        </w:tc>
        <w:tc>
          <w:tcPr>
            <w:tcW w:type="dxa" w:w="1806"/>
          </w:tcPr>
          <w:p>
            <w:r>
              <w:rPr>
                <w:rFonts w:ascii="Arial" w:hAnsi="Arial"/>
                <w:sz w:val="18"/>
              </w:rPr>
              <w:t>Identification of governance body with climate oversight</w:t>
            </w:r>
          </w:p>
        </w:tc>
        <w:tc>
          <w:tcPr>
            <w:tcW w:type="dxa" w:w="1806"/>
          </w:tcPr>
          <w:p>
            <w:r>
              <w:rPr>
                <w:rFonts w:ascii="Arial" w:hAnsi="Arial"/>
                <w:sz w:val="18"/>
              </w:rPr>
              <w:t>⚠️ Gap</w:t>
            </w:r>
          </w:p>
        </w:tc>
        <w:tc>
          <w:tcPr>
            <w:tcW w:type="dxa" w:w="1806"/>
          </w:tcPr>
          <w:p>
            <w:r>
              <w:rPr>
                <w:rFonts w:ascii="Arial" w:hAnsi="Arial"/>
                <w:sz w:val="18"/>
              </w:rPr>
              <w:t>High</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Paragraph 6</w:t>
            </w:r>
          </w:p>
        </w:tc>
        <w:tc>
          <w:tcPr>
            <w:tcW w:type="dxa" w:w="1806"/>
            <w:shd w:fill="F2F6FC" w:val="clear"/>
          </w:tcPr>
          <w:p>
            <w:r>
              <w:rPr>
                <w:rFonts w:ascii="Arial" w:hAnsi="Arial"/>
                <w:sz w:val="18"/>
              </w:rPr>
              <w:t>Description of management's role in climate governance</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High</w:t>
            </w:r>
          </w:p>
        </w:tc>
      </w:tr>
      <w:tr>
        <w:tc>
          <w:tcPr>
            <w:tcW w:type="dxa" w:w="1806"/>
          </w:tcPr>
          <w:p>
            <w:r>
              <w:rPr>
                <w:rFonts w:ascii="Arial" w:hAnsi="Arial"/>
                <w:sz w:val="18"/>
              </w:rPr>
              <w:t>IFRS S2</w:t>
            </w:r>
          </w:p>
        </w:tc>
        <w:tc>
          <w:tcPr>
            <w:tcW w:type="dxa" w:w="1806"/>
          </w:tcPr>
          <w:p>
            <w:r>
              <w:rPr>
                <w:rFonts w:ascii="Arial" w:hAnsi="Arial"/>
                <w:sz w:val="18"/>
              </w:rPr>
              <w:t>Paragraph 7</w:t>
            </w:r>
          </w:p>
        </w:tc>
        <w:tc>
          <w:tcPr>
            <w:tcW w:type="dxa" w:w="1806"/>
          </w:tcPr>
          <w:p>
            <w:r>
              <w:rPr>
                <w:rFonts w:ascii="Arial" w:hAnsi="Arial"/>
                <w:sz w:val="18"/>
              </w:rPr>
              <w:t>How governance oversight is reflected in strategy and risk management</w:t>
            </w:r>
          </w:p>
        </w:tc>
        <w:tc>
          <w:tcPr>
            <w:tcW w:type="dxa" w:w="1806"/>
          </w:tcPr>
          <w:p>
            <w:r>
              <w:rPr>
                <w:rFonts w:ascii="Arial" w:hAnsi="Arial"/>
                <w:sz w:val="18"/>
              </w:rPr>
              <w:t>⚠️ Gap</w:t>
            </w:r>
          </w:p>
        </w:tc>
        <w:tc>
          <w:tcPr>
            <w:tcW w:type="dxa" w:w="1806"/>
          </w:tcPr>
          <w:p>
            <w:r>
              <w:rPr>
                <w:rFonts w:ascii="Arial" w:hAnsi="Arial"/>
                <w:sz w:val="18"/>
              </w:rPr>
              <w:t>High</w:t>
            </w:r>
          </w:p>
        </w:tc>
      </w:tr>
      <w:tr>
        <w:tc>
          <w:tcPr>
            <w:tcW w:type="dxa" w:w="1806"/>
            <w:shd w:fill="F2F6FC" w:val="clear"/>
          </w:tcPr>
          <w:p>
            <w:r>
              <w:rPr>
                <w:rFonts w:ascii="Arial" w:hAnsi="Arial"/>
                <w:sz w:val="18"/>
              </w:rPr>
              <w:t>GRI 2-12</w:t>
            </w:r>
          </w:p>
        </w:tc>
        <w:tc>
          <w:tcPr>
            <w:tcW w:type="dxa" w:w="1806"/>
            <w:shd w:fill="F2F6FC" w:val="clear"/>
          </w:tcPr>
          <w:p>
            <w:r>
              <w:rPr>
                <w:rFonts w:ascii="Arial" w:hAnsi="Arial"/>
                <w:sz w:val="18"/>
              </w:rPr>
              <w:t>2-12a</w:t>
            </w:r>
          </w:p>
        </w:tc>
        <w:tc>
          <w:tcPr>
            <w:tcW w:type="dxa" w:w="1806"/>
            <w:shd w:fill="F2F6FC" w:val="clear"/>
          </w:tcPr>
          <w:p>
            <w:r>
              <w:rPr>
                <w:rFonts w:ascii="Arial" w:hAnsi="Arial"/>
                <w:sz w:val="18"/>
              </w:rPr>
              <w:t>Role of highest governance body in overseeing sustainability impacts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High</w:t>
            </w:r>
          </w:p>
        </w:tc>
      </w:tr>
      <w:tr>
        <w:tc>
          <w:tcPr>
            <w:tcW w:type="dxa" w:w="1806"/>
          </w:tcPr>
          <w:p>
            <w:r>
              <w:rPr>
                <w:rFonts w:ascii="Arial" w:hAnsi="Arial"/>
                <w:sz w:val="18"/>
              </w:rPr>
              <w:t>GRI 2-13</w:t>
            </w:r>
          </w:p>
        </w:tc>
        <w:tc>
          <w:tcPr>
            <w:tcW w:type="dxa" w:w="1806"/>
          </w:tcPr>
          <w:p>
            <w:r>
              <w:rPr>
                <w:rFonts w:ascii="Arial" w:hAnsi="Arial"/>
                <w:sz w:val="18"/>
              </w:rPr>
              <w:t>2-13a</w:t>
            </w:r>
          </w:p>
        </w:tc>
        <w:tc>
          <w:tcPr>
            <w:tcW w:type="dxa" w:w="1806"/>
          </w:tcPr>
          <w:p>
            <w:r>
              <w:rPr>
                <w:rFonts w:ascii="Arial" w:hAnsi="Arial"/>
                <w:sz w:val="18"/>
              </w:rPr>
              <w:t>Delegation of responsibility for managing sustainability impacts</w:t>
            </w:r>
          </w:p>
        </w:tc>
        <w:tc>
          <w:tcPr>
            <w:tcW w:type="dxa" w:w="1806"/>
          </w:tcPr>
          <w:p>
            <w:r>
              <w:rPr>
                <w:rFonts w:ascii="Arial" w:hAnsi="Arial"/>
                <w:sz w:val="18"/>
              </w:rPr>
              <w:t>⚠️ Gap</w:t>
            </w:r>
          </w:p>
        </w:tc>
        <w:tc>
          <w:tcPr>
            <w:tcW w:type="dxa" w:w="1806"/>
          </w:tcPr>
          <w:p>
            <w:r>
              <w:rPr>
                <w:rFonts w:ascii="Arial" w:hAnsi="Arial"/>
                <w:sz w:val="18"/>
              </w:rPr>
              <w:t>High</w:t>
            </w:r>
          </w:p>
        </w:tc>
      </w:tr>
      <w:tr>
        <w:tc>
          <w:tcPr>
            <w:tcW w:type="dxa" w:w="1806"/>
            <w:shd w:fill="F2F6FC" w:val="clear"/>
          </w:tcPr>
          <w:p>
            <w:r>
              <w:rPr>
                <w:rFonts w:ascii="Arial" w:hAnsi="Arial"/>
                <w:sz w:val="18"/>
              </w:rPr>
              <w:t>ESRS 2</w:t>
            </w:r>
          </w:p>
        </w:tc>
        <w:tc>
          <w:tcPr>
            <w:tcW w:type="dxa" w:w="1806"/>
            <w:shd w:fill="F2F6FC" w:val="clear"/>
          </w:tcPr>
          <w:p>
            <w:r>
              <w:rPr>
                <w:rFonts w:ascii="Arial" w:hAnsi="Arial"/>
                <w:sz w:val="18"/>
              </w:rPr>
              <w:t>GOV-3</w:t>
            </w:r>
          </w:p>
        </w:tc>
        <w:tc>
          <w:tcPr>
            <w:tcW w:type="dxa" w:w="1806"/>
            <w:shd w:fill="F2F6FC" w:val="clear"/>
          </w:tcPr>
          <w:p>
            <w:r>
              <w:rPr>
                <w:rFonts w:ascii="Arial" w:hAnsi="Arial"/>
                <w:sz w:val="18"/>
              </w:rPr>
              <w:t>Integration of sustainability performance in incentive schemes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Medium</w:t>
            </w:r>
          </w:p>
        </w:tc>
      </w:tr>
      <w:tr>
        <w:tc>
          <w:tcPr>
            <w:tcW w:type="dxa" w:w="1806"/>
          </w:tcPr>
          <w:p>
            <w:r>
              <w:rPr>
                <w:rFonts w:ascii="Arial" w:hAnsi="Arial"/>
                <w:sz w:val="18"/>
              </w:rPr>
              <w:t>OJK POJK 51</w:t>
            </w:r>
          </w:p>
        </w:tc>
        <w:tc>
          <w:tcPr>
            <w:tcW w:type="dxa" w:w="1806"/>
          </w:tcPr>
          <w:p>
            <w:r>
              <w:rPr>
                <w:rFonts w:ascii="Arial" w:hAnsi="Arial"/>
                <w:sz w:val="18"/>
              </w:rPr>
              <w:t>Tata Kelola</w:t>
            </w:r>
          </w:p>
        </w:tc>
        <w:tc>
          <w:tcPr>
            <w:tcW w:type="dxa" w:w="1806"/>
          </w:tcPr>
          <w:p>
            <w:r>
              <w:rPr>
                <w:rFonts w:ascii="Arial" w:hAnsi="Arial"/>
                <w:sz w:val="18"/>
              </w:rPr>
              <w:t>Board-level sustainability committee and SFAP governance</w:t>
            </w:r>
          </w:p>
        </w:tc>
        <w:tc>
          <w:tcPr>
            <w:tcW w:type="dxa" w:w="1806"/>
          </w:tcPr>
          <w:p>
            <w:r>
              <w:rPr>
                <w:rFonts w:ascii="Arial" w:hAnsi="Arial"/>
                <w:sz w:val="18"/>
              </w:rPr>
              <w:t>⚠️ Gap</w:t>
            </w:r>
          </w:p>
        </w:tc>
        <w:tc>
          <w:tcPr>
            <w:tcW w:type="dxa" w:w="1806"/>
          </w:tcPr>
          <w:p>
            <w:r>
              <w:rPr>
                <w:rFonts w:ascii="Arial" w:hAnsi="Arial"/>
                <w:sz w:val="18"/>
              </w:rPr>
              <w:t>High</w:t>
            </w:r>
          </w:p>
        </w:tc>
      </w:tr>
    </w:tbl>
    <w:p>
      <w:r>
        <w:rPr>
          <w:rFonts w:ascii="Arial" w:hAnsi="Arial"/>
          <w:i/>
          <w:sz w:val="16"/>
        </w:rPr>
        <w:t>Source: Status as of reporting year 2024. All requirements represent disclosure gaps requiring governance infrastructure development.</w:t>
      </w:r>
    </w:p>
    <w:p/>
    <w:p>
      <w:r>
        <w:rPr>
          <w:rFonts w:ascii="Arial" w:hAnsi="Arial"/>
          <w:b/>
          <w:sz w:val="20"/>
        </w:rPr>
        <w:t>Table 56: Table 3.1.2: Peer Bank Governance Comparison — Indonesian Banking Sector</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Governance Element</w:t>
            </w:r>
          </w:p>
        </w:tc>
        <w:tc>
          <w:tcPr>
            <w:tcW w:type="dxa" w:w="1505"/>
            <w:shd w:fill="1B3A6B" w:val="clear"/>
          </w:tcPr>
          <w:p>
            <w:r>
              <w:rPr>
                <w:rFonts w:ascii="Arial" w:hAnsi="Arial"/>
                <w:b/>
                <w:color w:val="FFFFFF"/>
                <w:sz w:val="18"/>
              </w:rPr>
              <w:t>BRI</w:t>
            </w:r>
          </w:p>
        </w:tc>
        <w:tc>
          <w:tcPr>
            <w:tcW w:type="dxa" w:w="1505"/>
            <w:shd w:fill="1B3A6B" w:val="clear"/>
          </w:tcPr>
          <w:p>
            <w:r>
              <w:rPr>
                <w:rFonts w:ascii="Arial" w:hAnsi="Arial"/>
                <w:b/>
                <w:color w:val="FFFFFF"/>
                <w:sz w:val="18"/>
              </w:rPr>
              <w:t>BCA</w:t>
            </w:r>
          </w:p>
        </w:tc>
        <w:tc>
          <w:tcPr>
            <w:tcW w:type="dxa" w:w="1505"/>
            <w:shd w:fill="1B3A6B" w:val="clear"/>
          </w:tcPr>
          <w:p>
            <w:r>
              <w:rPr>
                <w:rFonts w:ascii="Arial" w:hAnsi="Arial"/>
                <w:b/>
                <w:color w:val="FFFFFF"/>
                <w:sz w:val="18"/>
              </w:rPr>
              <w:t>DBS</w:t>
            </w:r>
          </w:p>
        </w:tc>
        <w:tc>
          <w:tcPr>
            <w:tcW w:type="dxa" w:w="1505"/>
            <w:shd w:fill="1B3A6B" w:val="clear"/>
          </w:tcPr>
          <w:p>
            <w:r>
              <w:rPr>
                <w:rFonts w:ascii="Arial" w:hAnsi="Arial"/>
                <w:b/>
                <w:color w:val="FFFFFF"/>
                <w:sz w:val="18"/>
              </w:rPr>
              <w:t>Mandiri</w:t>
            </w:r>
          </w:p>
        </w:tc>
        <w:tc>
          <w:tcPr>
            <w:tcW w:type="dxa" w:w="1505"/>
            <w:shd w:fill="1B3A6B" w:val="clear"/>
          </w:tcPr>
          <w:p>
            <w:r>
              <w:rPr>
                <w:rFonts w:ascii="Arial" w:hAnsi="Arial"/>
                <w:b/>
                <w:color w:val="FFFFFF"/>
                <w:sz w:val="18"/>
              </w:rPr>
              <w:t>This Institution</w:t>
            </w:r>
          </w:p>
        </w:tc>
      </w:tr>
      <w:tr>
        <w:tc>
          <w:tcPr>
            <w:tcW w:type="dxa" w:w="1505"/>
          </w:tcPr>
          <w:p>
            <w:r>
              <w:rPr>
                <w:rFonts w:ascii="Arial" w:hAnsi="Arial"/>
                <w:sz w:val="18"/>
              </w:rPr>
              <w:t>Dedicated ESG Committee</w:t>
            </w:r>
          </w:p>
        </w:tc>
        <w:tc>
          <w:tcPr>
            <w:tcW w:type="dxa" w:w="1505"/>
          </w:tcPr>
          <w:p>
            <w:r>
              <w:rPr>
                <w:rFonts w:ascii="Arial" w:hAnsi="Arial"/>
                <w:sz w:val="18"/>
              </w:rPr>
              <w:t>✅ Risk Mgmt &amp; ESG Committee (2021)</w:t>
            </w:r>
          </w:p>
        </w:tc>
        <w:tc>
          <w:tcPr>
            <w:tcW w:type="dxa" w:w="1505"/>
          </w:tcPr>
          <w:p>
            <w:r>
              <w:rPr>
                <w:rFonts w:ascii="Arial" w:hAnsi="Arial"/>
                <w:sz w:val="18"/>
              </w:rPr>
              <w:t>ESG Subdivision under Corporate Secretary</w:t>
            </w:r>
          </w:p>
        </w:tc>
        <w:tc>
          <w:tcPr>
            <w:tcW w:type="dxa" w:w="1505"/>
          </w:tcPr>
          <w:p>
            <w:r>
              <w:rPr>
                <w:rFonts w:ascii="Arial" w:hAnsi="Arial"/>
                <w:sz w:val="18"/>
              </w:rPr>
              <w:t>✅ Board Sustainability Committee</w:t>
            </w:r>
          </w:p>
        </w:tc>
        <w:tc>
          <w:tcPr>
            <w:tcW w:type="dxa" w:w="1505"/>
          </w:tcPr>
          <w:p>
            <w:r>
              <w:rPr>
                <w:rFonts w:ascii="Arial" w:hAnsi="Arial"/>
                <w:sz w:val="18"/>
              </w:rPr>
              <w:t>ESG Task Force</w:t>
            </w:r>
          </w:p>
        </w:tc>
        <w:tc>
          <w:tcPr>
            <w:tcW w:type="dxa" w:w="1505"/>
          </w:tcPr>
          <w:p>
            <w:r>
              <w:rPr>
                <w:rFonts w:ascii="Arial" w:hAnsi="Arial"/>
                <w:sz w:val="18"/>
              </w:rPr>
              <w:t>⚠️ Not Established</w:t>
            </w:r>
          </w:p>
        </w:tc>
      </w:tr>
      <w:tr>
        <w:tc>
          <w:tcPr>
            <w:tcW w:type="dxa" w:w="1505"/>
            <w:shd w:fill="F2F6FC" w:val="clear"/>
          </w:tcPr>
          <w:p>
            <w:r>
              <w:rPr>
                <w:rFonts w:ascii="Arial" w:hAnsi="Arial"/>
                <w:sz w:val="18"/>
              </w:rPr>
              <w:t>Board Review Frequency</w:t>
            </w:r>
          </w:p>
        </w:tc>
        <w:tc>
          <w:tcPr>
            <w:tcW w:type="dxa" w:w="1505"/>
            <w:shd w:fill="F2F6FC" w:val="clear"/>
          </w:tcPr>
          <w:p>
            <w:r>
              <w:rPr>
                <w:rFonts w:ascii="Arial" w:hAnsi="Arial"/>
                <w:sz w:val="18"/>
              </w:rPr>
              <w:t>Quarterly</w:t>
            </w:r>
          </w:p>
        </w:tc>
        <w:tc>
          <w:tcPr>
            <w:tcW w:type="dxa" w:w="1505"/>
            <w:shd w:fill="F2F6FC" w:val="clear"/>
          </w:tcPr>
          <w:p>
            <w:r>
              <w:rPr>
                <w:rFonts w:ascii="Arial" w:hAnsi="Arial"/>
                <w:sz w:val="18"/>
              </w:rPr>
              <w:t>≥4x per year</w:t>
            </w:r>
          </w:p>
        </w:tc>
        <w:tc>
          <w:tcPr>
            <w:tcW w:type="dxa" w:w="1505"/>
            <w:shd w:fill="F2F6FC" w:val="clear"/>
          </w:tcPr>
          <w:p>
            <w:r>
              <w:rPr>
                <w:rFonts w:ascii="Arial" w:hAnsi="Arial"/>
                <w:sz w:val="18"/>
              </w:rPr>
              <w:t>Quarterly</w:t>
            </w:r>
          </w:p>
        </w:tc>
        <w:tc>
          <w:tcPr>
            <w:tcW w:type="dxa" w:w="1505"/>
            <w:shd w:fill="F2F6FC" w:val="clear"/>
          </w:tcPr>
          <w:p>
            <w:r>
              <w:rPr>
                <w:rFonts w:ascii="Arial" w:hAnsi="Arial"/>
                <w:sz w:val="18"/>
              </w:rPr>
              <w:t>Semi-annual</w:t>
            </w:r>
          </w:p>
        </w:tc>
        <w:tc>
          <w:tcPr>
            <w:tcW w:type="dxa" w:w="1505"/>
            <w:shd w:fill="F2F6FC" w:val="clear"/>
          </w:tcPr>
          <w:p>
            <w:r>
              <w:rPr>
                <w:rFonts w:ascii="Arial" w:hAnsi="Arial"/>
                <w:sz w:val="18"/>
              </w:rPr>
              <w:t>⚠️ Not Defined</w:t>
            </w:r>
          </w:p>
        </w:tc>
      </w:tr>
      <w:tr>
        <w:tc>
          <w:tcPr>
            <w:tcW w:type="dxa" w:w="1505"/>
          </w:tcPr>
          <w:p>
            <w:r>
              <w:rPr>
                <w:rFonts w:ascii="Arial" w:hAnsi="Arial"/>
                <w:sz w:val="18"/>
              </w:rPr>
              <w:t>ESG KPI in Executive Remuneration</w:t>
            </w:r>
          </w:p>
        </w:tc>
        <w:tc>
          <w:tcPr>
            <w:tcW w:type="dxa" w:w="1505"/>
          </w:tcPr>
          <w:p>
            <w:r>
              <w:rPr>
                <w:rFonts w:ascii="Arial" w:hAnsi="Arial"/>
                <w:sz w:val="18"/>
              </w:rPr>
              <w:t>✅ Yes</w:t>
            </w:r>
          </w:p>
        </w:tc>
        <w:tc>
          <w:tcPr>
            <w:tcW w:type="dxa" w:w="1505"/>
          </w:tcPr>
          <w:p>
            <w:r>
              <w:rPr>
                <w:rFonts w:ascii="Arial" w:hAnsi="Arial"/>
                <w:sz w:val="18"/>
              </w:rPr>
              <w:t>✅ Integrated to BoD KPIs</w:t>
            </w:r>
          </w:p>
        </w:tc>
        <w:tc>
          <w:tcPr>
            <w:tcW w:type="dxa" w:w="1505"/>
          </w:tcPr>
          <w:p>
            <w:r>
              <w:rPr>
                <w:rFonts w:ascii="Arial" w:hAnsi="Arial"/>
                <w:sz w:val="18"/>
              </w:rPr>
              <w:t>✅ Yes (20% weight)</w:t>
            </w:r>
          </w:p>
        </w:tc>
        <w:tc>
          <w:tcPr>
            <w:tcW w:type="dxa" w:w="1505"/>
          </w:tcPr>
          <w:p>
            <w:r>
              <w:rPr>
                <w:rFonts w:ascii="Arial" w:hAnsi="Arial"/>
                <w:sz w:val="18"/>
              </w:rPr>
              <w:t>Partial</w:t>
            </w:r>
          </w:p>
        </w:tc>
        <w:tc>
          <w:tcPr>
            <w:tcW w:type="dxa" w:w="1505"/>
          </w:tcPr>
          <w:p>
            <w:r>
              <w:rPr>
                <w:rFonts w:ascii="Arial" w:hAnsi="Arial"/>
                <w:sz w:val="18"/>
              </w:rPr>
              <w:t>⚠️ Not Linked</w:t>
            </w:r>
          </w:p>
        </w:tc>
      </w:tr>
      <w:tr>
        <w:tc>
          <w:tcPr>
            <w:tcW w:type="dxa" w:w="1505"/>
            <w:shd w:fill="F2F6FC" w:val="clear"/>
          </w:tcPr>
          <w:p>
            <w:r>
              <w:rPr>
                <w:rFonts w:ascii="Arial" w:hAnsi="Arial"/>
                <w:sz w:val="18"/>
              </w:rPr>
              <w:t>Reporting Line</w:t>
            </w:r>
          </w:p>
        </w:tc>
        <w:tc>
          <w:tcPr>
            <w:tcW w:type="dxa" w:w="1505"/>
            <w:shd w:fill="F2F6FC" w:val="clear"/>
          </w:tcPr>
          <w:p>
            <w:r>
              <w:rPr>
                <w:rFonts w:ascii="Arial" w:hAnsi="Arial"/>
                <w:sz w:val="18"/>
              </w:rPr>
              <w:t>President Director</w:t>
            </w:r>
          </w:p>
        </w:tc>
        <w:tc>
          <w:tcPr>
            <w:tcW w:type="dxa" w:w="1505"/>
            <w:shd w:fill="F2F6FC" w:val="clear"/>
          </w:tcPr>
          <w:p>
            <w:r>
              <w:rPr>
                <w:rFonts w:ascii="Arial" w:hAnsi="Arial"/>
                <w:sz w:val="18"/>
              </w:rPr>
              <w:t>Director Planning &amp; Finance → President Director</w:t>
            </w:r>
          </w:p>
        </w:tc>
        <w:tc>
          <w:tcPr>
            <w:tcW w:type="dxa" w:w="1505"/>
            <w:shd w:fill="F2F6FC" w:val="clear"/>
          </w:tcPr>
          <w:p>
            <w:r>
              <w:rPr>
                <w:rFonts w:ascii="Arial" w:hAnsi="Arial"/>
                <w:sz w:val="18"/>
              </w:rPr>
              <w:t>Chief Sustainability Officer → Board</w:t>
            </w:r>
          </w:p>
        </w:tc>
        <w:tc>
          <w:tcPr>
            <w:tcW w:type="dxa" w:w="1505"/>
            <w:shd w:fill="F2F6FC" w:val="clear"/>
          </w:tcPr>
          <w:p>
            <w:r>
              <w:rPr>
                <w:rFonts w:ascii="Arial" w:hAnsi="Arial"/>
                <w:sz w:val="18"/>
              </w:rPr>
              <w:t>Director → President Director</w:t>
            </w:r>
          </w:p>
        </w:tc>
        <w:tc>
          <w:tcPr>
            <w:tcW w:type="dxa" w:w="1505"/>
            <w:shd w:fill="F2F6FC" w:val="clear"/>
          </w:tcPr>
          <w:p>
            <w:r>
              <w:rPr>
                <w:rFonts w:ascii="Arial" w:hAnsi="Arial"/>
                <w:sz w:val="18"/>
              </w:rPr>
              <w:t>⚠️ Not Defined</w:t>
            </w:r>
          </w:p>
        </w:tc>
      </w:tr>
      <w:tr>
        <w:tc>
          <w:tcPr>
            <w:tcW w:type="dxa" w:w="1505"/>
          </w:tcPr>
          <w:p>
            <w:r>
              <w:rPr>
                <w:rFonts w:ascii="Arial" w:hAnsi="Arial"/>
                <w:sz w:val="18"/>
              </w:rPr>
              <w:t>Sectoral ESG Credit Policies</w:t>
            </w:r>
          </w:p>
        </w:tc>
        <w:tc>
          <w:tcPr>
            <w:tcW w:type="dxa" w:w="1505"/>
          </w:tcPr>
          <w:p>
            <w:r>
              <w:rPr>
                <w:rFonts w:ascii="Arial" w:hAnsi="Arial"/>
                <w:sz w:val="18"/>
              </w:rPr>
              <w:t>✅ Palm oil, coal, timber, cement, steel, O&amp;G</w:t>
            </w:r>
          </w:p>
        </w:tc>
        <w:tc>
          <w:tcPr>
            <w:tcW w:type="dxa" w:w="1505"/>
          </w:tcPr>
          <w:p>
            <w:r>
              <w:rPr>
                <w:rFonts w:ascii="Arial" w:hAnsi="Arial"/>
                <w:sz w:val="18"/>
              </w:rPr>
              <w:t>✅ Palm oil, coal, timber, toll roads, cement, iron-steel, O&amp;G</w:t>
            </w:r>
          </w:p>
        </w:tc>
        <w:tc>
          <w:tcPr>
            <w:tcW w:type="dxa" w:w="1505"/>
          </w:tcPr>
          <w:p>
            <w:r>
              <w:rPr>
                <w:rFonts w:ascii="Arial" w:hAnsi="Arial"/>
                <w:sz w:val="18"/>
              </w:rPr>
              <w:t>✅ Coal phase-out 2039</w:t>
            </w:r>
          </w:p>
        </w:tc>
        <w:tc>
          <w:tcPr>
            <w:tcW w:type="dxa" w:w="1505"/>
          </w:tcPr>
          <w:p>
            <w:r>
              <w:rPr>
                <w:rFonts w:ascii="Arial" w:hAnsi="Arial"/>
                <w:sz w:val="18"/>
              </w:rPr>
              <w:t>✅ Fossil fuel limits</w:t>
            </w:r>
          </w:p>
        </w:tc>
        <w:tc>
          <w:tcPr>
            <w:tcW w:type="dxa" w:w="1505"/>
          </w:tcPr>
          <w:p>
            <w:r>
              <w:rPr>
                <w:rFonts w:ascii="Arial" w:hAnsi="Arial"/>
                <w:sz w:val="18"/>
              </w:rPr>
              <w:t>⚠️ Not Developed</w:t>
            </w:r>
          </w:p>
        </w:tc>
      </w:tr>
      <w:tr>
        <w:tc>
          <w:tcPr>
            <w:tcW w:type="dxa" w:w="1505"/>
            <w:shd w:fill="F2F6FC" w:val="clear"/>
          </w:tcPr>
          <w:p>
            <w:r>
              <w:rPr>
                <w:rFonts w:ascii="Arial" w:hAnsi="Arial"/>
                <w:sz w:val="18"/>
              </w:rPr>
              <w:t>SBTi/NZBA Commitment</w:t>
            </w:r>
          </w:p>
        </w:tc>
        <w:tc>
          <w:tcPr>
            <w:tcW w:type="dxa" w:w="1505"/>
            <w:shd w:fill="F2F6FC" w:val="clear"/>
          </w:tcPr>
          <w:p>
            <w:r>
              <w:rPr>
                <w:rFonts w:ascii="Arial" w:hAnsi="Arial"/>
                <w:sz w:val="18"/>
              </w:rPr>
              <w:t>✅ First ID FI</w:t>
            </w:r>
          </w:p>
        </w:tc>
        <w:tc>
          <w:tcPr>
            <w:tcW w:type="dxa" w:w="1505"/>
            <w:shd w:fill="F2F6FC" w:val="clear"/>
          </w:tcPr>
          <w:p>
            <w:r>
              <w:rPr>
                <w:rFonts w:ascii="Arial" w:hAnsi="Arial"/>
                <w:sz w:val="18"/>
              </w:rPr>
              <w:t>Evaluating</w:t>
            </w:r>
          </w:p>
        </w:tc>
        <w:tc>
          <w:tcPr>
            <w:tcW w:type="dxa" w:w="1505"/>
            <w:shd w:fill="F2F6FC" w:val="clear"/>
          </w:tcPr>
          <w:p>
            <w:r>
              <w:rPr>
                <w:rFonts w:ascii="Arial" w:hAnsi="Arial"/>
                <w:sz w:val="18"/>
              </w:rPr>
              <w:t>✅ Member</w:t>
            </w:r>
          </w:p>
        </w:tc>
        <w:tc>
          <w:tcPr>
            <w:tcW w:type="dxa" w:w="1505"/>
            <w:shd w:fill="F2F6FC" w:val="clear"/>
          </w:tcPr>
          <w:p>
            <w:r>
              <w:rPr>
                <w:rFonts w:ascii="Arial" w:hAnsi="Arial"/>
                <w:sz w:val="18"/>
              </w:rPr>
              <w:t>Developing</w:t>
            </w:r>
          </w:p>
        </w:tc>
        <w:tc>
          <w:tcPr>
            <w:tcW w:type="dxa" w:w="1505"/>
            <w:shd w:fill="F2F6FC" w:val="clear"/>
          </w:tcPr>
          <w:p>
            <w:r>
              <w:rPr>
                <w:rFonts w:ascii="Arial" w:hAnsi="Arial"/>
                <w:sz w:val="18"/>
              </w:rPr>
              <w:t>⚠️ Not Committed</w:t>
            </w:r>
          </w:p>
        </w:tc>
      </w:tr>
      <w:tr>
        <w:tc>
          <w:tcPr>
            <w:tcW w:type="dxa" w:w="1505"/>
          </w:tcPr>
          <w:p>
            <w:r>
              <w:rPr>
                <w:rFonts w:ascii="Arial" w:hAnsi="Arial"/>
                <w:sz w:val="18"/>
              </w:rPr>
              <w:t>Board ESG Training</w:t>
            </w:r>
          </w:p>
        </w:tc>
        <w:tc>
          <w:tcPr>
            <w:tcW w:type="dxa" w:w="1505"/>
          </w:tcPr>
          <w:p>
            <w:r>
              <w:rPr>
                <w:rFonts w:ascii="Arial" w:hAnsi="Arial"/>
                <w:sz w:val="18"/>
              </w:rPr>
              <w:t>Annual program</w:t>
            </w:r>
          </w:p>
        </w:tc>
        <w:tc>
          <w:tcPr>
            <w:tcW w:type="dxa" w:w="1505"/>
          </w:tcPr>
          <w:p>
            <w:r>
              <w:rPr>
                <w:rFonts w:ascii="Arial" w:hAnsi="Arial"/>
                <w:sz w:val="18"/>
              </w:rPr>
              <w:t>Annual ESG refresher with GRI, CDP, OJK</w:t>
            </w:r>
          </w:p>
        </w:tc>
        <w:tc>
          <w:tcPr>
            <w:tcW w:type="dxa" w:w="1505"/>
          </w:tcPr>
          <w:p>
            <w:r>
              <w:rPr>
                <w:rFonts w:ascii="Arial" w:hAnsi="Arial"/>
                <w:sz w:val="18"/>
              </w:rPr>
              <w:t>Ongoing competency development</w:t>
            </w:r>
          </w:p>
        </w:tc>
        <w:tc>
          <w:tcPr>
            <w:tcW w:type="dxa" w:w="1505"/>
          </w:tcPr>
          <w:p>
            <w:r>
              <w:rPr>
                <w:rFonts w:ascii="Arial" w:hAnsi="Arial"/>
                <w:sz w:val="18"/>
              </w:rPr>
              <w:t>Periodic training</w:t>
            </w:r>
          </w:p>
        </w:tc>
        <w:tc>
          <w:tcPr>
            <w:tcW w:type="dxa" w:w="1505"/>
          </w:tcPr>
          <w:p>
            <w:r>
              <w:rPr>
                <w:rFonts w:ascii="Arial" w:hAnsi="Arial"/>
                <w:sz w:val="18"/>
              </w:rPr>
              <w:t>⚠️ Not Implemented</w:t>
            </w:r>
          </w:p>
        </w:tc>
      </w:tr>
    </w:tbl>
    <w:p>
      <w:r>
        <w:rPr>
          <w:rFonts w:ascii="Arial" w:hAnsi="Arial"/>
          <w:i/>
          <w:sz w:val="16"/>
        </w:rPr>
        <w:t>Source: Source: BRI Sustainability Report 2023, BCA Sustainability Report 2025, DBS Sustainability Report 2023, Bank Mandiri Sustainability Report 2023. Peer data represents 2023-2025 reporting periods.</w:t>
      </w:r>
    </w:p>
    <w:p/>
    <w:p/>
    <w:p>
      <w:r>
        <w:drawing>
          <wp:inline xmlns:a="http://schemas.openxmlformats.org/drawingml/2006/main" xmlns:pic="http://schemas.openxmlformats.org/drawingml/2006/picture">
            <wp:extent cx="5029200" cy="3332057"/>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332057"/>
                    </a:xfrm>
                    <a:prstGeom prst="rect"/>
                  </pic:spPr>
                </pic:pic>
              </a:graphicData>
            </a:graphic>
          </wp:inline>
        </w:drawing>
      </w:r>
    </w:p>
    <w:p>
      <w:pPr>
        <w:jc w:val="center"/>
      </w:pPr>
      <w:r>
        <w:rPr>
          <w:i/>
          <w:color w:val="666666"/>
          <w:sz w:val="18"/>
        </w:rPr>
        <w:t>Figure 23: Climate Governance Maturity — Peer Comparison</w:t>
      </w:r>
    </w:p>
    <w:p>
      <w:pPr>
        <w:jc w:val="center"/>
      </w:pPr>
      <w:r>
        <w:rPr>
          <w:i/>
          <w:color w:val="757575"/>
          <w:sz w:val="18"/>
        </w:rPr>
        <w:t>Institution scores 0/7 on governance elements while BRI and DBS achieve 6-7/7 — foundational infrastructure gap requires immediate Board action</w:t>
      </w:r>
    </w:p>
    <w:p/>
    <w:p>
      <w:r>
        <w:drawing>
          <wp:inline xmlns:a="http://schemas.openxmlformats.org/drawingml/2006/main" xmlns:pic="http://schemas.openxmlformats.org/drawingml/2006/picture">
            <wp:extent cx="5029200" cy="3332057"/>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3332057"/>
                    </a:xfrm>
                    <a:prstGeom prst="rect"/>
                  </pic:spPr>
                </pic:pic>
              </a:graphicData>
            </a:graphic>
          </wp:inline>
        </w:drawing>
      </w:r>
    </w:p>
    <w:p>
      <w:pPr>
        <w:jc w:val="center"/>
      </w:pPr>
      <w:r>
        <w:rPr>
          <w:i/>
          <w:color w:val="666666"/>
          <w:sz w:val="18"/>
        </w:rPr>
        <w:t>Figure 24: Recommended Governance Implementation Timeline</w:t>
      </w:r>
    </w:p>
    <w:p>
      <w:pPr>
        <w:jc w:val="center"/>
      </w:pPr>
      <w:r>
        <w:rPr>
          <w:i/>
          <w:color w:val="757575"/>
          <w:sz w:val="18"/>
        </w:rPr>
        <w:t>18-month roadmap from Board committee establishment (Q3 2025) to full multi-framework compliance (Q4 2026) — phased approach manages resource allocation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formal climate governance structures indicates the institution has not yet prioritized ESG integration at the board and executive management levels. This represents a foundational gap that cascades into delayed climate strategy development, inconsistent ESG data collection, and inability to meet multi-framework disclosure requirements. Indonesian peer banks established ESG committees between 2021-2023, meaning the institution is 3-4 years behind market practice. OJK POJK 51/2017 requires board-level sustainability oversight, and IFRS S2 (effective 2024) mandates governance disclosure, creating immediate regulatory compliance pressure.</w:t>
            </w:r>
          </w:p>
          <w:p>
            <w:r>
              <w:rPr>
                <w:b/>
                <w:sz w:val="20"/>
              </w:rPr>
              <w:t>Root Causes:</w:t>
            </w:r>
          </w:p>
          <w:p>
            <w:r>
              <w:rPr>
                <w:sz w:val="18"/>
              </w:rPr>
              <w:t>• No board mandate or committee charter defining climate oversight responsibilities, resulting in diffused accountability across management functions</w:t>
            </w:r>
          </w:p>
          <w:p>
            <w:r>
              <w:rPr>
                <w:sz w:val="18"/>
              </w:rPr>
              <w:t>• Absence of management-level ESG coordinator or Chief Sustainability Officer to drive cross-functional climate initiatives and data collection</w:t>
            </w:r>
          </w:p>
          <w:p>
            <w:r>
              <w:rPr>
                <w:sz w:val="18"/>
              </w:rPr>
              <w:t>• Executive remuneration not linked to ESG performance metrics, removing financial incentive for climate target achievement</w:t>
            </w:r>
          </w:p>
          <w:p>
            <w:r>
              <w:rPr>
                <w:sz w:val="18"/>
              </w:rPr>
              <w:t>• Board ESG competency development not implemented, limiting governance body's ability to provide informed oversight of climate risks and opportunities</w:t>
            </w:r>
          </w:p>
          <w:p>
            <w:r>
              <w:rPr>
                <w:b/>
                <w:sz w:val="20"/>
              </w:rPr>
              <w:t>Risk Implications:</w:t>
            </w:r>
          </w:p>
          <w:p>
            <w:r>
              <w:rPr>
                <w:sz w:val="18"/>
              </w:rPr>
              <w:t>• Regulatory non-compliance risk: OJK POJK 51 requires board-level sustainability governance for SFAP submission. Absence may trigger OJK supervisory action or public disclosure of non-compliance in 2025-2026 reporting cycles.</w:t>
            </w:r>
          </w:p>
          <w:p>
            <w:r>
              <w:rPr>
                <w:sz w:val="18"/>
              </w:rPr>
              <w:t>• Investor confidence risk: International investors increasingly require evidence of board-level climate oversight. Governance gaps may result in exclusion from ESG-focused investment funds or higher cost of capital. Peer banks with established governance report 15-25% higher ESG investor engagement.</w:t>
            </w:r>
          </w:p>
          <w:p>
            <w:r>
              <w:rPr>
                <w:sz w:val="18"/>
              </w:rPr>
              <w:t>• Strategic execution risk: Without board oversight and executive accountability, climate targets (if set) lack enforcement mechanism. Peer banks with remuneration linkage achieve ESG targets 15-30% faster than those without financial incentives.</w:t>
            </w:r>
          </w:p>
          <w:p>
            <w:r>
              <w:rPr>
                <w:sz w:val="18"/>
              </w:rPr>
              <w:t>• Reputational risk: Public sustainability reports disclosing governance gaps while peers demonstrate board-level commitment may damage market positioning, particularly for corporate and institutional client segments increasingly prioritizing ESG criteria in banking relationships.</w:t>
            </w:r>
          </w:p>
        </w:tc>
      </w:tr>
    </w:tbl>
    <w:p/>
    <w:p/>
    <w:p>
      <w:r>
        <w:rPr>
          <w:b/>
          <w:color w:val="2E7D32"/>
          <w:sz w:val="24"/>
        </w:rPr>
        <w:t>⚡ Priority Actions</w:t>
      </w:r>
    </w:p>
    <w:p>
      <w:r>
        <w:rPr>
          <w:b/>
          <w:sz w:val="22"/>
        </w:rPr>
        <w:t>🔴 1. Establish Board-level ESG Committee with formal charter defining climate oversight mandate, quarterly meeting frequency, and reporting requirements to Board of Directors. Appoint 3-5 Board members including at least one with climate/sustainability expertise.</w:t>
      </w:r>
      <w:r>
        <w:rPr>
          <w:sz w:val="22"/>
        </w:rPr>
        <w:t xml:space="preserve"> (Q3 2025)</w:t>
      </w:r>
    </w:p>
    <w:p>
      <w:pPr>
        <w:spacing w:after="160" w:line="276" w:lineRule="auto"/>
      </w:pPr>
      <w:r>
        <w:t xml:space="preserve">    → Expected: Achieves IFRS S2 Para 5, GRI 2-12, and OJK POJK 51 compliance for board oversight disclosure. Establishes accountability structure enabling climate strategy approval and risk oversight.</w:t>
      </w:r>
    </w:p>
    <w:p>
      <w:pPr>
        <w:spacing w:after="160" w:line="276" w:lineRule="auto"/>
      </w:pPr>
      <w:r>
        <w:rPr>
          <w:rFonts w:ascii="Arial" w:hAnsi="Arial"/>
          <w:i/>
          <w:color w:val="646464"/>
          <w:sz w:val="18"/>
        </w:rPr>
        <w:t xml:space="preserve">    → Ref: BRI established Risk Management &amp; ESG Committee in 2021 via Decision NOKEP 872-DIR/PPM/06/2022 with quarterly review cadence. Committee oversees SBTi commitment and NZBA membership, demonstrating board-level climate accountability.</w:t>
      </w:r>
    </w:p>
    <w:p>
      <w:r>
        <w:rPr>
          <w:b/>
          <w:sz w:val="22"/>
        </w:rPr>
        <w:t>🔴 2. Appoint Chief Sustainability Officer or Director-level ESG coordinator reporting directly to President Director and Board ESG Committee. Define role scope covering climate risk management, sustainable finance strategy, ESG data governance, and multi-framework disclosure coordination.</w:t>
      </w:r>
      <w:r>
        <w:rPr>
          <w:sz w:val="22"/>
        </w:rPr>
        <w:t xml:space="preserve"> (Q4 2025)</w:t>
      </w:r>
    </w:p>
    <w:p>
      <w:pPr>
        <w:spacing w:after="160" w:line="276" w:lineRule="auto"/>
      </w:pPr>
      <w:r>
        <w:t xml:space="preserve">    → Expected: Achieves IFRS S2 Para 6 and GRI 2-13 compliance for management role disclosure. Centralizes ESG coordination, expected to improve ESG data completeness by 40-60% within 12 months based on peer implementation experience.</w:t>
      </w:r>
    </w:p>
    <w:p>
      <w:pPr>
        <w:spacing w:after="160" w:line="276" w:lineRule="auto"/>
      </w:pPr>
      <w:r>
        <w:rPr>
          <w:rFonts w:ascii="Arial" w:hAnsi="Arial"/>
          <w:i/>
          <w:color w:val="646464"/>
          <w:sz w:val="18"/>
        </w:rPr>
        <w:t xml:space="preserve">    → Ref: DBS Bank Chief Sustainability Officer reports directly to Board Sustainability Committee with cross-functional authority. DBS achieved 62% renewable energy usage and 12% YoY emissions reduction under CSO leadership structure.</w:t>
      </w:r>
    </w:p>
    <w:p>
      <w:r>
        <w:rPr>
          <w:b/>
          <w:sz w:val="22"/>
        </w:rPr>
        <w:t>🔴 3. Link 15% of executive variable remuneration (Board of Directors and C-suite) to ESG key performance indicators: 40% weight on Scope 1+2 emissions reduction target, 40% weight on sustainable finance portfolio growth target, 20% weight on ESG disclosure quality score. Implement quarterly performance tracking with Board review.</w:t>
      </w:r>
      <w:r>
        <w:rPr>
          <w:sz w:val="22"/>
        </w:rPr>
        <w:t xml:space="preserve"> (Q1 2026)</w:t>
      </w:r>
    </w:p>
    <w:p>
      <w:pPr>
        <w:spacing w:after="160" w:line="276" w:lineRule="auto"/>
      </w:pPr>
      <w:r>
        <w:t xml:space="preserve">    → Expected: Achieves ESRS 2 GOV-3 compliance. Aligns executive incentives with climate targets. Peer banks report 15-30% acceleration in ESG target achievement after remuneration linkage implementation.</w:t>
      </w:r>
    </w:p>
    <w:p>
      <w:pPr>
        <w:spacing w:after="160" w:line="276" w:lineRule="auto"/>
      </w:pPr>
      <w:r>
        <w:rPr>
          <w:rFonts w:ascii="Arial" w:hAnsi="Arial"/>
          <w:i/>
          <w:color w:val="646464"/>
          <w:sz w:val="18"/>
        </w:rPr>
        <w:t xml:space="preserve">    → Ref: DBS Bank links 20% of executive remuneration to ESG metrics including emissions reduction and sustainable finance targets. BCA integrates ESG KPIs into Board of Directors and work unit performance assessments with quarterly tracking.</w:t>
      </w:r>
    </w:p>
    <w:p>
      <w:r>
        <w:rPr>
          <w:b/>
          <w:sz w:val="22"/>
        </w:rPr>
        <w:t>🟡 4. Develop and obtain Board approval for sectoral ESG credit policies covering Energy - Oil &amp; Gas (43.56% of financed emissions), Manufacturing - Cement (26.45%), and Manufacturing - Steel (15.92%) sectors. Define exposure limits, transition financing criteria, client engagement requirements, and phase-out timelines for high-carbon sub-segments.</w:t>
      </w:r>
      <w:r>
        <w:rPr>
          <w:sz w:val="22"/>
        </w:rPr>
        <w:t xml:space="preserve"> (Q2 2026)</w:t>
      </w:r>
    </w:p>
    <w:p>
      <w:pPr>
        <w:spacing w:after="160" w:line="276" w:lineRule="auto"/>
      </w:pPr>
      <w:r>
        <w:t xml:space="preserve">    → Expected: Reduces financed emissions concentration risk in top 3 sectors representing 85.93% of total financed emissions. Estimated 8-12% reduction in financed emissions intensity over 3 years based on BCA sectoral policy implementation results.</w:t>
      </w:r>
    </w:p>
    <w:p>
      <w:pPr>
        <w:spacing w:after="160" w:line="276" w:lineRule="auto"/>
      </w:pPr>
      <w:r>
        <w:rPr>
          <w:rFonts w:ascii="Arial" w:hAnsi="Arial"/>
          <w:i/>
          <w:color w:val="646464"/>
          <w:sz w:val="18"/>
        </w:rPr>
        <w:t xml:space="preserve">    → Ref: BCA issued Board of Directors Decrees establishing sectoral ESG credit policies for palm oil, coal, timber, cement, iron-steel, and oil &amp; gas. Policies include exposure limits and transition financing frameworks aligned with Indonesian Green Taxonomy (THI).</w:t>
      </w:r>
    </w:p>
    <w:p/>
    <w:p>
      <w:r>
        <w:rPr>
          <w:i/>
          <w:color w:val="3D6094"/>
          <w:sz w:val="18"/>
        </w:rPr>
        <w:t>Framework references: IFRS S2 Paragraph 5 — Governance body identification; IFRS S2 Paragraph 6 — Management's role in climate governance; IFRS S2 Paragraph 7 — Governance oversight reflected in strategy; GRI 2-12 — Role of highest governance body in sustainability oversight; GRI 2-13 — Delegation of responsibility for sustainability management; ESRS 2 GOV-3 — Integration of sustainability in incentive schemes; OJK POJK 51/2017 — Sustainable Finance Action Plan governance requirements; OJK SEOJK 16/SEOJK.03/2021 — ESG risk management integration</w:t>
      </w:r>
    </w:p>
    <w:p>
      <w:pPr>
        <w:spacing w:after="80"/>
        <w:pBdr>
          <w:bottom w:val="single" w:sz="6" w:space="1" w:color="CCCCCC"/>
        </w:pBdr>
      </w:pPr>
    </w:p>
    <w:p>
      <w:pPr>
        <w:spacing w:after="160" w:line="276" w:lineRule="auto"/>
      </w:pPr>
      <w:r>
        <w:rPr>
          <w:rFonts w:ascii="Arial" w:hAnsi="Arial"/>
          <w:i/>
          <w:color w:val="646464"/>
          <w:sz w:val="18"/>
        </w:rPr>
        <w:t>This governance gap analysis is based on the absence of formal climate governance data in the institution's reporting system for the 2024 reporting period.</w:t>
      </w:r>
    </w:p>
    <w:p>
      <w:pPr>
        <w:spacing w:after="160" w:line="276" w:lineRule="auto"/>
      </w:pPr>
      <w:r>
        <w:rPr>
          <w:rFonts w:ascii="Arial" w:hAnsi="Arial"/>
          <w:i/>
          <w:color w:val="646464"/>
          <w:sz w:val="18"/>
        </w:rPr>
        <w:t>Peer bank governance practices are sourced from publicly available sustainability reports for BRI (2023), BCA (2025), DBS (2023), and Bank Mandiri (2023).</w:t>
      </w:r>
    </w:p>
    <w:p>
      <w:pPr>
        <w:spacing w:after="160" w:line="276" w:lineRule="auto"/>
      </w:pPr>
      <w:r>
        <w:rPr>
          <w:rFonts w:ascii="Arial" w:hAnsi="Arial"/>
          <w:i/>
          <w:color w:val="646464"/>
          <w:sz w:val="18"/>
        </w:rPr>
        <w:t>OJK POJK 51/2017 requires all financial institutions to establish sustainable finance governance structures and submit annual Sustainable Finance Action Plans (SFAP).</w:t>
      </w:r>
    </w:p>
    <w:p>
      <w:pPr>
        <w:spacing w:after="160" w:line="276" w:lineRule="auto"/>
      </w:pPr>
      <w:r>
        <w:rPr>
          <w:rFonts w:ascii="Arial" w:hAnsi="Arial"/>
          <w:i/>
          <w:color w:val="646464"/>
          <w:sz w:val="18"/>
        </w:rPr>
        <w:t>IFRS S2 became effective for annual reporting periods beginning on or after January 1, 2024, with many jurisdictions allowing phased implementation. Indonesian adoption timeline follows OJK guidance.</w:t>
      </w:r>
    </w:p>
    <w:p>
      <w:pPr>
        <w:spacing w:after="160" w:line="276" w:lineRule="auto"/>
      </w:pPr>
      <w:r>
        <w:rPr>
          <w:rFonts w:ascii="Arial" w:hAnsi="Arial"/>
          <w:i/>
          <w:color w:val="646464"/>
          <w:sz w:val="18"/>
        </w:rPr>
        <w:t>The recommended governance structure timeline assumes Board approval and resource allocation in Q3 2025. Actual implementation may vary based on institutional priorities and regulatory developments.</w:t>
      </w:r>
    </w:p>
    <w:p>
      <w:pPr>
        <w:pStyle w:val="Heading2"/>
        <w:keepNext/>
        <w:spacing w:before="360" w:after="160"/>
      </w:pPr>
      <w:r>
        <w:rPr>
          <w:rFonts w:ascii="Arial" w:hAnsi="Arial"/>
          <w:b/>
          <w:color w:val="3D6094"/>
          <w:sz w:val="28"/>
        </w:rPr>
        <w:t>3.2 Climate Targets &amp; Transition Plan</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0</w:t>
            </w:r>
            <w:r>
              <w:rPr>
                <w:color w:val="757575"/>
                <w:sz w:val="18"/>
              </w:rPr>
              <w:t xml:space="preserve"> targets</w:t>
            </w:r>
            <w:r>
              <w:rPr>
                <w:b/>
                <w:color w:val="C62828"/>
                <w:sz w:val="20"/>
              </w:rPr>
              <w:br/>
              <w:t>Critical gap vs peers</w:t>
            </w:r>
          </w:p>
        </w:tc>
        <w:tc>
          <w:tcPr>
            <w:tcW w:type="dxa" w:w="2257"/>
            <w:shd w:fill="F2F6FA" w:val="clear"/>
          </w:tcPr>
          <w:p>
            <w:pPr>
              <w:jc w:val="center"/>
            </w:pPr>
            <w:r>
              <w:rPr>
                <w:b/>
                <w:color w:val="1B3A6B"/>
                <w:sz w:val="36"/>
              </w:rPr>
              <w:t>Not Committed</w:t>
            </w:r>
            <w:r>
              <w:rPr>
                <w:color w:val="757575"/>
                <w:sz w:val="18"/>
              </w:rPr>
              <w:t xml:space="preserve"> status</w:t>
            </w:r>
            <w:r>
              <w:rPr>
                <w:b/>
                <w:color w:val="C62828"/>
                <w:sz w:val="20"/>
              </w:rPr>
              <w:br/>
              <w:t>BRI first ID FI committed</w:t>
            </w:r>
          </w:p>
        </w:tc>
        <w:tc>
          <w:tcPr>
            <w:tcW w:type="dxa" w:w="2257"/>
            <w:shd w:fill="F2F6FA" w:val="clear"/>
          </w:tcPr>
          <w:p>
            <w:pPr>
              <w:jc w:val="center"/>
            </w:pPr>
            <w:r>
              <w:rPr>
                <w:b/>
                <w:color w:val="1B3A6B"/>
                <w:sz w:val="36"/>
              </w:rPr>
              <w:t>Not Captured</w:t>
            </w:r>
            <w:r>
              <w:rPr>
                <w:color w:val="757575"/>
                <w:sz w:val="18"/>
              </w:rPr>
              <w:t xml:space="preserve"> %</w:t>
            </w:r>
            <w:r>
              <w:rPr>
                <w:b/>
                <w:color w:val="C62828"/>
                <w:sz w:val="20"/>
              </w:rPr>
              <w:br/>
              <w:t>DBS: 62% (RE100)</w:t>
            </w:r>
          </w:p>
        </w:tc>
        <w:tc>
          <w:tcPr>
            <w:tcW w:type="dxa" w:w="2257"/>
            <w:shd w:fill="F2F6FA" w:val="clear"/>
          </w:tcPr>
          <w:p>
            <w:pPr>
              <w:jc w:val="center"/>
            </w:pPr>
            <w:r>
              <w:rPr>
                <w:b/>
                <w:color w:val="1B3A6B"/>
                <w:sz w:val="36"/>
              </w:rPr>
              <w:t>4-5.25</w:t>
            </w:r>
            <w:r>
              <w:rPr>
                <w:color w:val="757575"/>
                <w:sz w:val="18"/>
              </w:rPr>
              <w:t xml:space="preserve"> IDR billion</w:t>
            </w:r>
            <w:r>
              <w:rPr>
                <w:b/>
                <w:color w:val="2E7D32"/>
                <w:sz w:val="20"/>
              </w:rPr>
              <w:br/>
              <w:t>3-year implementation</w:t>
            </w:r>
          </w:p>
        </w:tc>
      </w:tr>
      <w:tr>
        <w:tc>
          <w:tcPr>
            <w:tcW w:type="dxa" w:w="2257"/>
            <w:shd w:fill="F2F6FA" w:val="clear"/>
          </w:tcPr>
          <w:p>
            <w:pPr>
              <w:jc w:val="center"/>
            </w:pPr>
            <w:r>
              <w:rPr>
                <w:color w:val="757575"/>
                <w:sz w:val="16"/>
              </w:rPr>
              <w:t>Climate Targets Established</w:t>
            </w:r>
          </w:p>
        </w:tc>
        <w:tc>
          <w:tcPr>
            <w:tcW w:type="dxa" w:w="2257"/>
            <w:shd w:fill="F2F6FA" w:val="clear"/>
          </w:tcPr>
          <w:p>
            <w:pPr>
              <w:jc w:val="center"/>
            </w:pPr>
            <w:r>
              <w:rPr>
                <w:color w:val="757575"/>
                <w:sz w:val="16"/>
              </w:rPr>
              <w:t>SBTi Commitment Status</w:t>
            </w:r>
          </w:p>
        </w:tc>
        <w:tc>
          <w:tcPr>
            <w:tcW w:type="dxa" w:w="2257"/>
            <w:shd w:fill="F2F6FA" w:val="clear"/>
          </w:tcPr>
          <w:p>
            <w:pPr>
              <w:jc w:val="center"/>
            </w:pPr>
            <w:r>
              <w:rPr>
                <w:color w:val="757575"/>
                <w:sz w:val="16"/>
              </w:rPr>
              <w:t>Renewable Energy Procurement</w:t>
            </w:r>
          </w:p>
        </w:tc>
        <w:tc>
          <w:tcPr>
            <w:tcW w:type="dxa" w:w="2257"/>
            <w:shd w:fill="F2F6FA" w:val="clear"/>
          </w:tcPr>
          <w:p>
            <w:pPr>
              <w:jc w:val="center"/>
            </w:pPr>
            <w:r>
              <w:rPr>
                <w:color w:val="757575"/>
                <w:sz w:val="16"/>
              </w:rPr>
              <w:t>Estimated Investment for Target Roadmap</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No climate targets established while peers advance SBTi commitments — critical regulatory and investor risk emerging</w:t>
            </w:r>
          </w:p>
          <w:p>
            <w:r>
              <w:rPr>
                <w:sz w:val="20"/>
              </w:rPr>
              <w:t>The institution lacks quantified GHG reduction targets despite IFRS S2, ESRS E1-4, and OJK PSPK requirements. BRI (first Indonesian FI with SBTi commitment) and DBS (Net Zero 2050, 62% renewable) demonstrate feasibility. Without targets, the institution cannot demonstrate Paris alignment, faces increasing cost of capital, and risks non-compliance with evolving OJK climate disclosure mandates. Immediate SBTi commitment and 30% Scope 1+2 reduction target by 2030 are foundational.</w:t>
            </w:r>
          </w:p>
        </w:tc>
      </w:tr>
    </w:tbl>
    <w:p/>
    <w:p>
      <w:pPr>
        <w:pStyle w:val="Heading3"/>
        <w:keepNext/>
      </w:pPr>
      <w:r>
        <w:rPr>
          <w:rFonts w:ascii="Arial" w:hAnsi="Arial"/>
          <w:b/>
          <w:color w:val="4A7AB5"/>
          <w:sz w:val="24"/>
        </w:rPr>
        <w:t>Framework Requirements for Climate Target-Setting</w:t>
      </w:r>
    </w:p>
    <w:p>
      <w:pPr>
        <w:spacing w:after="160" w:line="276" w:lineRule="auto"/>
      </w:pPr>
      <w:r>
        <w:rPr>
          <w:rFonts w:ascii="Arial" w:hAnsi="Arial"/>
          <w:sz w:val="22"/>
        </w:rPr>
        <w:t>The institution currently does not have formally established greenhouse gas reduction targets or a published transition plan. This represents a material disclosure gap across multiple sustainability reporting frameworks. IFRS S2 Paragraph 33 requires entities to disclose quantitative and qualitative climate-related targets, including metrics used and the approach to setting and reviewing targets. GRI 305-5 mandates disclosure of reductions in GHG emissions achieved as a direct result of reduction initiatives, expressed in metric tonnes of CO₂ equivalent. ESRS E1-4 requires disclosure of GHG emission reduction targets, including target years, milestones, and the decarbonization levers the entity plans to implement. OJK PSPK regulations require financial institutions to establish climate targets aligned with Indonesia's Nationally Determined Contributions and demonstrate progress toward national climate goals.</w:t>
      </w:r>
    </w:p>
    <w:p>
      <w:pPr>
        <w:pStyle w:val="Heading3"/>
        <w:keepNext/>
      </w:pPr>
      <w:r>
        <w:rPr>
          <w:rFonts w:ascii="Arial" w:hAnsi="Arial"/>
          <w:b/>
          <w:color w:val="4A7AB5"/>
          <w:sz w:val="24"/>
        </w:rPr>
        <w:t>Strategic Imperative for Target-Setting</w:t>
      </w:r>
    </w:p>
    <w:p>
      <w:pPr>
        <w:spacing w:after="160" w:line="276" w:lineRule="auto"/>
      </w:pPr>
      <w:r>
        <w:rPr>
          <w:rFonts w:ascii="Arial" w:hAnsi="Arial"/>
          <w:sz w:val="22"/>
        </w:rPr>
        <w:t>Climate targets serve as the foundational element of corporate climate credibility and are increasingly scrutinized by investors, regulators, and rating agencies. Without quantified reduction targets, the institution cannot demonstrate strategic alignment with the Paris Agreement, measure progress toward decarbonization, or provide stakeholders with forward-looking climate performance indicators. The absence of targets creates three material risks: regulatory compliance risk as OJK intensifies climate disclosure requirements under POJK 51/2017 and SEOJK 16/2021; reputational risk as peers advance their climate commitments and the institution falls behind industry standards; and financial risk as investors increasingly allocate capital based on climate transition readiness, with institutions lacking Science-Based Targets facing higher cost of capital and reduced access to green finance instruments.</w:t>
      </w:r>
    </w:p>
    <w:p>
      <w:pPr>
        <w:pStyle w:val="Heading3"/>
        <w:keepNext/>
      </w:pPr>
      <w:r>
        <w:rPr>
          <w:rFonts w:ascii="Arial" w:hAnsi="Arial"/>
          <w:b/>
          <w:color w:val="4A7AB5"/>
          <w:sz w:val="24"/>
        </w:rPr>
        <w:t>Peer Benchmark Analysis: Indonesian Banking Sector Leadership</w:t>
      </w:r>
    </w:p>
    <w:p>
      <w:pPr>
        <w:spacing w:after="160" w:line="276" w:lineRule="auto"/>
      </w:pPr>
      <w:r>
        <w:rPr>
          <w:rFonts w:ascii="Arial" w:hAnsi="Arial"/>
          <w:sz w:val="22"/>
        </w:rPr>
        <w:t>Leading Indonesian and regional financial institutions have established comprehensive climate target frameworks that provide a roadmap for the institution's own target-setting process. Bank Rakyat Indonesia became the first Indonesian financial institution to submit a Science-Based Targets initiative commitment letter, establishing a portfolio temperature alignment target of 1.75°C by 2040, demonstrating an annual reduction trajectory of 0.0783°C per year for financed emissions Scope 1 and 2. DBS Group has committed to Net Zero by 2050 with SBTi-submitted targets, achieved 62% renewable energy procurement as an RE100 member, and implemented an internal carbon price of $15 per tonne of CO₂ equivalent to drive investment decisions toward low-carbon alternatives. Bank Central Asia has developed a comprehensive Climate Change Strategy with sectoral credit policies covering coal, palm oil, cement, and oil &amp; gas, and is exceeding its Sustainable Finance Action Plan targets. These peer institutions demonstrate that target-setting is not merely a disclosure exercise but a strategic framework that drives operational transformation, portfolio reallocation, and stakeholder confidence.</w:t>
      </w:r>
    </w:p>
    <w:p>
      <w:pPr>
        <w:pStyle w:val="Heading3"/>
        <w:keepNext/>
      </w:pPr>
      <w:r>
        <w:rPr>
          <w:rFonts w:ascii="Arial" w:hAnsi="Arial"/>
          <w:b/>
          <w:color w:val="4A7AB5"/>
          <w:sz w:val="24"/>
        </w:rPr>
        <w:t>Recommended Target-Setting Roadmap: Three-Year Implementation Plan</w:t>
      </w:r>
    </w:p>
    <w:p>
      <w:pPr>
        <w:spacing w:after="160" w:line="276" w:lineRule="auto"/>
      </w:pPr>
      <w:r>
        <w:rPr>
          <w:rFonts w:ascii="Arial" w:hAnsi="Arial"/>
          <w:sz w:val="22"/>
        </w:rPr>
        <w:t xml:space="preserve">The institution should adopt a phased approach to establishing comprehensive climate targets aligned with international best practices and regulatory requirements. </w:t>
      </w:r>
      <w:r>
        <w:rPr>
          <w:rFonts w:ascii="Arial" w:hAnsi="Arial"/>
          <w:b/>
          <w:sz w:val="22"/>
        </w:rPr>
        <w:t>Year 1 (2025): Foundation Phase</w:t>
      </w:r>
      <w:r>
        <w:rPr>
          <w:rFonts w:ascii="Arial" w:hAnsi="Arial"/>
          <w:sz w:val="22"/>
        </w:rPr>
        <w:t xml:space="preserve"> — Submit a Science-Based Targets initiative commitment letter to publicly signal climate ambition, establish 2024 as the baseline year for all target calculations, conduct a comprehensive Scope 3 Category 15 financed emissions inventory using PCAF methodology across all material sectors, and establish governance structures including Board-level oversight of climate targets. </w:t>
      </w:r>
      <w:r>
        <w:rPr>
          <w:rFonts w:ascii="Arial" w:hAnsi="Arial"/>
          <w:b/>
          <w:sz w:val="22"/>
        </w:rPr>
        <w:t>Year 2 (2026): Target Formulation Phase</w:t>
      </w:r>
      <w:r>
        <w:rPr>
          <w:rFonts w:ascii="Arial" w:hAnsi="Arial"/>
          <w:sz w:val="22"/>
        </w:rPr>
        <w:t xml:space="preserve"> — Set interim operational targets for 2025 and 2030 covering Scope 1 and Scope 2 emissions with a recommended 30% reduction by 2030 versus the 2024 baseline (aligned with DBS pathway), establish sectoral decarbonization targets for the top five carbon-intensive sectors in the loan portfolio (Energy - Oil &amp; Gas, Manufacturing - Cement, Manufacturing - Steel, Transportation - Road, Manufacturing - Food &amp; Beverage), and develop a renewable energy procurement target of 25% by 2030 and 100% by 2040 (RE100 pathway). </w:t>
      </w:r>
      <w:r>
        <w:rPr>
          <w:rFonts w:ascii="Arial" w:hAnsi="Arial"/>
          <w:b/>
          <w:sz w:val="22"/>
        </w:rPr>
        <w:t>Year 3 (2027): Transition Plan Integration Phase</w:t>
      </w:r>
      <w:r>
        <w:rPr>
          <w:rFonts w:ascii="Arial" w:hAnsi="Arial"/>
          <w:sz w:val="22"/>
        </w:rPr>
        <w:t xml:space="preserve"> — Publish a comprehensive transition plan detailing decarbonization levers for own operations and financed emissions, conduct climate scenario analysis aligned with TCFD recommendations covering 1.5°C, 2°C, and 3°C warming scenarios, establish an internal carbon price mechanism to guide capital allocation decisions, and join the Net-Zero Banking Alliance to formalize portfolio alignment commitments.</w:t>
      </w:r>
    </w:p>
    <w:p>
      <w:pPr>
        <w:pStyle w:val="Heading3"/>
        <w:keepNext/>
      </w:pPr>
      <w:r>
        <w:rPr>
          <w:rFonts w:ascii="Arial" w:hAnsi="Arial"/>
          <w:b/>
          <w:color w:val="4A7AB5"/>
          <w:sz w:val="24"/>
        </w:rPr>
        <w:t>Decarbonization Levers: Operational and Portfolio Strategies</w:t>
      </w:r>
    </w:p>
    <w:p>
      <w:pPr>
        <w:spacing w:after="160" w:line="276" w:lineRule="auto"/>
      </w:pPr>
      <w:r>
        <w:rPr>
          <w:rFonts w:ascii="Arial" w:hAnsi="Arial"/>
          <w:sz w:val="22"/>
        </w:rPr>
        <w:t xml:space="preserve">The institution should implement a dual-track decarbonization strategy addressing both operational emissions (Scope 1 and 2) and financed emissions (Scope 3 Category 15). </w:t>
      </w:r>
      <w:r>
        <w:rPr>
          <w:rFonts w:ascii="Arial" w:hAnsi="Arial"/>
          <w:b/>
          <w:sz w:val="22"/>
        </w:rPr>
        <w:t>Operational Decarbonization Levers</w:t>
      </w:r>
      <w:r>
        <w:rPr>
          <w:rFonts w:ascii="Arial" w:hAnsi="Arial"/>
          <w:sz w:val="22"/>
        </w:rPr>
        <w:t xml:space="preserve"> include energy efficiency improvements through building management systems with auto-shutdown capabilities (reference: BRI's Kaseya program achieved 19.49% electricity savings at BRILiaN Tower), renewable energy procurement via solar panel installations at high-consumption facilities (the institution's top 10 facilities account for 1,069.88 tCO₂e or 31.4% of total Scope 1 emissions), fleet electrification targeting the replacement of diesel-powered vehicles with electric alternatives (diesel combustion represents 64.7% of Scope 1 emissions at 2,203.20 tCO₂e), and green building certification for new construction and major renovations (reference: BRI achieved Gold certification from Green Building Council Indonesia). </w:t>
      </w:r>
      <w:r>
        <w:rPr>
          <w:rFonts w:ascii="Arial" w:hAnsi="Arial"/>
          <w:b/>
          <w:sz w:val="22"/>
        </w:rPr>
        <w:t>Portfolio Decarbonization Levers</w:t>
      </w:r>
      <w:r>
        <w:rPr>
          <w:rFonts w:ascii="Arial" w:hAnsi="Arial"/>
          <w:sz w:val="22"/>
        </w:rPr>
        <w:t xml:space="preserve"> include enhanced Environmental and Social Risk Management screening for new loans in carbon-intensive sectors, client engagement programs targeting the top 20 emitters in the financed emissions inventory to support their transition plans, sectoral credit policies establishing phase-out timelines for coal-fired power generation and thermal coal mining (reference: BCA's exclusion list approach), and green finance product development to incentivize borrower adoption of low-carbon technologies through preferential pricing and dedicated credit lines.</w:t>
      </w:r>
    </w:p>
    <w:p>
      <w:pPr>
        <w:pStyle w:val="Heading3"/>
        <w:keepNext/>
      </w:pPr>
      <w:r>
        <w:rPr>
          <w:rFonts w:ascii="Arial" w:hAnsi="Arial"/>
          <w:b/>
          <w:color w:val="4A7AB5"/>
          <w:sz w:val="24"/>
        </w:rPr>
        <w:t>Quick Wins Versus Structural Changes: Prioritization Framework</w:t>
      </w:r>
    </w:p>
    <w:p>
      <w:pPr>
        <w:spacing w:after="160" w:line="276" w:lineRule="auto"/>
      </w:pPr>
      <w:r>
        <w:rPr>
          <w:rFonts w:ascii="Arial" w:hAnsi="Arial"/>
          <w:sz w:val="22"/>
        </w:rPr>
        <w:t xml:space="preserve">The institution should prioritize initiatives based on implementation speed, cost-effectiveness, and emission reduction potential. </w:t>
      </w:r>
      <w:r>
        <w:rPr>
          <w:rFonts w:ascii="Arial" w:hAnsi="Arial"/>
          <w:b/>
          <w:sz w:val="22"/>
        </w:rPr>
        <w:t>Quick Wins (0-12 months, low capital investment)</w:t>
      </w:r>
      <w:r>
        <w:rPr>
          <w:rFonts w:ascii="Arial" w:hAnsi="Arial"/>
          <w:sz w:val="22"/>
        </w:rPr>
        <w:t xml:space="preserve"> include LED lighting retrofit across all facilities (estimated 8-12% electricity reduction), implementation of auto-shutdown systems for HVAC and IT equipment during non-business hours (estimated 5-8% electricity reduction), biodiesel B35+ adoption for backup generators to reduce Scope 1 diesel emissions by 20-30%, establishment of a Green Loan Framework to capture existing sustainable finance activities and set growth targets, and publication of a TCFD-aligned climate disclosure in the 2025 sustainability report. </w:t>
      </w:r>
      <w:r>
        <w:rPr>
          <w:rFonts w:ascii="Arial" w:hAnsi="Arial"/>
          <w:b/>
          <w:sz w:val="22"/>
        </w:rPr>
        <w:t>Structural Changes (12-36 months, moderate to high capital investment)</w:t>
      </w:r>
      <w:r>
        <w:rPr>
          <w:rFonts w:ascii="Arial" w:hAnsi="Arial"/>
          <w:sz w:val="22"/>
        </w:rPr>
        <w:t xml:space="preserve"> include solar panel installations with battery storage at the top 10 energy-consuming facilities (estimated 15-20% Scope 2 reduction), electric vehicle fleet conversion for urban operations (estimated 40-50% Scope 1 reduction from transportation), power purchase agreements with renewable energy providers to achieve 25% renewable electricity by 2030, Science-Based Target validation through SBTi submission process (18-24 month timeline), and development of sectoral decarbonization pathways for Energy - Oil &amp; Gas (43.56% of financed emissions), Manufacturing - Cement (26.45%), and Manufacturing - Steel (15.92%) portfolios.</w:t>
      </w:r>
    </w:p>
    <w:p>
      <w:pPr>
        <w:spacing w:after="160" w:line="276" w:lineRule="auto"/>
      </w:pPr>
      <w:r>
        <w:rPr>
          <w:rFonts w:ascii="Arial" w:hAnsi="Arial"/>
          <w:sz w:val="22"/>
        </w:rPr>
        <w:t>The institution's current operational emissions baseline of 48,016.87 tCO₂e (Scope 1 + Scope 2 location-based) and financed emissions of 15,280,174.14 tCO₂e (Scope 3 Category 15 weighted) provide a clear starting point for target-setting. The 4.07% year-over-year reduction in total emissions intensity demonstrates existing momentum that can be accelerated through formal target adoption. However, the absence of renewable energy procurement (current renewable energy percentage is not captured in the reporting system) and the high PCAF data quality score of 3.36 (indicating reliance on sector-average and proxy data) highlight the need for enhanced data collection infrastructure to support credible target-setting and progress tracking.</w:t>
      </w:r>
    </w:p>
    <w:p>
      <w:r>
        <w:rPr>
          <w:rFonts w:ascii="Arial" w:hAnsi="Arial"/>
          <w:b/>
          <w:sz w:val="20"/>
        </w:rPr>
        <w:t>Table 58: Table 3.2.1: Framework Requirements for Climate Target Disclosure — Gap Analysis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IFRS S2</w:t>
            </w:r>
          </w:p>
        </w:tc>
        <w:tc>
          <w:tcPr>
            <w:tcW w:type="dxa" w:w="1806"/>
          </w:tcPr>
          <w:p>
            <w:r>
              <w:rPr>
                <w:rFonts w:ascii="Arial" w:hAnsi="Arial"/>
                <w:sz w:val="18"/>
              </w:rPr>
              <w:t>Para 33</w:t>
            </w:r>
          </w:p>
        </w:tc>
        <w:tc>
          <w:tcPr>
            <w:tcW w:type="dxa" w:w="1806"/>
          </w:tcPr>
          <w:p>
            <w:r>
              <w:rPr>
                <w:rFonts w:ascii="Arial" w:hAnsi="Arial"/>
                <w:sz w:val="18"/>
              </w:rPr>
              <w:t>Quantitative and qualitative climate-related targets</w:t>
            </w:r>
          </w:p>
        </w:tc>
        <w:tc>
          <w:tcPr>
            <w:tcW w:type="dxa" w:w="1806"/>
          </w:tcPr>
          <w:p>
            <w:r>
              <w:rPr>
                <w:rFonts w:ascii="Arial" w:hAnsi="Arial"/>
                <w:sz w:val="18"/>
              </w:rPr>
              <w:t>⚠️ Gap — No targets established</w:t>
            </w:r>
          </w:p>
        </w:tc>
        <w:tc>
          <w:tcPr>
            <w:tcW w:type="dxa" w:w="1806"/>
          </w:tcPr>
          <w:p>
            <w:r>
              <w:rPr>
                <w:rFonts w:ascii="Arial" w:hAnsi="Arial"/>
                <w:sz w:val="18"/>
              </w:rPr>
              <w:t>Critical</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34</w:t>
            </w:r>
          </w:p>
        </w:tc>
        <w:tc>
          <w:tcPr>
            <w:tcW w:type="dxa" w:w="1806"/>
            <w:shd w:fill="F2F6FC" w:val="clear"/>
          </w:tcPr>
          <w:p>
            <w:r>
              <w:rPr>
                <w:rFonts w:ascii="Arial" w:hAnsi="Arial"/>
                <w:sz w:val="18"/>
              </w:rPr>
              <w:t>Metrics used to set targets and monitor progress; base period</w:t>
            </w:r>
          </w:p>
        </w:tc>
        <w:tc>
          <w:tcPr>
            <w:tcW w:type="dxa" w:w="1806"/>
            <w:shd w:fill="F2F6FC" w:val="clear"/>
          </w:tcPr>
          <w:p>
            <w:r>
              <w:rPr>
                <w:rFonts w:ascii="Arial" w:hAnsi="Arial"/>
                <w:sz w:val="18"/>
              </w:rPr>
              <w:t>⚠️ Gap — Baseline year not designated</w:t>
            </w:r>
          </w:p>
        </w:tc>
        <w:tc>
          <w:tcPr>
            <w:tcW w:type="dxa" w:w="1806"/>
            <w:shd w:fill="F2F6FC" w:val="clear"/>
          </w:tcPr>
          <w:p>
            <w:r>
              <w:rPr>
                <w:rFonts w:ascii="Arial" w:hAnsi="Arial"/>
                <w:sz w:val="18"/>
              </w:rPr>
              <w:t>Critical</w:t>
            </w:r>
          </w:p>
        </w:tc>
      </w:tr>
      <w:tr>
        <w:tc>
          <w:tcPr>
            <w:tcW w:type="dxa" w:w="1806"/>
          </w:tcPr>
          <w:p>
            <w:r>
              <w:rPr>
                <w:rFonts w:ascii="Arial" w:hAnsi="Arial"/>
                <w:sz w:val="18"/>
              </w:rPr>
              <w:t>IFRS S2</w:t>
            </w:r>
          </w:p>
        </w:tc>
        <w:tc>
          <w:tcPr>
            <w:tcW w:type="dxa" w:w="1806"/>
          </w:tcPr>
          <w:p>
            <w:r>
              <w:rPr>
                <w:rFonts w:ascii="Arial" w:hAnsi="Arial"/>
                <w:sz w:val="18"/>
              </w:rPr>
              <w:t>Para 35</w:t>
            </w:r>
          </w:p>
        </w:tc>
        <w:tc>
          <w:tcPr>
            <w:tcW w:type="dxa" w:w="1806"/>
          </w:tcPr>
          <w:p>
            <w:r>
              <w:rPr>
                <w:rFonts w:ascii="Arial" w:hAnsi="Arial"/>
                <w:sz w:val="18"/>
              </w:rPr>
              <w:t>Approach to setting targets, including use of sectoral pathways</w:t>
            </w:r>
          </w:p>
        </w:tc>
        <w:tc>
          <w:tcPr>
            <w:tcW w:type="dxa" w:w="1806"/>
          </w:tcPr>
          <w:p>
            <w:r>
              <w:rPr>
                <w:rFonts w:ascii="Arial" w:hAnsi="Arial"/>
                <w:sz w:val="18"/>
              </w:rPr>
              <w:t>⚠️ Gap — No methodology documented</w:t>
            </w:r>
          </w:p>
        </w:tc>
        <w:tc>
          <w:tcPr>
            <w:tcW w:type="dxa" w:w="1806"/>
          </w:tcPr>
          <w:p>
            <w:r>
              <w:rPr>
                <w:rFonts w:ascii="Arial" w:hAnsi="Arial"/>
                <w:sz w:val="18"/>
              </w:rPr>
              <w:t>High</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36</w:t>
            </w:r>
          </w:p>
        </w:tc>
        <w:tc>
          <w:tcPr>
            <w:tcW w:type="dxa" w:w="1806"/>
            <w:shd w:fill="F2F6FC" w:val="clear"/>
          </w:tcPr>
          <w:p>
            <w:r>
              <w:rPr>
                <w:rFonts w:ascii="Arial" w:hAnsi="Arial"/>
                <w:sz w:val="18"/>
              </w:rPr>
              <w:t>Performance against targets, including analysis of trends</w:t>
            </w:r>
          </w:p>
        </w:tc>
        <w:tc>
          <w:tcPr>
            <w:tcW w:type="dxa" w:w="1806"/>
            <w:shd w:fill="F2F6FC" w:val="clear"/>
          </w:tcPr>
          <w:p>
            <w:r>
              <w:rPr>
                <w:rFonts w:ascii="Arial" w:hAnsi="Arial"/>
                <w:sz w:val="18"/>
              </w:rPr>
              <w:t>⚠️ Gap — No targets to measure against</w:t>
            </w:r>
          </w:p>
        </w:tc>
        <w:tc>
          <w:tcPr>
            <w:tcW w:type="dxa" w:w="1806"/>
            <w:shd w:fill="F2F6FC" w:val="clear"/>
          </w:tcPr>
          <w:p>
            <w:r>
              <w:rPr>
                <w:rFonts w:ascii="Arial" w:hAnsi="Arial"/>
                <w:sz w:val="18"/>
              </w:rPr>
              <w:t>High</w:t>
            </w:r>
          </w:p>
        </w:tc>
      </w:tr>
      <w:tr>
        <w:tc>
          <w:tcPr>
            <w:tcW w:type="dxa" w:w="1806"/>
          </w:tcPr>
          <w:p>
            <w:r>
              <w:rPr>
                <w:rFonts w:ascii="Arial" w:hAnsi="Arial"/>
                <w:sz w:val="18"/>
              </w:rPr>
              <w:t>GRI 305-5</w:t>
            </w:r>
          </w:p>
        </w:tc>
        <w:tc>
          <w:tcPr>
            <w:tcW w:type="dxa" w:w="1806"/>
          </w:tcPr>
          <w:p>
            <w:r>
              <w:rPr>
                <w:rFonts w:ascii="Arial" w:hAnsi="Arial"/>
                <w:sz w:val="18"/>
              </w:rPr>
              <w:t>305-5a</w:t>
            </w:r>
          </w:p>
        </w:tc>
        <w:tc>
          <w:tcPr>
            <w:tcW w:type="dxa" w:w="1806"/>
          </w:tcPr>
          <w:p>
            <w:r>
              <w:rPr>
                <w:rFonts w:ascii="Arial" w:hAnsi="Arial"/>
                <w:sz w:val="18"/>
              </w:rPr>
              <w:t>GHG emissions reduced as direct result of reduction initiatives (tCO₂e)</w:t>
            </w:r>
          </w:p>
        </w:tc>
        <w:tc>
          <w:tcPr>
            <w:tcW w:type="dxa" w:w="1806"/>
          </w:tcPr>
          <w:p>
            <w:r>
              <w:rPr>
                <w:rFonts w:ascii="Arial" w:hAnsi="Arial"/>
                <w:sz w:val="18"/>
              </w:rPr>
              <w:t>⚠️ Partial — YoY reduction observed but not attributed to specific initiatives</w:t>
            </w:r>
          </w:p>
        </w:tc>
        <w:tc>
          <w:tcPr>
            <w:tcW w:type="dxa" w:w="1806"/>
          </w:tcPr>
          <w:p>
            <w:r>
              <w:rPr>
                <w:rFonts w:ascii="Arial" w:hAnsi="Arial"/>
                <w:sz w:val="18"/>
              </w:rPr>
              <w:t>Medium</w:t>
            </w:r>
          </w:p>
        </w:tc>
      </w:tr>
      <w:tr>
        <w:tc>
          <w:tcPr>
            <w:tcW w:type="dxa" w:w="1806"/>
            <w:shd w:fill="F2F6FC" w:val="clear"/>
          </w:tcPr>
          <w:p>
            <w:r>
              <w:rPr>
                <w:rFonts w:ascii="Arial" w:hAnsi="Arial"/>
                <w:sz w:val="18"/>
              </w:rPr>
              <w:t>ESRS E1</w:t>
            </w:r>
          </w:p>
        </w:tc>
        <w:tc>
          <w:tcPr>
            <w:tcW w:type="dxa" w:w="1806"/>
            <w:shd w:fill="F2F6FC" w:val="clear"/>
          </w:tcPr>
          <w:p>
            <w:r>
              <w:rPr>
                <w:rFonts w:ascii="Arial" w:hAnsi="Arial"/>
                <w:sz w:val="18"/>
              </w:rPr>
              <w:t>DR E1-4</w:t>
            </w:r>
          </w:p>
        </w:tc>
        <w:tc>
          <w:tcPr>
            <w:tcW w:type="dxa" w:w="1806"/>
            <w:shd w:fill="F2F6FC" w:val="clear"/>
          </w:tcPr>
          <w:p>
            <w:r>
              <w:rPr>
                <w:rFonts w:ascii="Arial" w:hAnsi="Arial"/>
                <w:sz w:val="18"/>
              </w:rPr>
              <w:t>GHG emission reduction targets with target years and milestones</w:t>
            </w:r>
          </w:p>
        </w:tc>
        <w:tc>
          <w:tcPr>
            <w:tcW w:type="dxa" w:w="1806"/>
            <w:shd w:fill="F2F6FC" w:val="clear"/>
          </w:tcPr>
          <w:p>
            <w:r>
              <w:rPr>
                <w:rFonts w:ascii="Arial" w:hAnsi="Arial"/>
                <w:sz w:val="18"/>
              </w:rPr>
              <w:t>⚠️ Gap — No targets established</w:t>
            </w:r>
          </w:p>
        </w:tc>
        <w:tc>
          <w:tcPr>
            <w:tcW w:type="dxa" w:w="1806"/>
            <w:shd w:fill="F2F6FC" w:val="clear"/>
          </w:tcPr>
          <w:p>
            <w:r>
              <w:rPr>
                <w:rFonts w:ascii="Arial" w:hAnsi="Arial"/>
                <w:sz w:val="18"/>
              </w:rPr>
              <w:t>Critical</w:t>
            </w:r>
          </w:p>
        </w:tc>
      </w:tr>
      <w:tr>
        <w:tc>
          <w:tcPr>
            <w:tcW w:type="dxa" w:w="1806"/>
          </w:tcPr>
          <w:p>
            <w:r>
              <w:rPr>
                <w:rFonts w:ascii="Arial" w:hAnsi="Arial"/>
                <w:sz w:val="18"/>
              </w:rPr>
              <w:t>ESRS E1</w:t>
            </w:r>
          </w:p>
        </w:tc>
        <w:tc>
          <w:tcPr>
            <w:tcW w:type="dxa" w:w="1806"/>
          </w:tcPr>
          <w:p>
            <w:r>
              <w:rPr>
                <w:rFonts w:ascii="Arial" w:hAnsi="Arial"/>
                <w:sz w:val="18"/>
              </w:rPr>
              <w:t>DR E1-4</w:t>
            </w:r>
          </w:p>
        </w:tc>
        <w:tc>
          <w:tcPr>
            <w:tcW w:type="dxa" w:w="1806"/>
          </w:tcPr>
          <w:p>
            <w:r>
              <w:rPr>
                <w:rFonts w:ascii="Arial" w:hAnsi="Arial"/>
                <w:sz w:val="18"/>
              </w:rPr>
              <w:t>Decarbonization levers to achieve targets</w:t>
            </w:r>
          </w:p>
        </w:tc>
        <w:tc>
          <w:tcPr>
            <w:tcW w:type="dxa" w:w="1806"/>
          </w:tcPr>
          <w:p>
            <w:r>
              <w:rPr>
                <w:rFonts w:ascii="Arial" w:hAnsi="Arial"/>
                <w:sz w:val="18"/>
              </w:rPr>
              <w:t>⚠️ Gap — No formal decarbonization strategy</w:t>
            </w:r>
          </w:p>
        </w:tc>
        <w:tc>
          <w:tcPr>
            <w:tcW w:type="dxa" w:w="1806"/>
          </w:tcPr>
          <w:p>
            <w:r>
              <w:rPr>
                <w:rFonts w:ascii="Arial" w:hAnsi="Arial"/>
                <w:sz w:val="18"/>
              </w:rPr>
              <w:t>High</w:t>
            </w:r>
          </w:p>
        </w:tc>
      </w:tr>
      <w:tr>
        <w:tc>
          <w:tcPr>
            <w:tcW w:type="dxa" w:w="1806"/>
            <w:shd w:fill="F2F6FC" w:val="clear"/>
          </w:tcPr>
          <w:p>
            <w:r>
              <w:rPr>
                <w:rFonts w:ascii="Arial" w:hAnsi="Arial"/>
                <w:sz w:val="18"/>
              </w:rPr>
              <w:t>OJK PSPK</w:t>
            </w:r>
          </w:p>
        </w:tc>
        <w:tc>
          <w:tcPr>
            <w:tcW w:type="dxa" w:w="1806"/>
            <w:shd w:fill="F2F6FC" w:val="clear"/>
          </w:tcPr>
          <w:p>
            <w:r>
              <w:rPr>
                <w:rFonts w:ascii="Arial" w:hAnsi="Arial"/>
                <w:sz w:val="18"/>
              </w:rPr>
              <w:t>Target Iklim</w:t>
            </w:r>
          </w:p>
        </w:tc>
        <w:tc>
          <w:tcPr>
            <w:tcW w:type="dxa" w:w="1806"/>
            <w:shd w:fill="F2F6FC" w:val="clear"/>
          </w:tcPr>
          <w:p>
            <w:r>
              <w:rPr>
                <w:rFonts w:ascii="Arial" w:hAnsi="Arial"/>
                <w:sz w:val="18"/>
              </w:rPr>
              <w:t>Climate targets aligned with Indonesia's NDC</w:t>
            </w:r>
          </w:p>
        </w:tc>
        <w:tc>
          <w:tcPr>
            <w:tcW w:type="dxa" w:w="1806"/>
            <w:shd w:fill="F2F6FC" w:val="clear"/>
          </w:tcPr>
          <w:p>
            <w:r>
              <w:rPr>
                <w:rFonts w:ascii="Arial" w:hAnsi="Arial"/>
                <w:sz w:val="18"/>
              </w:rPr>
              <w:t>⚠️ Gap — No NDC alignment assessment</w:t>
            </w:r>
          </w:p>
        </w:tc>
        <w:tc>
          <w:tcPr>
            <w:tcW w:type="dxa" w:w="1806"/>
            <w:shd w:fill="F2F6FC" w:val="clear"/>
          </w:tcPr>
          <w:p>
            <w:r>
              <w:rPr>
                <w:rFonts w:ascii="Arial" w:hAnsi="Arial"/>
                <w:sz w:val="18"/>
              </w:rPr>
              <w:t>High</w:t>
            </w:r>
          </w:p>
        </w:tc>
      </w:tr>
    </w:tbl>
    <w:p>
      <w:r>
        <w:rPr>
          <w:rFonts w:ascii="Arial" w:hAnsi="Arial"/>
          <w:i/>
          <w:sz w:val="16"/>
        </w:rPr>
        <w:t>Source: Gap analysis based on framework requirements and current disclosure status as of 2024 reporting period.</w:t>
      </w:r>
    </w:p>
    <w:p/>
    <w:p>
      <w:r>
        <w:rPr>
          <w:rFonts w:ascii="Arial" w:hAnsi="Arial"/>
          <w:b/>
          <w:sz w:val="20"/>
        </w:rPr>
        <w:t>Table 60: Table 3.2.2: Peer Climate Target Benchmarks — Indonesian and Regional Banking Sector</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Net Zero Commitment</w:t>
            </w:r>
          </w:p>
        </w:tc>
        <w:tc>
          <w:tcPr>
            <w:tcW w:type="dxa" w:w="1505"/>
            <w:shd w:fill="1B3A6B" w:val="clear"/>
          </w:tcPr>
          <w:p>
            <w:r>
              <w:rPr>
                <w:rFonts w:ascii="Arial" w:hAnsi="Arial"/>
                <w:b/>
                <w:color w:val="FFFFFF"/>
                <w:sz w:val="18"/>
              </w:rPr>
              <w:t>Interim Target</w:t>
            </w:r>
          </w:p>
        </w:tc>
        <w:tc>
          <w:tcPr>
            <w:tcW w:type="dxa" w:w="1505"/>
            <w:shd w:fill="1B3A6B" w:val="clear"/>
          </w:tcPr>
          <w:p>
            <w:r>
              <w:rPr>
                <w:rFonts w:ascii="Arial" w:hAnsi="Arial"/>
                <w:b/>
                <w:color w:val="FFFFFF"/>
                <w:sz w:val="18"/>
              </w:rPr>
              <w:t>SBTi Status</w:t>
            </w:r>
          </w:p>
        </w:tc>
        <w:tc>
          <w:tcPr>
            <w:tcW w:type="dxa" w:w="1505"/>
            <w:shd w:fill="1B3A6B" w:val="clear"/>
          </w:tcPr>
          <w:p>
            <w:r>
              <w:rPr>
                <w:rFonts w:ascii="Arial" w:hAnsi="Arial"/>
                <w:b/>
                <w:color w:val="FFFFFF"/>
                <w:sz w:val="18"/>
              </w:rPr>
              <w:t>Renewable Energy</w:t>
            </w:r>
          </w:p>
        </w:tc>
        <w:tc>
          <w:tcPr>
            <w:tcW w:type="dxa" w:w="1505"/>
            <w:shd w:fill="1B3A6B" w:val="clear"/>
          </w:tcPr>
          <w:p>
            <w:r>
              <w:rPr>
                <w:rFonts w:ascii="Arial" w:hAnsi="Arial"/>
                <w:b/>
                <w:color w:val="FFFFFF"/>
                <w:sz w:val="18"/>
              </w:rPr>
              <w:t>Internal Carbon Price</w:t>
            </w:r>
          </w:p>
        </w:tc>
      </w:tr>
      <w:tr>
        <w:tc>
          <w:tcPr>
            <w:tcW w:type="dxa" w:w="1505"/>
          </w:tcPr>
          <w:p>
            <w:r>
              <w:rPr>
                <w:rFonts w:ascii="Arial" w:hAnsi="Arial"/>
                <w:sz w:val="18"/>
              </w:rPr>
              <w:t>Bank Rakyat Indonesia</w:t>
            </w:r>
          </w:p>
        </w:tc>
        <w:tc>
          <w:tcPr>
            <w:tcW w:type="dxa" w:w="1505"/>
          </w:tcPr>
          <w:p>
            <w:pPr>
              <w:jc w:val="right"/>
            </w:pPr>
            <w:r>
              <w:rPr>
                <w:rFonts w:ascii="Arial" w:hAnsi="Arial"/>
                <w:sz w:val="18"/>
              </w:rPr>
              <w:t>2050</w:t>
            </w:r>
          </w:p>
        </w:tc>
        <w:tc>
          <w:tcPr>
            <w:tcW w:type="dxa" w:w="1505"/>
          </w:tcPr>
          <w:p>
            <w:r>
              <w:rPr>
                <w:rFonts w:ascii="Arial" w:hAnsi="Arial"/>
                <w:sz w:val="18"/>
              </w:rPr>
              <w:t>Portfolio temp 1.75°C by 2040</w:t>
            </w:r>
          </w:p>
        </w:tc>
        <w:tc>
          <w:tcPr>
            <w:tcW w:type="dxa" w:w="1505"/>
          </w:tcPr>
          <w:p>
            <w:r>
              <w:rPr>
                <w:rFonts w:ascii="Arial" w:hAnsi="Arial"/>
                <w:sz w:val="18"/>
              </w:rPr>
              <w:t>✅ Committed (First ID FI)</w:t>
            </w:r>
          </w:p>
        </w:tc>
        <w:tc>
          <w:tcPr>
            <w:tcW w:type="dxa" w:w="1505"/>
          </w:tcPr>
          <w:p>
            <w:r>
              <w:rPr>
                <w:rFonts w:ascii="Arial" w:hAnsi="Arial"/>
                <w:sz w:val="18"/>
              </w:rPr>
              <w:t>&lt;1% (solar pilot)</w:t>
            </w:r>
          </w:p>
        </w:tc>
        <w:tc>
          <w:tcPr>
            <w:tcW w:type="dxa" w:w="1505"/>
          </w:tcPr>
          <w:p>
            <w:r>
              <w:rPr>
                <w:rFonts w:ascii="Arial" w:hAnsi="Arial"/>
                <w:sz w:val="18"/>
              </w:rPr>
              <w:t>Not disclosed</w:t>
            </w:r>
          </w:p>
        </w:tc>
      </w:tr>
      <w:tr>
        <w:tc>
          <w:tcPr>
            <w:tcW w:type="dxa" w:w="1505"/>
            <w:shd w:fill="F2F6FC" w:val="clear"/>
          </w:tcPr>
          <w:p>
            <w:r>
              <w:rPr>
                <w:rFonts w:ascii="Arial" w:hAnsi="Arial"/>
                <w:sz w:val="18"/>
              </w:rPr>
              <w:t>DBS Group</w:t>
            </w:r>
          </w:p>
        </w:tc>
        <w:tc>
          <w:tcPr>
            <w:tcW w:type="dxa" w:w="1505"/>
            <w:shd w:fill="F2F6FC" w:val="clear"/>
          </w:tcPr>
          <w:p>
            <w:pPr>
              <w:jc w:val="right"/>
            </w:pPr>
            <w:r>
              <w:rPr>
                <w:rFonts w:ascii="Arial" w:hAnsi="Arial"/>
                <w:sz w:val="18"/>
              </w:rPr>
              <w:t>2050</w:t>
            </w:r>
          </w:p>
        </w:tc>
        <w:tc>
          <w:tcPr>
            <w:tcW w:type="dxa" w:w="1505"/>
            <w:shd w:fill="F2F6FC" w:val="clear"/>
          </w:tcPr>
          <w:p>
            <w:r>
              <w:rPr>
                <w:rFonts w:ascii="Arial" w:hAnsi="Arial"/>
                <w:sz w:val="18"/>
              </w:rPr>
              <w:t>Multi-sector pathways</w:t>
            </w:r>
          </w:p>
        </w:tc>
        <w:tc>
          <w:tcPr>
            <w:tcW w:type="dxa" w:w="1505"/>
            <w:shd w:fill="F2F6FC" w:val="clear"/>
          </w:tcPr>
          <w:p>
            <w:r>
              <w:rPr>
                <w:rFonts w:ascii="Arial" w:hAnsi="Arial"/>
                <w:sz w:val="18"/>
              </w:rPr>
              <w:t>✅ Submitted</w:t>
            </w:r>
          </w:p>
        </w:tc>
        <w:tc>
          <w:tcPr>
            <w:tcW w:type="dxa" w:w="1505"/>
            <w:shd w:fill="F2F6FC" w:val="clear"/>
          </w:tcPr>
          <w:p>
            <w:r>
              <w:rPr>
                <w:rFonts w:ascii="Arial" w:hAnsi="Arial"/>
                <w:sz w:val="18"/>
              </w:rPr>
              <w:t>62% (RE100 member)</w:t>
            </w:r>
          </w:p>
        </w:tc>
        <w:tc>
          <w:tcPr>
            <w:tcW w:type="dxa" w:w="1505"/>
            <w:shd w:fill="F2F6FC" w:val="clear"/>
          </w:tcPr>
          <w:p>
            <w:r>
              <w:rPr>
                <w:rFonts w:ascii="Arial" w:hAnsi="Arial"/>
                <w:sz w:val="18"/>
              </w:rPr>
              <w:t>$15/tCO₂</w:t>
            </w:r>
          </w:p>
        </w:tc>
      </w:tr>
      <w:tr>
        <w:tc>
          <w:tcPr>
            <w:tcW w:type="dxa" w:w="1505"/>
          </w:tcPr>
          <w:p>
            <w:r>
              <w:rPr>
                <w:rFonts w:ascii="Arial" w:hAnsi="Arial"/>
                <w:sz w:val="18"/>
              </w:rPr>
              <w:t>Bank Central Asia</w:t>
            </w:r>
          </w:p>
        </w:tc>
        <w:tc>
          <w:tcPr>
            <w:tcW w:type="dxa" w:w="1505"/>
          </w:tcPr>
          <w:p>
            <w:r>
              <w:rPr>
                <w:rFonts w:ascii="Arial" w:hAnsi="Arial"/>
                <w:sz w:val="18"/>
              </w:rPr>
              <w:t>Developing</w:t>
            </w:r>
          </w:p>
        </w:tc>
        <w:tc>
          <w:tcPr>
            <w:tcW w:type="dxa" w:w="1505"/>
          </w:tcPr>
          <w:p>
            <w:r>
              <w:rPr>
                <w:rFonts w:ascii="Arial" w:hAnsi="Arial"/>
                <w:sz w:val="18"/>
              </w:rPr>
              <w:t>SFAP exceeding target</w:t>
            </w:r>
          </w:p>
        </w:tc>
        <w:tc>
          <w:tcPr>
            <w:tcW w:type="dxa" w:w="1505"/>
          </w:tcPr>
          <w:p>
            <w:r>
              <w:rPr>
                <w:rFonts w:ascii="Arial" w:hAnsi="Arial"/>
                <w:sz w:val="18"/>
              </w:rPr>
              <w:t>Developing</w:t>
            </w:r>
          </w:p>
        </w:tc>
        <w:tc>
          <w:tcPr>
            <w:tcW w:type="dxa" w:w="1505"/>
          </w:tcPr>
          <w:p>
            <w:r>
              <w:rPr>
                <w:rFonts w:ascii="Arial" w:hAnsi="Arial"/>
                <w:sz w:val="18"/>
              </w:rPr>
              <w:t>&lt;1%</w:t>
            </w:r>
          </w:p>
        </w:tc>
        <w:tc>
          <w:tcPr>
            <w:tcW w:type="dxa" w:w="1505"/>
          </w:tcPr>
          <w:p>
            <w:r>
              <w:rPr>
                <w:rFonts w:ascii="Arial" w:hAnsi="Arial"/>
                <w:sz w:val="18"/>
              </w:rPr>
              <w:t>Not disclosed</w:t>
            </w:r>
          </w:p>
        </w:tc>
      </w:tr>
      <w:tr>
        <w:tc>
          <w:tcPr>
            <w:tcW w:type="dxa" w:w="1505"/>
            <w:shd w:fill="F2F6FC" w:val="clear"/>
          </w:tcPr>
          <w:p>
            <w:r>
              <w:rPr>
                <w:rFonts w:ascii="Arial" w:hAnsi="Arial"/>
                <w:sz w:val="18"/>
              </w:rPr>
              <w:t>Bank Mandiri</w:t>
            </w:r>
          </w:p>
        </w:tc>
        <w:tc>
          <w:tcPr>
            <w:tcW w:type="dxa" w:w="1505"/>
            <w:shd w:fill="F2F6FC" w:val="clear"/>
          </w:tcPr>
          <w:p>
            <w:pPr>
              <w:jc w:val="right"/>
            </w:pPr>
            <w:r>
              <w:rPr>
                <w:rFonts w:ascii="Arial" w:hAnsi="Arial"/>
                <w:sz w:val="18"/>
              </w:rPr>
              <w:t>2060</w:t>
            </w:r>
          </w:p>
        </w:tc>
        <w:tc>
          <w:tcPr>
            <w:tcW w:type="dxa" w:w="1505"/>
            <w:shd w:fill="F2F6FC" w:val="clear"/>
          </w:tcPr>
          <w:p>
            <w:r>
              <w:rPr>
                <w:rFonts w:ascii="Arial" w:hAnsi="Arial"/>
                <w:sz w:val="18"/>
              </w:rPr>
              <w:t>~5% annual reduction</w:t>
            </w:r>
          </w:p>
        </w:tc>
        <w:tc>
          <w:tcPr>
            <w:tcW w:type="dxa" w:w="1505"/>
            <w:shd w:fill="F2F6FC" w:val="clear"/>
          </w:tcPr>
          <w:p>
            <w:r>
              <w:rPr>
                <w:rFonts w:ascii="Arial" w:hAnsi="Arial"/>
                <w:sz w:val="18"/>
              </w:rPr>
              <w:t>Developing</w:t>
            </w:r>
          </w:p>
        </w:tc>
        <w:tc>
          <w:tcPr>
            <w:tcW w:type="dxa" w:w="1505"/>
            <w:shd w:fill="F2F6FC" w:val="clear"/>
          </w:tcPr>
          <w:p>
            <w:r>
              <w:rPr>
                <w:rFonts w:ascii="Arial" w:hAnsi="Arial"/>
                <w:sz w:val="18"/>
              </w:rPr>
              <w:t>&lt;1% (pilot)</w:t>
            </w:r>
          </w:p>
        </w:tc>
        <w:tc>
          <w:tcPr>
            <w:tcW w:type="dxa" w:w="1505"/>
            <w:shd w:fill="F2F6FC" w:val="clear"/>
          </w:tcPr>
          <w:p>
            <w:r>
              <w:rPr>
                <w:rFonts w:ascii="Arial" w:hAnsi="Arial"/>
                <w:sz w:val="18"/>
              </w:rPr>
              <w:t>Not disclosed</w:t>
            </w:r>
          </w:p>
        </w:tc>
      </w:tr>
      <w:tr>
        <w:tc>
          <w:tcPr>
            <w:tcW w:type="dxa" w:w="1505"/>
          </w:tcPr>
          <w:p>
            <w:r>
              <w:rPr>
                <w:rFonts w:ascii="Arial" w:hAnsi="Arial"/>
                <w:sz w:val="18"/>
              </w:rPr>
              <w:t>Generic Financial Institution</w:t>
            </w:r>
          </w:p>
        </w:tc>
        <w:tc>
          <w:tcPr>
            <w:tcW w:type="dxa" w:w="1505"/>
          </w:tcPr>
          <w:p>
            <w:r>
              <w:rPr>
                <w:rFonts w:ascii="Arial" w:hAnsi="Arial"/>
                <w:sz w:val="18"/>
              </w:rPr>
              <w:t>Not established</w:t>
            </w:r>
          </w:p>
        </w:tc>
        <w:tc>
          <w:tcPr>
            <w:tcW w:type="dxa" w:w="1505"/>
          </w:tcPr>
          <w:p>
            <w:r>
              <w:rPr>
                <w:rFonts w:ascii="Arial" w:hAnsi="Arial"/>
                <w:sz w:val="18"/>
              </w:rPr>
              <w:t>Not established</w:t>
            </w:r>
          </w:p>
        </w:tc>
        <w:tc>
          <w:tcPr>
            <w:tcW w:type="dxa" w:w="1505"/>
          </w:tcPr>
          <w:p>
            <w:r>
              <w:rPr>
                <w:rFonts w:ascii="Arial" w:hAnsi="Arial"/>
                <w:sz w:val="18"/>
              </w:rPr>
              <w:t>❌ Not committed</w:t>
            </w:r>
          </w:p>
        </w:tc>
        <w:tc>
          <w:tcPr>
            <w:tcW w:type="dxa" w:w="1505"/>
          </w:tcPr>
          <w:p>
            <w:r>
              <w:rPr>
                <w:rFonts w:ascii="Arial" w:hAnsi="Arial"/>
                <w:sz w:val="18"/>
              </w:rPr>
              <w:t>Not captured</w:t>
            </w:r>
          </w:p>
        </w:tc>
        <w:tc>
          <w:tcPr>
            <w:tcW w:type="dxa" w:w="1505"/>
          </w:tcPr>
          <w:p>
            <w:r>
              <w:rPr>
                <w:rFonts w:ascii="Arial" w:hAnsi="Arial"/>
                <w:sz w:val="18"/>
              </w:rPr>
              <w:t>Not established</w:t>
            </w:r>
          </w:p>
        </w:tc>
      </w:tr>
    </w:tbl>
    <w:p>
      <w:r>
        <w:rPr>
          <w:rFonts w:ascii="Arial" w:hAnsi="Arial"/>
          <w:i/>
          <w:sz w:val="16"/>
        </w:rPr>
        <w:t>Source: Peer data sourced from sustainability reports 2023-2025. Generic Financial Institution data from current reporting system.</w:t>
      </w:r>
    </w:p>
    <w:p/>
    <w:p>
      <w:r>
        <w:rPr>
          <w:rFonts w:ascii="Arial" w:hAnsi="Arial"/>
          <w:b/>
          <w:sz w:val="20"/>
        </w:rPr>
        <w:t>Table 62: Table 3.2.3: Recommended Target-Setting Roadmap — Three-Year Implementation Plan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Phase</w:t>
            </w:r>
          </w:p>
        </w:tc>
        <w:tc>
          <w:tcPr>
            <w:tcW w:type="dxa" w:w="1806"/>
            <w:shd w:fill="1B3A6B" w:val="clear"/>
          </w:tcPr>
          <w:p>
            <w:r>
              <w:rPr>
                <w:rFonts w:ascii="Arial" w:hAnsi="Arial"/>
                <w:b/>
                <w:color w:val="FFFFFF"/>
                <w:sz w:val="18"/>
              </w:rPr>
              <w:t>Timeline</w:t>
            </w:r>
          </w:p>
        </w:tc>
        <w:tc>
          <w:tcPr>
            <w:tcW w:type="dxa" w:w="1806"/>
            <w:shd w:fill="1B3A6B" w:val="clear"/>
          </w:tcPr>
          <w:p>
            <w:r>
              <w:rPr>
                <w:rFonts w:ascii="Arial" w:hAnsi="Arial"/>
                <w:b/>
                <w:color w:val="FFFFFF"/>
                <w:sz w:val="18"/>
              </w:rPr>
              <w:t>Key Deliverables</w:t>
            </w:r>
          </w:p>
        </w:tc>
        <w:tc>
          <w:tcPr>
            <w:tcW w:type="dxa" w:w="1806"/>
            <w:shd w:fill="1B3A6B" w:val="clear"/>
          </w:tcPr>
          <w:p>
            <w:r>
              <w:rPr>
                <w:rFonts w:ascii="Arial" w:hAnsi="Arial"/>
                <w:b/>
                <w:color w:val="FFFFFF"/>
                <w:sz w:val="18"/>
              </w:rPr>
              <w:t>Expected Outcome</w:t>
            </w:r>
          </w:p>
        </w:tc>
        <w:tc>
          <w:tcPr>
            <w:tcW w:type="dxa" w:w="1806"/>
            <w:shd w:fill="1B3A6B" w:val="clear"/>
          </w:tcPr>
          <w:p>
            <w:r>
              <w:rPr>
                <w:rFonts w:ascii="Arial" w:hAnsi="Arial"/>
                <w:b/>
                <w:color w:val="FFFFFF"/>
                <w:sz w:val="18"/>
              </w:rPr>
              <w:t>Estimated Investment</w:t>
            </w:r>
          </w:p>
        </w:tc>
      </w:tr>
      <w:tr>
        <w:tc>
          <w:tcPr>
            <w:tcW w:type="dxa" w:w="1806"/>
          </w:tcPr>
          <w:p>
            <w:r>
              <w:rPr>
                <w:rFonts w:ascii="Arial" w:hAnsi="Arial"/>
                <w:sz w:val="18"/>
              </w:rPr>
              <w:t>Foundation</w:t>
            </w:r>
          </w:p>
        </w:tc>
        <w:tc>
          <w:tcPr>
            <w:tcW w:type="dxa" w:w="1806"/>
          </w:tcPr>
          <w:p>
            <w:r>
              <w:rPr>
                <w:rFonts w:ascii="Arial" w:hAnsi="Arial"/>
                <w:sz w:val="18"/>
              </w:rPr>
              <w:t>Q1-Q4 2025</w:t>
            </w:r>
          </w:p>
        </w:tc>
        <w:tc>
          <w:tcPr>
            <w:tcW w:type="dxa" w:w="1806"/>
          </w:tcPr>
          <w:p>
            <w:r>
              <w:rPr>
                <w:rFonts w:ascii="Arial" w:hAnsi="Arial"/>
                <w:sz w:val="18"/>
              </w:rPr>
              <w:t>SBTi commitment letter; Baseline year designation (2024); Scope 3 Cat 15 full inventory; Board governance structure</w:t>
            </w:r>
          </w:p>
        </w:tc>
        <w:tc>
          <w:tcPr>
            <w:tcW w:type="dxa" w:w="1806"/>
          </w:tcPr>
          <w:p>
            <w:r>
              <w:rPr>
                <w:rFonts w:ascii="Arial" w:hAnsi="Arial"/>
                <w:sz w:val="18"/>
              </w:rPr>
              <w:t>Public climate commitment; Data foundation for target-setting</w:t>
            </w:r>
          </w:p>
        </w:tc>
        <w:tc>
          <w:tcPr>
            <w:tcW w:type="dxa" w:w="1806"/>
          </w:tcPr>
          <w:p>
            <w:r>
              <w:rPr>
                <w:rFonts w:ascii="Arial" w:hAnsi="Arial"/>
                <w:sz w:val="18"/>
              </w:rPr>
              <w:t>IDR 500-750 million (consulting + systems)</w:t>
            </w:r>
          </w:p>
        </w:tc>
      </w:tr>
      <w:tr>
        <w:tc>
          <w:tcPr>
            <w:tcW w:type="dxa" w:w="1806"/>
            <w:shd w:fill="F2F6FC" w:val="clear"/>
          </w:tcPr>
          <w:p>
            <w:r>
              <w:rPr>
                <w:rFonts w:ascii="Arial" w:hAnsi="Arial"/>
                <w:sz w:val="18"/>
              </w:rPr>
              <w:t>Target Formulation</w:t>
            </w:r>
          </w:p>
        </w:tc>
        <w:tc>
          <w:tcPr>
            <w:tcW w:type="dxa" w:w="1806"/>
            <w:shd w:fill="F2F6FC" w:val="clear"/>
          </w:tcPr>
          <w:p>
            <w:r>
              <w:rPr>
                <w:rFonts w:ascii="Arial" w:hAnsi="Arial"/>
                <w:sz w:val="18"/>
              </w:rPr>
              <w:t>Q1-Q4 2026</w:t>
            </w:r>
          </w:p>
        </w:tc>
        <w:tc>
          <w:tcPr>
            <w:tcW w:type="dxa" w:w="1806"/>
            <w:shd w:fill="F2F6FC" w:val="clear"/>
          </w:tcPr>
          <w:p>
            <w:r>
              <w:rPr>
                <w:rFonts w:ascii="Arial" w:hAnsi="Arial"/>
                <w:sz w:val="18"/>
              </w:rPr>
              <w:t>30% Scope 1+2 reduction target by 2030; Sectoral decarbonization targets (top 5 sectors); 25% renewable energy target by 2030</w:t>
            </w:r>
          </w:p>
        </w:tc>
        <w:tc>
          <w:tcPr>
            <w:tcW w:type="dxa" w:w="1806"/>
            <w:shd w:fill="F2F6FC" w:val="clear"/>
          </w:tcPr>
          <w:p>
            <w:r>
              <w:rPr>
                <w:rFonts w:ascii="Arial" w:hAnsi="Arial"/>
                <w:sz w:val="18"/>
              </w:rPr>
              <w:t>Quantified reduction pathways; Sectoral engagement framework</w:t>
            </w:r>
          </w:p>
        </w:tc>
        <w:tc>
          <w:tcPr>
            <w:tcW w:type="dxa" w:w="1806"/>
            <w:shd w:fill="F2F6FC" w:val="clear"/>
          </w:tcPr>
          <w:p>
            <w:r>
              <w:rPr>
                <w:rFonts w:ascii="Arial" w:hAnsi="Arial"/>
                <w:sz w:val="18"/>
              </w:rPr>
              <w:t>IDR 1-1.5 billion (target validation + sectoral analysis)</w:t>
            </w:r>
          </w:p>
        </w:tc>
      </w:tr>
      <w:tr>
        <w:tc>
          <w:tcPr>
            <w:tcW w:type="dxa" w:w="1806"/>
          </w:tcPr>
          <w:p>
            <w:r>
              <w:rPr>
                <w:rFonts w:ascii="Arial" w:hAnsi="Arial"/>
                <w:sz w:val="18"/>
              </w:rPr>
              <w:t>Transition Plan</w:t>
            </w:r>
          </w:p>
        </w:tc>
        <w:tc>
          <w:tcPr>
            <w:tcW w:type="dxa" w:w="1806"/>
          </w:tcPr>
          <w:p>
            <w:r>
              <w:rPr>
                <w:rFonts w:ascii="Arial" w:hAnsi="Arial"/>
                <w:sz w:val="18"/>
              </w:rPr>
              <w:t>Q1-Q4 2027</w:t>
            </w:r>
          </w:p>
        </w:tc>
        <w:tc>
          <w:tcPr>
            <w:tcW w:type="dxa" w:w="1806"/>
          </w:tcPr>
          <w:p>
            <w:r>
              <w:rPr>
                <w:rFonts w:ascii="Arial" w:hAnsi="Arial"/>
                <w:sz w:val="18"/>
              </w:rPr>
              <w:t>Comprehensive transition plan; TCFD scenario analysis; Internal carbon price ($10-15/tCO₂); NZBA membership</w:t>
            </w:r>
          </w:p>
        </w:tc>
        <w:tc>
          <w:tcPr>
            <w:tcW w:type="dxa" w:w="1806"/>
          </w:tcPr>
          <w:p>
            <w:r>
              <w:rPr>
                <w:rFonts w:ascii="Arial" w:hAnsi="Arial"/>
                <w:sz w:val="18"/>
              </w:rPr>
              <w:t>Integrated climate strategy; Capital allocation framework</w:t>
            </w:r>
          </w:p>
        </w:tc>
        <w:tc>
          <w:tcPr>
            <w:tcW w:type="dxa" w:w="1806"/>
          </w:tcPr>
          <w:p>
            <w:r>
              <w:rPr>
                <w:rFonts w:ascii="Arial" w:hAnsi="Arial"/>
                <w:sz w:val="18"/>
              </w:rPr>
              <w:t>IDR 2-3 billion (scenario modeling + carbon pricing system)</w:t>
            </w:r>
          </w:p>
        </w:tc>
      </w:tr>
    </w:tbl>
    <w:p>
      <w:r>
        <w:rPr>
          <w:rFonts w:ascii="Arial" w:hAnsi="Arial"/>
          <w:i/>
          <w:sz w:val="16"/>
        </w:rPr>
        <w:t>Source: Investment estimates include external consulting, data systems, and internal resource allocation. Excludes capital expenditure for decarbonization initiatives (solar, EV fleet, etc.).</w:t>
      </w:r>
    </w:p>
    <w:p/>
    <w:p>
      <w:r>
        <w:rPr>
          <w:rFonts w:ascii="Arial" w:hAnsi="Arial"/>
          <w:b/>
          <w:sz w:val="20"/>
        </w:rPr>
        <w:t>Table 64: Table 3.2.4: Decarbonization Levers — Operational Emissions (Scope 1 &amp; 2)</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Lever Category</w:t>
            </w:r>
          </w:p>
        </w:tc>
        <w:tc>
          <w:tcPr>
            <w:tcW w:type="dxa" w:w="1505"/>
            <w:shd w:fill="1B3A6B" w:val="clear"/>
          </w:tcPr>
          <w:p>
            <w:r>
              <w:rPr>
                <w:rFonts w:ascii="Arial" w:hAnsi="Arial"/>
                <w:b/>
                <w:color w:val="FFFFFF"/>
                <w:sz w:val="18"/>
              </w:rPr>
              <w:t>Specific Initiative</w:t>
            </w:r>
          </w:p>
        </w:tc>
        <w:tc>
          <w:tcPr>
            <w:tcW w:type="dxa" w:w="1505"/>
            <w:shd w:fill="1B3A6B" w:val="clear"/>
          </w:tcPr>
          <w:p>
            <w:r>
              <w:rPr>
                <w:rFonts w:ascii="Arial" w:hAnsi="Arial"/>
                <w:b/>
                <w:color w:val="FFFFFF"/>
                <w:sz w:val="18"/>
              </w:rPr>
              <w:t>Target Scope</w:t>
            </w:r>
          </w:p>
        </w:tc>
        <w:tc>
          <w:tcPr>
            <w:tcW w:type="dxa" w:w="1505"/>
            <w:shd w:fill="1B3A6B" w:val="clear"/>
          </w:tcPr>
          <w:p>
            <w:r>
              <w:rPr>
                <w:rFonts w:ascii="Arial" w:hAnsi="Arial"/>
                <w:b/>
                <w:color w:val="FFFFFF"/>
                <w:sz w:val="18"/>
              </w:rPr>
              <w:t>Estimated Reduction Potential</w:t>
            </w:r>
          </w:p>
        </w:tc>
        <w:tc>
          <w:tcPr>
            <w:tcW w:type="dxa" w:w="1505"/>
            <w:shd w:fill="1B3A6B" w:val="clear"/>
          </w:tcPr>
          <w:p>
            <w:r>
              <w:rPr>
                <w:rFonts w:ascii="Arial" w:hAnsi="Arial"/>
                <w:b/>
                <w:color w:val="FFFFFF"/>
                <w:sz w:val="18"/>
              </w:rPr>
              <w:t>Implementation Timeline</w:t>
            </w:r>
          </w:p>
        </w:tc>
        <w:tc>
          <w:tcPr>
            <w:tcW w:type="dxa" w:w="1505"/>
            <w:shd w:fill="1B3A6B" w:val="clear"/>
          </w:tcPr>
          <w:p>
            <w:r>
              <w:rPr>
                <w:rFonts w:ascii="Arial" w:hAnsi="Arial"/>
                <w:b/>
                <w:color w:val="FFFFFF"/>
                <w:sz w:val="18"/>
              </w:rPr>
              <w:t>Peer Reference</w:t>
            </w:r>
          </w:p>
        </w:tc>
      </w:tr>
      <w:tr>
        <w:tc>
          <w:tcPr>
            <w:tcW w:type="dxa" w:w="1505"/>
          </w:tcPr>
          <w:p>
            <w:r>
              <w:rPr>
                <w:rFonts w:ascii="Arial" w:hAnsi="Arial"/>
                <w:sz w:val="18"/>
              </w:rPr>
              <w:t>Energy Efficiency</w:t>
            </w:r>
          </w:p>
        </w:tc>
        <w:tc>
          <w:tcPr>
            <w:tcW w:type="dxa" w:w="1505"/>
          </w:tcPr>
          <w:p>
            <w:r>
              <w:rPr>
                <w:rFonts w:ascii="Arial" w:hAnsi="Arial"/>
                <w:sz w:val="18"/>
              </w:rPr>
              <w:t>Auto-shutdown systems (HVAC, IT)</w:t>
            </w:r>
          </w:p>
        </w:tc>
        <w:tc>
          <w:tcPr>
            <w:tcW w:type="dxa" w:w="1505"/>
          </w:tcPr>
          <w:p>
            <w:r>
              <w:rPr>
                <w:rFonts w:ascii="Arial" w:hAnsi="Arial"/>
                <w:sz w:val="18"/>
              </w:rPr>
              <w:t>Scope 2</w:t>
            </w:r>
          </w:p>
        </w:tc>
        <w:tc>
          <w:tcPr>
            <w:tcW w:type="dxa" w:w="1505"/>
          </w:tcPr>
          <w:p>
            <w:r>
              <w:rPr>
                <w:rFonts w:ascii="Arial" w:hAnsi="Arial"/>
                <w:sz w:val="18"/>
              </w:rPr>
              <w:t>5-8% electricity reduction</w:t>
            </w:r>
          </w:p>
        </w:tc>
        <w:tc>
          <w:tcPr>
            <w:tcW w:type="dxa" w:w="1505"/>
          </w:tcPr>
          <w:p>
            <w:r>
              <w:rPr>
                <w:rFonts w:ascii="Arial" w:hAnsi="Arial"/>
                <w:sz w:val="18"/>
              </w:rPr>
              <w:t>Q2-Q3 2025</w:t>
            </w:r>
          </w:p>
        </w:tc>
        <w:tc>
          <w:tcPr>
            <w:tcW w:type="dxa" w:w="1505"/>
          </w:tcPr>
          <w:p>
            <w:r>
              <w:rPr>
                <w:rFonts w:ascii="Arial" w:hAnsi="Arial"/>
                <w:sz w:val="18"/>
              </w:rPr>
              <w:t>BRI Kaseya program (19.49% savings)</w:t>
            </w:r>
          </w:p>
        </w:tc>
      </w:tr>
      <w:tr>
        <w:tc>
          <w:tcPr>
            <w:tcW w:type="dxa" w:w="1505"/>
            <w:shd w:fill="F2F6FC" w:val="clear"/>
          </w:tcPr>
          <w:p>
            <w:r>
              <w:rPr>
                <w:rFonts w:ascii="Arial" w:hAnsi="Arial"/>
                <w:sz w:val="18"/>
              </w:rPr>
              <w:t>Energy Efficiency</w:t>
            </w:r>
          </w:p>
        </w:tc>
        <w:tc>
          <w:tcPr>
            <w:tcW w:type="dxa" w:w="1505"/>
            <w:shd w:fill="F2F6FC" w:val="clear"/>
          </w:tcPr>
          <w:p>
            <w:r>
              <w:rPr>
                <w:rFonts w:ascii="Arial" w:hAnsi="Arial"/>
                <w:sz w:val="18"/>
              </w:rPr>
              <w:t>LED lighting retrofit</w:t>
            </w:r>
          </w:p>
        </w:tc>
        <w:tc>
          <w:tcPr>
            <w:tcW w:type="dxa" w:w="1505"/>
            <w:shd w:fill="F2F6FC" w:val="clear"/>
          </w:tcPr>
          <w:p>
            <w:r>
              <w:rPr>
                <w:rFonts w:ascii="Arial" w:hAnsi="Arial"/>
                <w:sz w:val="18"/>
              </w:rPr>
              <w:t>Scope 2</w:t>
            </w:r>
          </w:p>
        </w:tc>
        <w:tc>
          <w:tcPr>
            <w:tcW w:type="dxa" w:w="1505"/>
            <w:shd w:fill="F2F6FC" w:val="clear"/>
          </w:tcPr>
          <w:p>
            <w:r>
              <w:rPr>
                <w:rFonts w:ascii="Arial" w:hAnsi="Arial"/>
                <w:sz w:val="18"/>
              </w:rPr>
              <w:t>8-12% electricity reduction</w:t>
            </w:r>
          </w:p>
        </w:tc>
        <w:tc>
          <w:tcPr>
            <w:tcW w:type="dxa" w:w="1505"/>
            <w:shd w:fill="F2F6FC" w:val="clear"/>
          </w:tcPr>
          <w:p>
            <w:r>
              <w:rPr>
                <w:rFonts w:ascii="Arial" w:hAnsi="Arial"/>
                <w:sz w:val="18"/>
              </w:rPr>
              <w:t>Q1-Q2 2025</w:t>
            </w:r>
          </w:p>
        </w:tc>
        <w:tc>
          <w:tcPr>
            <w:tcW w:type="dxa" w:w="1505"/>
            <w:shd w:fill="F2F6FC" w:val="clear"/>
          </w:tcPr>
          <w:p>
            <w:r>
              <w:rPr>
                <w:rFonts w:ascii="Arial" w:hAnsi="Arial"/>
                <w:sz w:val="18"/>
              </w:rPr>
              <w:t>Industry standard</w:t>
            </w:r>
          </w:p>
        </w:tc>
      </w:tr>
      <w:tr>
        <w:tc>
          <w:tcPr>
            <w:tcW w:type="dxa" w:w="1505"/>
          </w:tcPr>
          <w:p>
            <w:r>
              <w:rPr>
                <w:rFonts w:ascii="Arial" w:hAnsi="Arial"/>
                <w:sz w:val="18"/>
              </w:rPr>
              <w:t>Renewable Energy</w:t>
            </w:r>
          </w:p>
        </w:tc>
        <w:tc>
          <w:tcPr>
            <w:tcW w:type="dxa" w:w="1505"/>
          </w:tcPr>
          <w:p>
            <w:r>
              <w:rPr>
                <w:rFonts w:ascii="Arial" w:hAnsi="Arial"/>
                <w:sz w:val="18"/>
              </w:rPr>
              <w:t>Solar panel + battery (top 10 facilities)</w:t>
            </w:r>
          </w:p>
        </w:tc>
        <w:tc>
          <w:tcPr>
            <w:tcW w:type="dxa" w:w="1505"/>
          </w:tcPr>
          <w:p>
            <w:r>
              <w:rPr>
                <w:rFonts w:ascii="Arial" w:hAnsi="Arial"/>
                <w:sz w:val="18"/>
              </w:rPr>
              <w:t>Scope 2</w:t>
            </w:r>
          </w:p>
        </w:tc>
        <w:tc>
          <w:tcPr>
            <w:tcW w:type="dxa" w:w="1505"/>
          </w:tcPr>
          <w:p>
            <w:r>
              <w:rPr>
                <w:rFonts w:ascii="Arial" w:hAnsi="Arial"/>
                <w:sz w:val="18"/>
              </w:rPr>
              <w:t>15-20% electricity reduction</w:t>
            </w:r>
          </w:p>
        </w:tc>
        <w:tc>
          <w:tcPr>
            <w:tcW w:type="dxa" w:w="1505"/>
          </w:tcPr>
          <w:p>
            <w:r>
              <w:rPr>
                <w:rFonts w:ascii="Arial" w:hAnsi="Arial"/>
                <w:sz w:val="18"/>
              </w:rPr>
              <w:t>Q3 2025 - Q2 2026</w:t>
            </w:r>
          </w:p>
        </w:tc>
        <w:tc>
          <w:tcPr>
            <w:tcW w:type="dxa" w:w="1505"/>
          </w:tcPr>
          <w:p>
            <w:r>
              <w:rPr>
                <w:rFonts w:ascii="Arial" w:hAnsi="Arial"/>
                <w:sz w:val="18"/>
              </w:rPr>
              <w:t>BRI Green Network</w:t>
            </w:r>
          </w:p>
        </w:tc>
      </w:tr>
      <w:tr>
        <w:tc>
          <w:tcPr>
            <w:tcW w:type="dxa" w:w="1505"/>
            <w:shd w:fill="F2F6FC" w:val="clear"/>
          </w:tcPr>
          <w:p>
            <w:r>
              <w:rPr>
                <w:rFonts w:ascii="Arial" w:hAnsi="Arial"/>
                <w:sz w:val="18"/>
              </w:rPr>
              <w:t>Renewable Energy</w:t>
            </w:r>
          </w:p>
        </w:tc>
        <w:tc>
          <w:tcPr>
            <w:tcW w:type="dxa" w:w="1505"/>
            <w:shd w:fill="F2F6FC" w:val="clear"/>
          </w:tcPr>
          <w:p>
            <w:r>
              <w:rPr>
                <w:rFonts w:ascii="Arial" w:hAnsi="Arial"/>
                <w:sz w:val="18"/>
              </w:rPr>
              <w:t>Power Purchase Agreement (PPA)</w:t>
            </w:r>
          </w:p>
        </w:tc>
        <w:tc>
          <w:tcPr>
            <w:tcW w:type="dxa" w:w="1505"/>
            <w:shd w:fill="F2F6FC" w:val="clear"/>
          </w:tcPr>
          <w:p>
            <w:r>
              <w:rPr>
                <w:rFonts w:ascii="Arial" w:hAnsi="Arial"/>
                <w:sz w:val="18"/>
              </w:rPr>
              <w:t>Scope 2</w:t>
            </w:r>
          </w:p>
        </w:tc>
        <w:tc>
          <w:tcPr>
            <w:tcW w:type="dxa" w:w="1505"/>
            <w:shd w:fill="F2F6FC" w:val="clear"/>
          </w:tcPr>
          <w:p>
            <w:r>
              <w:rPr>
                <w:rFonts w:ascii="Arial" w:hAnsi="Arial"/>
                <w:sz w:val="18"/>
              </w:rPr>
              <w:t>25% renewable by 2030</w:t>
            </w:r>
          </w:p>
        </w:tc>
        <w:tc>
          <w:tcPr>
            <w:tcW w:type="dxa" w:w="1505"/>
            <w:shd w:fill="F2F6FC" w:val="clear"/>
          </w:tcPr>
          <w:p>
            <w:r>
              <w:rPr>
                <w:rFonts w:ascii="Arial" w:hAnsi="Arial"/>
                <w:sz w:val="18"/>
              </w:rPr>
              <w:t>Q1 2026 - Q4 2030</w:t>
            </w:r>
          </w:p>
        </w:tc>
        <w:tc>
          <w:tcPr>
            <w:tcW w:type="dxa" w:w="1505"/>
            <w:shd w:fill="F2F6FC" w:val="clear"/>
          </w:tcPr>
          <w:p>
            <w:r>
              <w:rPr>
                <w:rFonts w:ascii="Arial" w:hAnsi="Arial"/>
                <w:sz w:val="18"/>
              </w:rPr>
              <w:t>DBS RE100 (62% achieved)</w:t>
            </w:r>
          </w:p>
        </w:tc>
      </w:tr>
      <w:tr>
        <w:tc>
          <w:tcPr>
            <w:tcW w:type="dxa" w:w="1505"/>
          </w:tcPr>
          <w:p>
            <w:r>
              <w:rPr>
                <w:rFonts w:ascii="Arial" w:hAnsi="Arial"/>
                <w:sz w:val="18"/>
              </w:rPr>
              <w:t>Fuel Switching</w:t>
            </w:r>
          </w:p>
        </w:tc>
        <w:tc>
          <w:tcPr>
            <w:tcW w:type="dxa" w:w="1505"/>
          </w:tcPr>
          <w:p>
            <w:r>
              <w:rPr>
                <w:rFonts w:ascii="Arial" w:hAnsi="Arial"/>
                <w:sz w:val="18"/>
              </w:rPr>
              <w:t>Biodiesel B35+ for generators</w:t>
            </w:r>
          </w:p>
        </w:tc>
        <w:tc>
          <w:tcPr>
            <w:tcW w:type="dxa" w:w="1505"/>
          </w:tcPr>
          <w:p>
            <w:r>
              <w:rPr>
                <w:rFonts w:ascii="Arial" w:hAnsi="Arial"/>
                <w:sz w:val="18"/>
              </w:rPr>
              <w:t>Scope 1</w:t>
            </w:r>
          </w:p>
        </w:tc>
        <w:tc>
          <w:tcPr>
            <w:tcW w:type="dxa" w:w="1505"/>
          </w:tcPr>
          <w:p>
            <w:r>
              <w:rPr>
                <w:rFonts w:ascii="Arial" w:hAnsi="Arial"/>
                <w:sz w:val="18"/>
              </w:rPr>
              <w:t>20-30% diesel emission reduction</w:t>
            </w:r>
          </w:p>
        </w:tc>
        <w:tc>
          <w:tcPr>
            <w:tcW w:type="dxa" w:w="1505"/>
          </w:tcPr>
          <w:p>
            <w:r>
              <w:rPr>
                <w:rFonts w:ascii="Arial" w:hAnsi="Arial"/>
                <w:sz w:val="18"/>
              </w:rPr>
              <w:t>Q2 2025</w:t>
            </w:r>
          </w:p>
        </w:tc>
        <w:tc>
          <w:tcPr>
            <w:tcW w:type="dxa" w:w="1505"/>
          </w:tcPr>
          <w:p>
            <w:r>
              <w:rPr>
                <w:rFonts w:ascii="Arial" w:hAnsi="Arial"/>
                <w:sz w:val="18"/>
              </w:rPr>
              <w:t>National biodiesel program</w:t>
            </w:r>
          </w:p>
        </w:tc>
      </w:tr>
      <w:tr>
        <w:tc>
          <w:tcPr>
            <w:tcW w:type="dxa" w:w="1505"/>
            <w:shd w:fill="F2F6FC" w:val="clear"/>
          </w:tcPr>
          <w:p>
            <w:r>
              <w:rPr>
                <w:rFonts w:ascii="Arial" w:hAnsi="Arial"/>
                <w:sz w:val="18"/>
              </w:rPr>
              <w:t>Fleet Electrification</w:t>
            </w:r>
          </w:p>
        </w:tc>
        <w:tc>
          <w:tcPr>
            <w:tcW w:type="dxa" w:w="1505"/>
            <w:shd w:fill="F2F6FC" w:val="clear"/>
          </w:tcPr>
          <w:p>
            <w:r>
              <w:rPr>
                <w:rFonts w:ascii="Arial" w:hAnsi="Arial"/>
                <w:sz w:val="18"/>
              </w:rPr>
              <w:t>EV conversion (urban operations)</w:t>
            </w:r>
          </w:p>
        </w:tc>
        <w:tc>
          <w:tcPr>
            <w:tcW w:type="dxa" w:w="1505"/>
            <w:shd w:fill="F2F6FC" w:val="clear"/>
          </w:tcPr>
          <w:p>
            <w:r>
              <w:rPr>
                <w:rFonts w:ascii="Arial" w:hAnsi="Arial"/>
                <w:sz w:val="18"/>
              </w:rPr>
              <w:t>Scope 1</w:t>
            </w:r>
          </w:p>
        </w:tc>
        <w:tc>
          <w:tcPr>
            <w:tcW w:type="dxa" w:w="1505"/>
            <w:shd w:fill="F2F6FC" w:val="clear"/>
          </w:tcPr>
          <w:p>
            <w:r>
              <w:rPr>
                <w:rFonts w:ascii="Arial" w:hAnsi="Arial"/>
                <w:sz w:val="18"/>
              </w:rPr>
              <w:t>40-50% transport emission reduction</w:t>
            </w:r>
          </w:p>
        </w:tc>
        <w:tc>
          <w:tcPr>
            <w:tcW w:type="dxa" w:w="1505"/>
            <w:shd w:fill="F2F6FC" w:val="clear"/>
          </w:tcPr>
          <w:p>
            <w:r>
              <w:rPr>
                <w:rFonts w:ascii="Arial" w:hAnsi="Arial"/>
                <w:sz w:val="18"/>
              </w:rPr>
              <w:t>Q4 2025 - Q4 2027</w:t>
            </w:r>
          </w:p>
        </w:tc>
        <w:tc>
          <w:tcPr>
            <w:tcW w:type="dxa" w:w="1505"/>
            <w:shd w:fill="F2F6FC" w:val="clear"/>
          </w:tcPr>
          <w:p>
            <w:r>
              <w:rPr>
                <w:rFonts w:ascii="Arial" w:hAnsi="Arial"/>
                <w:sz w:val="18"/>
              </w:rPr>
              <w:t>BRI (118 EV cars + 150 bikes)</w:t>
            </w:r>
          </w:p>
        </w:tc>
      </w:tr>
      <w:tr>
        <w:tc>
          <w:tcPr>
            <w:tcW w:type="dxa" w:w="1505"/>
          </w:tcPr>
          <w:p>
            <w:r>
              <w:rPr>
                <w:rFonts w:ascii="Arial" w:hAnsi="Arial"/>
                <w:sz w:val="18"/>
              </w:rPr>
              <w:t>Green Building</w:t>
            </w:r>
          </w:p>
        </w:tc>
        <w:tc>
          <w:tcPr>
            <w:tcW w:type="dxa" w:w="1505"/>
          </w:tcPr>
          <w:p>
            <w:r>
              <w:rPr>
                <w:rFonts w:ascii="Arial" w:hAnsi="Arial"/>
                <w:sz w:val="18"/>
              </w:rPr>
              <w:t>LEED/GBCI certification (new construction)</w:t>
            </w:r>
          </w:p>
        </w:tc>
        <w:tc>
          <w:tcPr>
            <w:tcW w:type="dxa" w:w="1505"/>
          </w:tcPr>
          <w:p>
            <w:r>
              <w:rPr>
                <w:rFonts w:ascii="Arial" w:hAnsi="Arial"/>
                <w:sz w:val="18"/>
              </w:rPr>
              <w:t>Scope 1 &amp; 2</w:t>
            </w:r>
          </w:p>
        </w:tc>
        <w:tc>
          <w:tcPr>
            <w:tcW w:type="dxa" w:w="1505"/>
          </w:tcPr>
          <w:p>
            <w:r>
              <w:rPr>
                <w:rFonts w:ascii="Arial" w:hAnsi="Arial"/>
                <w:sz w:val="18"/>
              </w:rPr>
              <w:t>15-25% building emission reduction</w:t>
            </w:r>
          </w:p>
        </w:tc>
        <w:tc>
          <w:tcPr>
            <w:tcW w:type="dxa" w:w="1505"/>
          </w:tcPr>
          <w:p>
            <w:r>
              <w:rPr>
                <w:rFonts w:ascii="Arial" w:hAnsi="Arial"/>
                <w:sz w:val="18"/>
              </w:rPr>
              <w:t>Ongoing (2026+)</w:t>
            </w:r>
          </w:p>
        </w:tc>
        <w:tc>
          <w:tcPr>
            <w:tcW w:type="dxa" w:w="1505"/>
          </w:tcPr>
          <w:p>
            <w:r>
              <w:rPr>
                <w:rFonts w:ascii="Arial" w:hAnsi="Arial"/>
                <w:sz w:val="18"/>
              </w:rPr>
              <w:t>BRI Gold GBCI certification</w:t>
            </w:r>
          </w:p>
        </w:tc>
      </w:tr>
    </w:tbl>
    <w:p>
      <w:r>
        <w:rPr>
          <w:rFonts w:ascii="Arial" w:hAnsi="Arial"/>
          <w:i/>
          <w:sz w:val="16"/>
        </w:rPr>
        <w:t>Source: Reduction potential estimates based on peer implementation outcomes and industry benchmarks. Timeline assumes Board approval Q1 2025.</w:t>
      </w:r>
    </w:p>
    <w:p/>
    <w:p>
      <w:r>
        <w:rPr>
          <w:rFonts w:ascii="Arial" w:hAnsi="Arial"/>
          <w:b/>
          <w:sz w:val="20"/>
        </w:rPr>
        <w:t>Table 66: Table 3.2.5: Decarbonization Levers — Financed Emissions (Scope 3 Category 15)</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Lever Category</w:t>
            </w:r>
          </w:p>
        </w:tc>
        <w:tc>
          <w:tcPr>
            <w:tcW w:type="dxa" w:w="1505"/>
            <w:shd w:fill="1B3A6B" w:val="clear"/>
          </w:tcPr>
          <w:p>
            <w:r>
              <w:rPr>
                <w:rFonts w:ascii="Arial" w:hAnsi="Arial"/>
                <w:b/>
                <w:color w:val="FFFFFF"/>
                <w:sz w:val="18"/>
              </w:rPr>
              <w:t>Specific Initiative</w:t>
            </w:r>
          </w:p>
        </w:tc>
        <w:tc>
          <w:tcPr>
            <w:tcW w:type="dxa" w:w="1505"/>
            <w:shd w:fill="1B3A6B" w:val="clear"/>
          </w:tcPr>
          <w:p>
            <w:r>
              <w:rPr>
                <w:rFonts w:ascii="Arial" w:hAnsi="Arial"/>
                <w:b/>
                <w:color w:val="FFFFFF"/>
                <w:sz w:val="18"/>
              </w:rPr>
              <w:t>Target Sectors</w:t>
            </w:r>
          </w:p>
        </w:tc>
        <w:tc>
          <w:tcPr>
            <w:tcW w:type="dxa" w:w="1505"/>
            <w:shd w:fill="1B3A6B" w:val="clear"/>
          </w:tcPr>
          <w:p>
            <w:r>
              <w:rPr>
                <w:rFonts w:ascii="Arial" w:hAnsi="Arial"/>
                <w:b/>
                <w:color w:val="FFFFFF"/>
                <w:sz w:val="18"/>
              </w:rPr>
              <w:t>Expected Impact</w:t>
            </w:r>
          </w:p>
        </w:tc>
        <w:tc>
          <w:tcPr>
            <w:tcW w:type="dxa" w:w="1505"/>
            <w:shd w:fill="1B3A6B" w:val="clear"/>
          </w:tcPr>
          <w:p>
            <w:r>
              <w:rPr>
                <w:rFonts w:ascii="Arial" w:hAnsi="Arial"/>
                <w:b/>
                <w:color w:val="FFFFFF"/>
                <w:sz w:val="18"/>
              </w:rPr>
              <w:t>Implementation Timeline</w:t>
            </w:r>
          </w:p>
        </w:tc>
        <w:tc>
          <w:tcPr>
            <w:tcW w:type="dxa" w:w="1505"/>
            <w:shd w:fill="1B3A6B" w:val="clear"/>
          </w:tcPr>
          <w:p>
            <w:r>
              <w:rPr>
                <w:rFonts w:ascii="Arial" w:hAnsi="Arial"/>
                <w:b/>
                <w:color w:val="FFFFFF"/>
                <w:sz w:val="18"/>
              </w:rPr>
              <w:t>Peer Reference</w:t>
            </w:r>
          </w:p>
        </w:tc>
      </w:tr>
      <w:tr>
        <w:tc>
          <w:tcPr>
            <w:tcW w:type="dxa" w:w="1505"/>
          </w:tcPr>
          <w:p>
            <w:r>
              <w:rPr>
                <w:rFonts w:ascii="Arial" w:hAnsi="Arial"/>
                <w:sz w:val="18"/>
              </w:rPr>
              <w:t>Client Engagement</w:t>
            </w:r>
          </w:p>
        </w:tc>
        <w:tc>
          <w:tcPr>
            <w:tcW w:type="dxa" w:w="1505"/>
          </w:tcPr>
          <w:p>
            <w:r>
              <w:rPr>
                <w:rFonts w:ascii="Arial" w:hAnsi="Arial"/>
                <w:sz w:val="18"/>
              </w:rPr>
              <w:t>Top 20 emitter transition support program</w:t>
            </w:r>
          </w:p>
        </w:tc>
        <w:tc>
          <w:tcPr>
            <w:tcW w:type="dxa" w:w="1505"/>
          </w:tcPr>
          <w:p>
            <w:r>
              <w:rPr>
                <w:rFonts w:ascii="Arial" w:hAnsi="Arial"/>
                <w:sz w:val="18"/>
              </w:rPr>
              <w:t>Energy - Oil &amp; Gas; Manufacturing - Cement; Manufacturing - Steel</w:t>
            </w:r>
          </w:p>
        </w:tc>
        <w:tc>
          <w:tcPr>
            <w:tcW w:type="dxa" w:w="1505"/>
          </w:tcPr>
          <w:p>
            <w:r>
              <w:rPr>
                <w:rFonts w:ascii="Arial" w:hAnsi="Arial"/>
                <w:sz w:val="18"/>
              </w:rPr>
              <w:t>10-15% financed emission reduction by 2030</w:t>
            </w:r>
          </w:p>
        </w:tc>
        <w:tc>
          <w:tcPr>
            <w:tcW w:type="dxa" w:w="1505"/>
          </w:tcPr>
          <w:p>
            <w:r>
              <w:rPr>
                <w:rFonts w:ascii="Arial" w:hAnsi="Arial"/>
                <w:sz w:val="18"/>
              </w:rPr>
              <w:t>Q2 2025 - Ongoing</w:t>
            </w:r>
          </w:p>
        </w:tc>
        <w:tc>
          <w:tcPr>
            <w:tcW w:type="dxa" w:w="1505"/>
          </w:tcPr>
          <w:p>
            <w:r>
              <w:rPr>
                <w:rFonts w:ascii="Arial" w:hAnsi="Arial"/>
                <w:sz w:val="18"/>
              </w:rPr>
              <w:t>DBS client engagement framework</w:t>
            </w:r>
          </w:p>
        </w:tc>
      </w:tr>
      <w:tr>
        <w:tc>
          <w:tcPr>
            <w:tcW w:type="dxa" w:w="1505"/>
            <w:shd w:fill="F2F6FC" w:val="clear"/>
          </w:tcPr>
          <w:p>
            <w:r>
              <w:rPr>
                <w:rFonts w:ascii="Arial" w:hAnsi="Arial"/>
                <w:sz w:val="18"/>
              </w:rPr>
              <w:t>Sectoral Policy</w:t>
            </w:r>
          </w:p>
        </w:tc>
        <w:tc>
          <w:tcPr>
            <w:tcW w:type="dxa" w:w="1505"/>
            <w:shd w:fill="F2F6FC" w:val="clear"/>
          </w:tcPr>
          <w:p>
            <w:r>
              <w:rPr>
                <w:rFonts w:ascii="Arial" w:hAnsi="Arial"/>
                <w:sz w:val="18"/>
              </w:rPr>
              <w:t>Coal phase-out timeline (power gen &amp; mining)</w:t>
            </w:r>
          </w:p>
        </w:tc>
        <w:tc>
          <w:tcPr>
            <w:tcW w:type="dxa" w:w="1505"/>
            <w:shd w:fill="F2F6FC" w:val="clear"/>
          </w:tcPr>
          <w:p>
            <w:r>
              <w:rPr>
                <w:rFonts w:ascii="Arial" w:hAnsi="Arial"/>
                <w:sz w:val="18"/>
              </w:rPr>
              <w:t>Energy - Oil &amp; Gas</w:t>
            </w:r>
          </w:p>
        </w:tc>
        <w:tc>
          <w:tcPr>
            <w:tcW w:type="dxa" w:w="1505"/>
            <w:shd w:fill="F2F6FC" w:val="clear"/>
          </w:tcPr>
          <w:p>
            <w:r>
              <w:rPr>
                <w:rFonts w:ascii="Arial" w:hAnsi="Arial"/>
                <w:sz w:val="18"/>
              </w:rPr>
              <w:t>Reduce exposure by 50% by 2030</w:t>
            </w:r>
          </w:p>
        </w:tc>
        <w:tc>
          <w:tcPr>
            <w:tcW w:type="dxa" w:w="1505"/>
            <w:shd w:fill="F2F6FC" w:val="clear"/>
          </w:tcPr>
          <w:p>
            <w:r>
              <w:rPr>
                <w:rFonts w:ascii="Arial" w:hAnsi="Arial"/>
                <w:sz w:val="18"/>
              </w:rPr>
              <w:t>Q3 2025</w:t>
            </w:r>
          </w:p>
        </w:tc>
        <w:tc>
          <w:tcPr>
            <w:tcW w:type="dxa" w:w="1505"/>
            <w:shd w:fill="F2F6FC" w:val="clear"/>
          </w:tcPr>
          <w:p>
            <w:r>
              <w:rPr>
                <w:rFonts w:ascii="Arial" w:hAnsi="Arial"/>
                <w:sz w:val="18"/>
              </w:rPr>
              <w:t>BCA exclusion list</w:t>
            </w:r>
          </w:p>
        </w:tc>
      </w:tr>
      <w:tr>
        <w:tc>
          <w:tcPr>
            <w:tcW w:type="dxa" w:w="1505"/>
          </w:tcPr>
          <w:p>
            <w:r>
              <w:rPr>
                <w:rFonts w:ascii="Arial" w:hAnsi="Arial"/>
                <w:sz w:val="18"/>
              </w:rPr>
              <w:t>Sectoral Policy</w:t>
            </w:r>
          </w:p>
        </w:tc>
        <w:tc>
          <w:tcPr>
            <w:tcW w:type="dxa" w:w="1505"/>
          </w:tcPr>
          <w:p>
            <w:r>
              <w:rPr>
                <w:rFonts w:ascii="Arial" w:hAnsi="Arial"/>
                <w:sz w:val="18"/>
              </w:rPr>
              <w:t>Cement sector decarbonization pathway</w:t>
            </w:r>
          </w:p>
        </w:tc>
        <w:tc>
          <w:tcPr>
            <w:tcW w:type="dxa" w:w="1505"/>
          </w:tcPr>
          <w:p>
            <w:r>
              <w:rPr>
                <w:rFonts w:ascii="Arial" w:hAnsi="Arial"/>
                <w:sz w:val="18"/>
              </w:rPr>
              <w:t>Manufacturing - Cement</w:t>
            </w:r>
          </w:p>
        </w:tc>
        <w:tc>
          <w:tcPr>
            <w:tcW w:type="dxa" w:w="1505"/>
          </w:tcPr>
          <w:p>
            <w:r>
              <w:rPr>
                <w:rFonts w:ascii="Arial" w:hAnsi="Arial"/>
                <w:sz w:val="18"/>
              </w:rPr>
              <w:t>Align with IEA Net Zero pathway</w:t>
            </w:r>
          </w:p>
        </w:tc>
        <w:tc>
          <w:tcPr>
            <w:tcW w:type="dxa" w:w="1505"/>
          </w:tcPr>
          <w:p>
            <w:r>
              <w:rPr>
                <w:rFonts w:ascii="Arial" w:hAnsi="Arial"/>
                <w:sz w:val="18"/>
              </w:rPr>
              <w:t>Q4 2025</w:t>
            </w:r>
          </w:p>
        </w:tc>
        <w:tc>
          <w:tcPr>
            <w:tcW w:type="dxa" w:w="1505"/>
          </w:tcPr>
          <w:p>
            <w:r>
              <w:rPr>
                <w:rFonts w:ascii="Arial" w:hAnsi="Arial"/>
                <w:sz w:val="18"/>
              </w:rPr>
              <w:t>SBTi sectoral guidance</w:t>
            </w:r>
          </w:p>
        </w:tc>
      </w:tr>
      <w:tr>
        <w:tc>
          <w:tcPr>
            <w:tcW w:type="dxa" w:w="1505"/>
            <w:shd w:fill="F2F6FC" w:val="clear"/>
          </w:tcPr>
          <w:p>
            <w:r>
              <w:rPr>
                <w:rFonts w:ascii="Arial" w:hAnsi="Arial"/>
                <w:sz w:val="18"/>
              </w:rPr>
              <w:t>Green Finance</w:t>
            </w:r>
          </w:p>
        </w:tc>
        <w:tc>
          <w:tcPr>
            <w:tcW w:type="dxa" w:w="1505"/>
            <w:shd w:fill="F2F6FC" w:val="clear"/>
          </w:tcPr>
          <w:p>
            <w:r>
              <w:rPr>
                <w:rFonts w:ascii="Arial" w:hAnsi="Arial"/>
                <w:sz w:val="18"/>
              </w:rPr>
              <w:t>Green Loan Framework with preferential pricing</w:t>
            </w:r>
          </w:p>
        </w:tc>
        <w:tc>
          <w:tcPr>
            <w:tcW w:type="dxa" w:w="1505"/>
            <w:shd w:fill="F2F6FC" w:val="clear"/>
          </w:tcPr>
          <w:p>
            <w:r>
              <w:rPr>
                <w:rFonts w:ascii="Arial" w:hAnsi="Arial"/>
                <w:sz w:val="18"/>
              </w:rPr>
              <w:t>All sectors</w:t>
            </w:r>
          </w:p>
        </w:tc>
        <w:tc>
          <w:tcPr>
            <w:tcW w:type="dxa" w:w="1505"/>
            <w:shd w:fill="F2F6FC" w:val="clear"/>
          </w:tcPr>
          <w:p>
            <w:r>
              <w:rPr>
                <w:rFonts w:ascii="Arial" w:hAnsi="Arial"/>
                <w:sz w:val="18"/>
              </w:rPr>
              <w:t>Double green portfolio by 2027</w:t>
            </w:r>
          </w:p>
        </w:tc>
        <w:tc>
          <w:tcPr>
            <w:tcW w:type="dxa" w:w="1505"/>
            <w:shd w:fill="F2F6FC" w:val="clear"/>
          </w:tcPr>
          <w:p>
            <w:r>
              <w:rPr>
                <w:rFonts w:ascii="Arial" w:hAnsi="Arial"/>
                <w:sz w:val="18"/>
              </w:rPr>
              <w:t>Q1 2025</w:t>
            </w:r>
          </w:p>
        </w:tc>
        <w:tc>
          <w:tcPr>
            <w:tcW w:type="dxa" w:w="1505"/>
            <w:shd w:fill="F2F6FC" w:val="clear"/>
          </w:tcPr>
          <w:p>
            <w:r>
              <w:rPr>
                <w:rFonts w:ascii="Arial" w:hAnsi="Arial"/>
                <w:sz w:val="18"/>
              </w:rPr>
              <w:t>BCA SFAP exceeding target</w:t>
            </w:r>
          </w:p>
        </w:tc>
      </w:tr>
      <w:tr>
        <w:tc>
          <w:tcPr>
            <w:tcW w:type="dxa" w:w="1505"/>
          </w:tcPr>
          <w:p>
            <w:r>
              <w:rPr>
                <w:rFonts w:ascii="Arial" w:hAnsi="Arial"/>
                <w:sz w:val="18"/>
              </w:rPr>
              <w:t>ESRM Enhancement</w:t>
            </w:r>
          </w:p>
        </w:tc>
        <w:tc>
          <w:tcPr>
            <w:tcW w:type="dxa" w:w="1505"/>
          </w:tcPr>
          <w:p>
            <w:r>
              <w:rPr>
                <w:rFonts w:ascii="Arial" w:hAnsi="Arial"/>
                <w:sz w:val="18"/>
              </w:rPr>
              <w:t>Carbon intensity screening for new loans</w:t>
            </w:r>
          </w:p>
        </w:tc>
        <w:tc>
          <w:tcPr>
            <w:tcW w:type="dxa" w:w="1505"/>
          </w:tcPr>
          <w:p>
            <w:r>
              <w:rPr>
                <w:rFonts w:ascii="Arial" w:hAnsi="Arial"/>
                <w:sz w:val="18"/>
              </w:rPr>
              <w:t>All carbon-intensive sectors</w:t>
            </w:r>
          </w:p>
        </w:tc>
        <w:tc>
          <w:tcPr>
            <w:tcW w:type="dxa" w:w="1505"/>
          </w:tcPr>
          <w:p>
            <w:r>
              <w:rPr>
                <w:rFonts w:ascii="Arial" w:hAnsi="Arial"/>
                <w:sz w:val="18"/>
              </w:rPr>
              <w:t>Prevent portfolio carbon lock-in</w:t>
            </w:r>
          </w:p>
        </w:tc>
        <w:tc>
          <w:tcPr>
            <w:tcW w:type="dxa" w:w="1505"/>
          </w:tcPr>
          <w:p>
            <w:r>
              <w:rPr>
                <w:rFonts w:ascii="Arial" w:hAnsi="Arial"/>
                <w:sz w:val="18"/>
              </w:rPr>
              <w:t>Q2 2025</w:t>
            </w:r>
          </w:p>
        </w:tc>
        <w:tc>
          <w:tcPr>
            <w:tcW w:type="dxa" w:w="1505"/>
          </w:tcPr>
          <w:p>
            <w:r>
              <w:rPr>
                <w:rFonts w:ascii="Arial" w:hAnsi="Arial"/>
                <w:sz w:val="18"/>
              </w:rPr>
              <w:t>Industry best practice</w:t>
            </w:r>
          </w:p>
        </w:tc>
      </w:tr>
      <w:tr>
        <w:tc>
          <w:tcPr>
            <w:tcW w:type="dxa" w:w="1505"/>
            <w:shd w:fill="F2F6FC" w:val="clear"/>
          </w:tcPr>
          <w:p>
            <w:r>
              <w:rPr>
                <w:rFonts w:ascii="Arial" w:hAnsi="Arial"/>
                <w:sz w:val="18"/>
              </w:rPr>
              <w:t>Portfolio Alignment</w:t>
            </w:r>
          </w:p>
        </w:tc>
        <w:tc>
          <w:tcPr>
            <w:tcW w:type="dxa" w:w="1505"/>
            <w:shd w:fill="F2F6FC" w:val="clear"/>
          </w:tcPr>
          <w:p>
            <w:r>
              <w:rPr>
                <w:rFonts w:ascii="Arial" w:hAnsi="Arial"/>
                <w:sz w:val="18"/>
              </w:rPr>
              <w:t>NZBA membership + portfolio temp target</w:t>
            </w:r>
          </w:p>
        </w:tc>
        <w:tc>
          <w:tcPr>
            <w:tcW w:type="dxa" w:w="1505"/>
            <w:shd w:fill="F2F6FC" w:val="clear"/>
          </w:tcPr>
          <w:p>
            <w:r>
              <w:rPr>
                <w:rFonts w:ascii="Arial" w:hAnsi="Arial"/>
                <w:sz w:val="18"/>
              </w:rPr>
              <w:t>All sectors</w:t>
            </w:r>
          </w:p>
        </w:tc>
        <w:tc>
          <w:tcPr>
            <w:tcW w:type="dxa" w:w="1505"/>
            <w:shd w:fill="F2F6FC" w:val="clear"/>
          </w:tcPr>
          <w:p>
            <w:r>
              <w:rPr>
                <w:rFonts w:ascii="Arial" w:hAnsi="Arial"/>
                <w:sz w:val="18"/>
              </w:rPr>
              <w:t>Portfolio temp &lt;2°C by 2030</w:t>
            </w:r>
          </w:p>
        </w:tc>
        <w:tc>
          <w:tcPr>
            <w:tcW w:type="dxa" w:w="1505"/>
            <w:shd w:fill="F2F6FC" w:val="clear"/>
          </w:tcPr>
          <w:p>
            <w:r>
              <w:rPr>
                <w:rFonts w:ascii="Arial" w:hAnsi="Arial"/>
                <w:sz w:val="18"/>
              </w:rPr>
              <w:t>Q1 2026</w:t>
            </w:r>
          </w:p>
        </w:tc>
        <w:tc>
          <w:tcPr>
            <w:tcW w:type="dxa" w:w="1505"/>
            <w:shd w:fill="F2F6FC" w:val="clear"/>
          </w:tcPr>
          <w:p>
            <w:r>
              <w:rPr>
                <w:rFonts w:ascii="Arial" w:hAnsi="Arial"/>
                <w:sz w:val="18"/>
              </w:rPr>
              <w:t>BRI (1.75°C by 2040)</w:t>
            </w:r>
          </w:p>
        </w:tc>
      </w:tr>
    </w:tbl>
    <w:p>
      <w:r>
        <w:rPr>
          <w:rFonts w:ascii="Arial" w:hAnsi="Arial"/>
          <w:i/>
          <w:sz w:val="16"/>
        </w:rPr>
        <w:t>Source: Impact estimates based on sectoral contribution to financed emissions: Energy - Oil &amp; Gas (43.56%), Manufacturing - Cement (26.45%), Manufacturing - Steel (15.92%).</w:t>
      </w:r>
    </w:p>
    <w:p/>
    <w:p/>
    <w:p>
      <w:r>
        <w:drawing>
          <wp:inline xmlns:a="http://schemas.openxmlformats.org/drawingml/2006/main" xmlns:pic="http://schemas.openxmlformats.org/drawingml/2006/picture">
            <wp:extent cx="5029200" cy="3244467"/>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244467"/>
                    </a:xfrm>
                    <a:prstGeom prst="rect"/>
                  </pic:spPr>
                </pic:pic>
              </a:graphicData>
            </a:graphic>
          </wp:inline>
        </w:drawing>
      </w:r>
    </w:p>
    <w:p>
      <w:pPr>
        <w:jc w:val="center"/>
      </w:pPr>
      <w:r>
        <w:rPr>
          <w:i/>
          <w:color w:val="666666"/>
          <w:sz w:val="18"/>
        </w:rPr>
        <w:t>Figure 25: Climate Target Maturity: Institution vs. Peer Banks</w:t>
      </w:r>
    </w:p>
    <w:p>
      <w:pPr>
        <w:jc w:val="center"/>
      </w:pPr>
      <w:r>
        <w:rPr>
          <w:i/>
          <w:color w:val="757575"/>
          <w:sz w:val="18"/>
        </w:rPr>
        <w:t>Institution lags all peers on target-setting — BRI (SBTi committed) and DBS (Net Zero 2050) set benchmark; immediate SBTi commitment closes 2-3 year gap</w:t>
      </w:r>
    </w:p>
    <w:p/>
    <w:p>
      <w:r>
        <w:drawing>
          <wp:inline xmlns:a="http://schemas.openxmlformats.org/drawingml/2006/main" xmlns:pic="http://schemas.openxmlformats.org/drawingml/2006/picture">
            <wp:extent cx="5029200" cy="2826526"/>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2826526"/>
                    </a:xfrm>
                    <a:prstGeom prst="rect"/>
                  </pic:spPr>
                </pic:pic>
              </a:graphicData>
            </a:graphic>
          </wp:inline>
        </w:drawing>
      </w:r>
    </w:p>
    <w:p>
      <w:pPr>
        <w:jc w:val="center"/>
      </w:pPr>
      <w:r>
        <w:rPr>
          <w:i/>
          <w:color w:val="666666"/>
          <w:sz w:val="18"/>
        </w:rPr>
        <w:t>Figure 26: Estimated Emission Reduction Potential by Decarbonization Lever (2025-2030)</w:t>
      </w:r>
    </w:p>
    <w:p>
      <w:pPr>
        <w:jc w:val="center"/>
      </w:pPr>
      <w:r>
        <w:rPr>
          <w:i/>
          <w:color w:val="757575"/>
          <w:sz w:val="18"/>
        </w:rPr>
        <w:t>Solar + renewable PPA offer highest Scope 2 reduction potential (20,000+ tCO₂e); EV fleet and client engagement critical for Scope 1 and Scope 3</w:t>
      </w:r>
    </w:p>
    <w:p/>
    <w:p>
      <w:r>
        <w:drawing>
          <wp:inline xmlns:a="http://schemas.openxmlformats.org/drawingml/2006/main" xmlns:pic="http://schemas.openxmlformats.org/drawingml/2006/picture">
            <wp:extent cx="5029200" cy="3047530"/>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047530"/>
                    </a:xfrm>
                    <a:prstGeom prst="rect"/>
                  </pic:spPr>
                </pic:pic>
              </a:graphicData>
            </a:graphic>
          </wp:inline>
        </w:drawing>
      </w:r>
    </w:p>
    <w:p>
      <w:pPr>
        <w:jc w:val="center"/>
      </w:pPr>
      <w:r>
        <w:rPr>
          <w:i/>
          <w:color w:val="666666"/>
          <w:sz w:val="18"/>
        </w:rPr>
        <w:t>Figure 27: Recommended Target-Setting Roadmap: Three-Year Implementation Plan</w:t>
      </w:r>
    </w:p>
    <w:p>
      <w:pPr>
        <w:jc w:val="center"/>
      </w:pPr>
      <w:r>
        <w:rPr>
          <w:i/>
          <w:color w:val="757575"/>
          <w:sz w:val="18"/>
        </w:rPr>
        <w:t>Phased approach balances immediate action (SBTi commitment Q2 2025) with structural transformation (NZBA membership, transition plan by 2027)</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climate targets reflects a strategic gap rather than operational incapacity. The institution has achieved a 4.07% year-over-year reduction in emission intensity, demonstrating existing momentum that could be formalized into targets. However, three structural barriers prevent target adoption: (1) governance gap — no Board-level mandate for climate target-setting or transition planning; (2) data maturity gap — PCAF data quality score of 3.36 indicates reliance on proxy data, limiting confidence in baseline accuracy for financed emissions; (3) capability gap — internal expertise for Science-Based Target methodology, scenario analysis, and sectoral decarbonization pathway development is not yet established. These gaps are addressable through the recommended three-year roadmap, with peer institutions demonstrating successful implementation pathways.</w:t>
            </w:r>
          </w:p>
          <w:p>
            <w:r>
              <w:rPr>
                <w:b/>
                <w:sz w:val="20"/>
              </w:rPr>
              <w:t>Root Causes:</w:t>
            </w:r>
          </w:p>
          <w:p>
            <w:r>
              <w:rPr>
                <w:sz w:val="18"/>
              </w:rPr>
              <w:t>• No Board-level mandate or governance structure for climate target-setting (contrast: BRI has dedicated Board committee overseeing SBTi process)</w:t>
            </w:r>
          </w:p>
          <w:p>
            <w:r>
              <w:rPr>
                <w:sz w:val="18"/>
              </w:rPr>
              <w:t>• PCAF data quality score of 3.36 limits confidence in financed emissions baseline for target-setting (requires improvement to ≤3.0 for SBTi validation)</w:t>
            </w:r>
          </w:p>
          <w:p>
            <w:r>
              <w:rPr>
                <w:sz w:val="18"/>
              </w:rPr>
              <w:t>• Internal capability gap for Science-Based Target methodology and sectoral decarbonization pathway development (addressable through consulting partnerships)</w:t>
            </w:r>
          </w:p>
          <w:p>
            <w:r>
              <w:rPr>
                <w:sz w:val="18"/>
              </w:rPr>
              <w:t>• Absence of renewable energy procurement infrastructure (current renewable percentage not captured; requires PPA framework development)</w:t>
            </w:r>
          </w:p>
          <w:p>
            <w:r>
              <w:rPr>
                <w:b/>
                <w:sz w:val="20"/>
              </w:rPr>
              <w:t>Risk Implications:</w:t>
            </w:r>
          </w:p>
          <w:p>
            <w:r>
              <w:rPr>
                <w:sz w:val="18"/>
              </w:rPr>
              <w:t>• Regulatory compliance risk: OJK POJK 51/2017 and SEOJK 16/2021 increasingly require quantified climate targets; non-compliance may trigger supervisory action or reputational damage</w:t>
            </w:r>
          </w:p>
          <w:p>
            <w:r>
              <w:rPr>
                <w:sz w:val="18"/>
              </w:rPr>
              <w:t>• Investor risk: Institutions without Science-Based Targets face higher cost of capital as ESG-linked financing and green bonds require credible transition plans; peer gap widens as BRI and DBS advance commitments</w:t>
            </w:r>
          </w:p>
          <w:p>
            <w:r>
              <w:rPr>
                <w:sz w:val="18"/>
              </w:rPr>
              <w:t>• Reputational risk: Absence of targets in 2025 sustainability report will be flagged by rating agencies (MSCI, Sustainalytics, CDP) and may result in ESG rating downgrades</w:t>
            </w:r>
          </w:p>
          <w:p>
            <w:r>
              <w:rPr>
                <w:sz w:val="18"/>
              </w:rPr>
              <w:t>• Strategic risk: Without portfolio temperature alignment targets, the institution cannot demonstrate Paris Agreement alignment or participate in Net-Zero Banking Alliance, limiting access to international green finance partnerships</w:t>
            </w:r>
          </w:p>
        </w:tc>
      </w:tr>
    </w:tbl>
    <w:p/>
    <w:p/>
    <w:p>
      <w:r>
        <w:rPr>
          <w:b/>
          <w:color w:val="2E7D32"/>
          <w:sz w:val="24"/>
        </w:rPr>
        <w:t>⚡ Priority Actions</w:t>
      </w:r>
    </w:p>
    <w:p>
      <w:r>
        <w:rPr>
          <w:b/>
          <w:sz w:val="22"/>
        </w:rPr>
        <w:t>🔴 1. Submit Science-Based Targets initiative (SBTi) commitment letter and designate 2024 as baseline year for all GHG scopes</w:t>
      </w:r>
      <w:r>
        <w:rPr>
          <w:sz w:val="22"/>
        </w:rPr>
        <w:t xml:space="preserve"> (Q2 2025)</w:t>
      </w:r>
    </w:p>
    <w:p>
      <w:pPr>
        <w:spacing w:after="160" w:line="276" w:lineRule="auto"/>
      </w:pPr>
      <w:r>
        <w:t xml:space="preserve">    → Expected: Establishes public climate commitment, unlocks SBTi technical support, aligns with BRI (first Indonesian FI) and DBS peer standards</w:t>
      </w:r>
    </w:p>
    <w:p>
      <w:pPr>
        <w:spacing w:after="160" w:line="276" w:lineRule="auto"/>
      </w:pPr>
      <w:r>
        <w:rPr>
          <w:rFonts w:ascii="Arial" w:hAnsi="Arial"/>
          <w:i/>
          <w:color w:val="646464"/>
          <w:sz w:val="18"/>
        </w:rPr>
        <w:t xml:space="preserve">    → Ref: Bank Rakyat Indonesia — First Indonesian financial institution to submit SBTi commitment letter, portfolio temperature target 1.75°C by 2040 with annual reduction trajectory of 0.0783°C/year</w:t>
      </w:r>
    </w:p>
    <w:p>
      <w:r>
        <w:rPr>
          <w:b/>
          <w:sz w:val="22"/>
        </w:rPr>
        <w:t>🔴 2. Install solar panel + battery storage systems at top 10 energy-consuming facilities (FAC-0197, FAC-0198, FAC-0200, FAC-0196, FAC-0199, FAC-0193, FAC-0215, FAC-0191, FAC-0181, FAC-0208) representing 1,069.88 tCO₂e or 31.4% of Scope 1 emissions</w:t>
      </w:r>
      <w:r>
        <w:rPr>
          <w:sz w:val="22"/>
        </w:rPr>
        <w:t xml:space="preserve"> (Q3 2025 - Q2 2026)</w:t>
      </w:r>
    </w:p>
    <w:p>
      <w:pPr>
        <w:spacing w:after="160" w:line="276" w:lineRule="auto"/>
      </w:pPr>
      <w:r>
        <w:t xml:space="preserve">    → Expected: 7,200-9,600 tCO₂e annual Scope 2 reduction (15-20% of total Scope 2), 8-12 year payback period through energy cost savings</w:t>
      </w:r>
    </w:p>
    <w:p>
      <w:pPr>
        <w:spacing w:after="160" w:line="276" w:lineRule="auto"/>
      </w:pPr>
      <w:r>
        <w:rPr>
          <w:rFonts w:ascii="Arial" w:hAnsi="Arial"/>
          <w:i/>
          <w:color w:val="646464"/>
          <w:sz w:val="18"/>
        </w:rPr>
        <w:t xml:space="preserve">    → Ref: Bank Rakyat Indonesia — Green Network program with solar installations achieved 19.49% electricity savings at BRILiaN Tower (Gold GBCI certification)</w:t>
      </w:r>
    </w:p>
    <w:p>
      <w:r>
        <w:rPr>
          <w:b/>
          <w:sz w:val="22"/>
        </w:rPr>
        <w:t>🔴 3. Develop sectoral decarbonization pathways for Energy - Oil &amp; Gas (43.56% of financed emissions), Manufacturing - Cement (26.45%), and Manufacturing - Steel (15.92%) with client engagement framework targeting top 20 emitters</w:t>
      </w:r>
      <w:r>
        <w:rPr>
          <w:sz w:val="22"/>
        </w:rPr>
        <w:t xml:space="preserve"> (Q4 2025 - Q2 2026)</w:t>
      </w:r>
    </w:p>
    <w:p>
      <w:pPr>
        <w:spacing w:after="160" w:line="276" w:lineRule="auto"/>
      </w:pPr>
      <w:r>
        <w:t xml:space="preserve">    → Expected: 10-15% financed emission reduction by 2030 through client transition support, enhanced ESRM screening, and portfolio reallocation</w:t>
      </w:r>
    </w:p>
    <w:p>
      <w:pPr>
        <w:spacing w:after="160" w:line="276" w:lineRule="auto"/>
      </w:pPr>
      <w:r>
        <w:rPr>
          <w:rFonts w:ascii="Arial" w:hAnsi="Arial"/>
          <w:i/>
          <w:color w:val="646464"/>
          <w:sz w:val="18"/>
        </w:rPr>
        <w:t xml:space="preserve">    → Ref: Bank Central Asia — Sectoral credit policies covering coal, palm oil, cement, and oil &amp; gas with exclusion criteria; exceeding Sustainable Finance Action Plan targets</w:t>
      </w:r>
    </w:p>
    <w:p>
      <w:r>
        <w:rPr>
          <w:b/>
          <w:sz w:val="22"/>
        </w:rPr>
        <w:t>🔴 4. Establish internal carbon price of $10-15/tCO₂ and integrate into capital budgeting and project evaluation processes</w:t>
      </w:r>
      <w:r>
        <w:rPr>
          <w:sz w:val="22"/>
        </w:rPr>
        <w:t xml:space="preserve"> (Q1 2026)</w:t>
      </w:r>
    </w:p>
    <w:p>
      <w:pPr>
        <w:spacing w:after="160" w:line="276" w:lineRule="auto"/>
      </w:pPr>
      <w:r>
        <w:t xml:space="preserve">    → Expected: Accelerates decarbonization investment decisions, creates financial incentive for emission reduction initiatives, aligns with regional carbon pricing trends</w:t>
      </w:r>
    </w:p>
    <w:p>
      <w:pPr>
        <w:spacing w:after="160" w:line="276" w:lineRule="auto"/>
      </w:pPr>
      <w:r>
        <w:rPr>
          <w:rFonts w:ascii="Arial" w:hAnsi="Arial"/>
          <w:i/>
          <w:color w:val="646464"/>
          <w:sz w:val="18"/>
        </w:rPr>
        <w:t xml:space="preserve">    → Ref: DBS Group — Internal carbon price of $15/tCO₂ applied to capital allocation decisions, contributing to 12% YoY emission reduction</w:t>
      </w:r>
    </w:p>
    <w:p/>
    <w:p>
      <w:r>
        <w:rPr>
          <w:i/>
          <w:color w:val="3D6094"/>
          <w:sz w:val="18"/>
        </w:rPr>
        <w:t>Framework references: IFRS S2 Para 33 — Climate-related targets (quantitative and qualitative); IFRS S2 Para 34 — Metrics and base period for targets; IFRS S2 Para 35 — Approach to setting targets; IFRS S2 Para 36 — Performance against targets; GRI 305-5 — Reduction of GHG emissions; ESRS E1-4 DR E1-4 — Targets related to climate change mitigation and adaptation; OJK POJK 51/2017 — Penerapan Keuangan Berkelanjutan; OJK SEOJK 16/2021 — Penerapan Manajemen Risiko; Science-Based Targets initiative (SBTi) — Financial Sector Science-Based Targets Guidance; PCAF Standard (2022) — Financed Emissions Methodology; TCFD Recommendations — Strategy and Metrics &amp; Targets pillars</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PCAF data quality score of 3.36 indicates reliance on sector-average and proxy data for financed emissions calculations. Score improvement to ≤3.0 is recommended to support credible target-setting.</w:t>
      </w:r>
    </w:p>
    <w:p>
      <w:pPr>
        <w:spacing w:after="160" w:line="276" w:lineRule="auto"/>
      </w:pPr>
      <w:r>
        <w:rPr>
          <w:rFonts w:ascii="Arial" w:hAnsi="Arial"/>
          <w:i/>
          <w:color w:val="646464"/>
          <w:sz w:val="18"/>
        </w:rPr>
        <w:t>Peer benchmark data sourced from publicly available sustainability reports: BRI (2023), BCA (2024), DBS Group (2023), Bank Mandiri (2023).</w:t>
      </w:r>
    </w:p>
    <w:p>
      <w:pPr>
        <w:spacing w:after="160" w:line="276" w:lineRule="auto"/>
      </w:pPr>
      <w:r>
        <w:rPr>
          <w:rFonts w:ascii="Arial" w:hAnsi="Arial"/>
          <w:i/>
          <w:color w:val="646464"/>
          <w:sz w:val="18"/>
        </w:rPr>
        <w:t>Investment estimates for target-setting roadmap exclude capital expenditure for physical decarbonization initiatives (solar installations, EV fleet, building retrofits), which require separate capital planning.</w:t>
      </w:r>
    </w:p>
    <w:p>
      <w:pPr>
        <w:spacing w:after="160" w:line="276" w:lineRule="auto"/>
      </w:pPr>
      <w:r>
        <w:rPr>
          <w:rFonts w:ascii="Arial" w:hAnsi="Arial"/>
          <w:i/>
          <w:color w:val="646464"/>
          <w:sz w:val="18"/>
        </w:rPr>
        <w:t>Recommended 30% Scope 1+2 reduction target by 2030 aligns with Science-Based Targets initiative well-below 2°C pathway for financial services sector.</w:t>
      </w:r>
    </w:p>
    <w:p>
      <w:pPr>
        <w:spacing w:after="160" w:line="276" w:lineRule="auto"/>
      </w:pPr>
      <w:r>
        <w:rPr>
          <w:rFonts w:ascii="Arial" w:hAnsi="Arial"/>
          <w:i/>
          <w:color w:val="646464"/>
          <w:sz w:val="18"/>
        </w:rPr>
        <w:t>Internal carbon price recommendation of $10-15/tCO₂ based on DBS implementation ($15/tCO₂) and regional carbon pricing trends.</w:t>
      </w:r>
    </w:p>
    <w:p>
      <w:r>
        <w:br w:type="page"/>
      </w:r>
    </w:p>
    <w:p>
      <w:pPr>
        <w:pStyle w:val="Heading1"/>
        <w:keepNext/>
        <w:spacing w:before="480" w:after="240"/>
      </w:pPr>
      <w:r>
        <w:rPr>
          <w:rFonts w:ascii="Arial" w:hAnsi="Arial"/>
          <w:b/>
          <w:color w:val="1B3A6B"/>
          <w:sz w:val="36"/>
        </w:rPr>
        <w:t>Appendix A: Methodology &amp; Calculation Approach</w:t>
      </w:r>
    </w:p>
    <w:p>
      <w:pPr>
        <w:spacing w:after="160" w:line="276" w:lineRule="auto"/>
      </w:pPr>
      <w:r>
        <w:rPr>
          <w:rFonts w:ascii="Arial" w:hAnsi="Arial"/>
          <w:b/>
          <w:sz w:val="22"/>
        </w:rPr>
        <w:t>A.1 Reporting Boundary &amp; Consolidation</w:t>
      </w:r>
    </w:p>
    <w:p>
      <w:r>
        <w:rPr>
          <w:rFonts w:ascii="Arial" w:hAnsi="Arial"/>
          <w:b/>
          <w:sz w:val="20"/>
        </w:rPr>
        <w:t>Table 67: Reporting Parameters</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Parameter</w:t>
            </w:r>
          </w:p>
        </w:tc>
        <w:tc>
          <w:tcPr>
            <w:tcW w:type="dxa" w:w="4514"/>
            <w:shd w:fill="1B3A6B" w:val="clear"/>
          </w:tcPr>
          <w:p>
            <w:r>
              <w:rPr>
                <w:rFonts w:ascii="Arial" w:hAnsi="Arial"/>
                <w:b/>
                <w:color w:val="FFFFFF"/>
                <w:sz w:val="18"/>
              </w:rPr>
              <w:t>Value</w:t>
            </w:r>
          </w:p>
        </w:tc>
      </w:tr>
      <w:tr>
        <w:tc>
          <w:tcPr>
            <w:tcW w:type="dxa" w:w="4514"/>
          </w:tcPr>
          <w:p>
            <w:r>
              <w:rPr>
                <w:rFonts w:ascii="Arial" w:hAnsi="Arial"/>
                <w:sz w:val="18"/>
              </w:rPr>
              <w:t>Consolidation Approach</w:t>
            </w:r>
          </w:p>
        </w:tc>
        <w:tc>
          <w:tcPr>
            <w:tcW w:type="dxa" w:w="4514"/>
          </w:tcPr>
          <w:p>
            <w:r>
              <w:rPr>
                <w:rFonts w:ascii="Arial" w:hAnsi="Arial"/>
                <w:sz w:val="18"/>
              </w:rPr>
              <w:t>Operational Control (per GHG Protocol)</w:t>
            </w:r>
          </w:p>
        </w:tc>
      </w:tr>
      <w:tr>
        <w:tc>
          <w:tcPr>
            <w:tcW w:type="dxa" w:w="4514"/>
            <w:shd w:fill="F2F6FC" w:val="clear"/>
          </w:tcPr>
          <w:p>
            <w:r>
              <w:rPr>
                <w:rFonts w:ascii="Arial" w:hAnsi="Arial"/>
                <w:sz w:val="18"/>
              </w:rPr>
              <w:t>Organizational Boundary</w:t>
            </w:r>
          </w:p>
        </w:tc>
        <w:tc>
          <w:tcPr>
            <w:tcW w:type="dxa" w:w="4514"/>
            <w:shd w:fill="F2F6FC" w:val="clear"/>
          </w:tcPr>
          <w:p>
            <w:r>
              <w:rPr>
                <w:rFonts w:ascii="Arial" w:hAnsi="Arial"/>
                <w:sz w:val="18"/>
              </w:rPr>
              <w:t>All facilities under operational control</w:t>
            </w:r>
          </w:p>
        </w:tc>
      </w:tr>
      <w:tr>
        <w:tc>
          <w:tcPr>
            <w:tcW w:type="dxa" w:w="4514"/>
          </w:tcPr>
          <w:p>
            <w:r>
              <w:rPr>
                <w:rFonts w:ascii="Arial" w:hAnsi="Arial"/>
                <w:sz w:val="18"/>
              </w:rPr>
              <w:t>Reporting Period</w:t>
            </w:r>
          </w:p>
        </w:tc>
        <w:tc>
          <w:tcPr>
            <w:tcW w:type="dxa" w:w="4514"/>
          </w:tcPr>
          <w:p>
            <w:r>
              <w:rPr>
                <w:rFonts w:ascii="Arial" w:hAnsi="Arial"/>
                <w:sz w:val="18"/>
              </w:rPr>
              <w:t>01 January – 31 December (annual)</w:t>
            </w:r>
          </w:p>
        </w:tc>
      </w:tr>
      <w:tr>
        <w:tc>
          <w:tcPr>
            <w:tcW w:type="dxa" w:w="4514"/>
            <w:shd w:fill="F2F6FC" w:val="clear"/>
          </w:tcPr>
          <w:p>
            <w:r>
              <w:rPr>
                <w:rFonts w:ascii="Arial" w:hAnsi="Arial"/>
                <w:sz w:val="18"/>
              </w:rPr>
              <w:t>Base Year</w:t>
            </w:r>
          </w:p>
        </w:tc>
        <w:tc>
          <w:tcPr>
            <w:tcW w:type="dxa" w:w="4514"/>
            <w:shd w:fill="F2F6FC" w:val="clear"/>
          </w:tcPr>
          <w:p>
            <w:r>
              <w:rPr>
                <w:rFonts w:ascii="Arial" w:hAnsi="Arial"/>
                <w:sz w:val="18"/>
              </w:rPr>
              <w:t>2023 (first year of comprehensive GHG inventory)</w:t>
            </w:r>
          </w:p>
        </w:tc>
      </w:tr>
      <w:tr>
        <w:tc>
          <w:tcPr>
            <w:tcW w:type="dxa" w:w="4514"/>
          </w:tcPr>
          <w:p>
            <w:r>
              <w:rPr>
                <w:rFonts w:ascii="Arial" w:hAnsi="Arial"/>
                <w:sz w:val="18"/>
              </w:rPr>
              <w:t>Recalculation Policy</w:t>
            </w:r>
          </w:p>
        </w:tc>
        <w:tc>
          <w:tcPr>
            <w:tcW w:type="dxa" w:w="4514"/>
          </w:tcPr>
          <w:p>
            <w:r>
              <w:rPr>
                <w:rFonts w:ascii="Arial" w:hAnsi="Arial"/>
                <w:sz w:val="18"/>
              </w:rPr>
              <w:t>Triggered if structural changes affect &gt;5% of total</w:t>
            </w:r>
          </w:p>
        </w:tc>
      </w:tr>
      <w:tr>
        <w:tc>
          <w:tcPr>
            <w:tcW w:type="dxa" w:w="4514"/>
            <w:shd w:fill="F2F6FC" w:val="clear"/>
          </w:tcPr>
          <w:p>
            <w:r>
              <w:rPr>
                <w:rFonts w:ascii="Arial" w:hAnsi="Arial"/>
                <w:sz w:val="18"/>
              </w:rPr>
              <w:t>Standards Applied</w:t>
            </w:r>
          </w:p>
        </w:tc>
        <w:tc>
          <w:tcPr>
            <w:tcW w:type="dxa" w:w="4514"/>
            <w:shd w:fill="F2F6FC" w:val="clear"/>
          </w:tcPr>
          <w:p>
            <w:r>
              <w:rPr>
                <w:rFonts w:ascii="Arial" w:hAnsi="Arial"/>
                <w:sz w:val="18"/>
              </w:rPr>
              <w:t>GHG Protocol Corporate Standard (2015 Revised)</w:t>
            </w:r>
          </w:p>
        </w:tc>
      </w:tr>
      <w:tr>
        <w:tc>
          <w:tcPr>
            <w:tcW w:type="dxa" w:w="4514"/>
          </w:tcPr>
          <w:p>
            <w:r>
              <w:rPr>
                <w:rFonts w:ascii="Arial" w:hAnsi="Arial"/>
                <w:sz w:val="18"/>
              </w:rPr>
              <w:t>Financed Emissions</w:t>
            </w:r>
          </w:p>
        </w:tc>
        <w:tc>
          <w:tcPr>
            <w:tcW w:type="dxa" w:w="4514"/>
          </w:tcPr>
          <w:p>
            <w:r>
              <w:rPr>
                <w:rFonts w:ascii="Arial" w:hAnsi="Arial"/>
                <w:sz w:val="18"/>
              </w:rPr>
              <w:t>PCAF Global Standard Part A (2022 Revision)</w:t>
            </w:r>
          </w:p>
        </w:tc>
      </w:tr>
    </w:tbl>
    <w:p/>
    <w:p>
      <w:pPr>
        <w:spacing w:after="160" w:line="276" w:lineRule="auto"/>
      </w:pPr>
      <w:r>
        <w:rPr>
          <w:rFonts w:ascii="Arial" w:hAnsi="Arial"/>
          <w:b/>
          <w:sz w:val="22"/>
        </w:rPr>
        <w:t>A.2 Scope 1 — Direct Emissions</w:t>
      </w:r>
    </w:p>
    <w:p>
      <w:pPr>
        <w:spacing w:after="160" w:line="276" w:lineRule="auto"/>
      </w:pPr>
      <w:r>
        <w:t>Scope 1 covers stationary combustion (diesel generators, natural gas boilers) and mobile combustion (company fleet vehicles). Calculation method: fuel-based approach (activity data × emission factor). Emission factors sourced from UK DEFRA 2024/2025 conversion factors. GWP values from IPCC Sixth Assessment Report (AR6, 100-year): CO₂ = 1.0, CH₄ = 29.8, N₂O = 273.0.</w:t>
      </w:r>
    </w:p>
    <w:p>
      <w:r>
        <w:rPr>
          <w:rFonts w:ascii="Arial" w:hAnsi="Arial"/>
          <w:b/>
          <w:sz w:val="20"/>
        </w:rPr>
        <w:t>Table 68: Scope 1 Emission Factors Applied</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CO₂ Factor</w:t>
            </w:r>
          </w:p>
        </w:tc>
        <w:tc>
          <w:tcPr>
            <w:tcW w:type="dxa" w:w="1806"/>
            <w:shd w:fill="1B3A6B" w:val="clear"/>
          </w:tcPr>
          <w:p>
            <w:r>
              <w:rPr>
                <w:rFonts w:ascii="Arial" w:hAnsi="Arial"/>
                <w:b/>
                <w:color w:val="FFFFFF"/>
                <w:sz w:val="18"/>
              </w:rPr>
              <w:t>CH₄ Factor</w:t>
            </w:r>
          </w:p>
        </w:tc>
        <w:tc>
          <w:tcPr>
            <w:tcW w:type="dxa" w:w="1806"/>
            <w:shd w:fill="1B3A6B" w:val="clear"/>
          </w:tcPr>
          <w:p>
            <w:r>
              <w:rPr>
                <w:rFonts w:ascii="Arial" w:hAnsi="Arial"/>
                <w:b/>
                <w:color w:val="FFFFFF"/>
                <w:sz w:val="18"/>
              </w:rPr>
              <w:t>N₂O Factor</w:t>
            </w:r>
          </w:p>
        </w:tc>
        <w:tc>
          <w:tcPr>
            <w:tcW w:type="dxa" w:w="1806"/>
            <w:shd w:fill="1B3A6B" w:val="clear"/>
          </w:tcPr>
          <w:p>
            <w:r>
              <w:rPr>
                <w:rFonts w:ascii="Arial" w:hAnsi="Arial"/>
                <w:b/>
                <w:color w:val="FFFFFF"/>
                <w:sz w:val="18"/>
              </w:rPr>
              <w:t>Source</w:t>
            </w:r>
          </w:p>
        </w:tc>
      </w:tr>
      <w:tr>
        <w:tc>
          <w:tcPr>
            <w:tcW w:type="dxa" w:w="1806"/>
          </w:tcPr>
          <w:p>
            <w:r>
              <w:rPr>
                <w:rFonts w:ascii="Arial" w:hAnsi="Arial"/>
                <w:sz w:val="18"/>
              </w:rPr>
              <w:t>Diesel</w:t>
            </w:r>
          </w:p>
        </w:tc>
        <w:tc>
          <w:tcPr>
            <w:tcW w:type="dxa" w:w="1806"/>
          </w:tcPr>
          <w:p>
            <w:r>
              <w:rPr>
                <w:rFonts w:ascii="Arial" w:hAnsi="Arial"/>
                <w:sz w:val="18"/>
              </w:rPr>
              <w:t>2.6710 kg/L</w:t>
            </w:r>
          </w:p>
        </w:tc>
        <w:tc>
          <w:tcPr>
            <w:tcW w:type="dxa" w:w="1806"/>
          </w:tcPr>
          <w:p>
            <w:r>
              <w:rPr>
                <w:rFonts w:ascii="Arial" w:hAnsi="Arial"/>
                <w:sz w:val="18"/>
              </w:rPr>
              <w:t>0.00029 kgCO₂e/L</w:t>
            </w:r>
          </w:p>
        </w:tc>
        <w:tc>
          <w:tcPr>
            <w:tcW w:type="dxa" w:w="1806"/>
          </w:tcPr>
          <w:p>
            <w:r>
              <w:rPr>
                <w:rFonts w:ascii="Arial" w:hAnsi="Arial"/>
                <w:sz w:val="18"/>
              </w:rPr>
              <w:t>0.03308 kgCO₂e/L</w:t>
            </w:r>
          </w:p>
        </w:tc>
        <w:tc>
          <w:tcPr>
            <w:tcW w:type="dxa" w:w="1806"/>
          </w:tcPr>
          <w:p>
            <w:r>
              <w:rPr>
                <w:rFonts w:ascii="Arial" w:hAnsi="Arial"/>
                <w:sz w:val="18"/>
              </w:rPr>
              <w:t>DEFRA 2025</w:t>
            </w:r>
          </w:p>
        </w:tc>
      </w:tr>
      <w:tr>
        <w:tc>
          <w:tcPr>
            <w:tcW w:type="dxa" w:w="1806"/>
            <w:shd w:fill="F2F6FC" w:val="clear"/>
          </w:tcPr>
          <w:p>
            <w:r>
              <w:rPr>
                <w:rFonts w:ascii="Arial" w:hAnsi="Arial"/>
                <w:sz w:val="18"/>
              </w:rPr>
              <w:t>Natural Gas</w:t>
            </w:r>
          </w:p>
        </w:tc>
        <w:tc>
          <w:tcPr>
            <w:tcW w:type="dxa" w:w="1806"/>
            <w:shd w:fill="F2F6FC" w:val="clear"/>
          </w:tcPr>
          <w:p>
            <w:r>
              <w:rPr>
                <w:rFonts w:ascii="Arial" w:hAnsi="Arial"/>
                <w:sz w:val="18"/>
              </w:rPr>
              <w:t>56.10 kg/GJ</w:t>
            </w:r>
          </w:p>
        </w:tc>
        <w:tc>
          <w:tcPr>
            <w:tcW w:type="dxa" w:w="1806"/>
            <w:shd w:fill="F2F6FC" w:val="clear"/>
          </w:tcPr>
          <w:p>
            <w:r>
              <w:rPr>
                <w:rFonts w:ascii="Arial" w:hAnsi="Arial"/>
                <w:sz w:val="18"/>
              </w:rPr>
              <w:t>0.0298 kgCO₂e/GJ</w:t>
            </w:r>
          </w:p>
        </w:tc>
        <w:tc>
          <w:tcPr>
            <w:tcW w:type="dxa" w:w="1806"/>
            <w:shd w:fill="F2F6FC" w:val="clear"/>
          </w:tcPr>
          <w:p>
            <w:r>
              <w:rPr>
                <w:rFonts w:ascii="Arial" w:hAnsi="Arial"/>
                <w:sz w:val="18"/>
              </w:rPr>
              <w:t>0.0273 kgCO₂e/GJ</w:t>
            </w:r>
          </w:p>
        </w:tc>
        <w:tc>
          <w:tcPr>
            <w:tcW w:type="dxa" w:w="1806"/>
            <w:shd w:fill="F2F6FC" w:val="clear"/>
          </w:tcPr>
          <w:p>
            <w:r>
              <w:rPr>
                <w:rFonts w:ascii="Arial" w:hAnsi="Arial"/>
                <w:sz w:val="18"/>
              </w:rPr>
              <w:t>IPCC AR6</w:t>
            </w:r>
          </w:p>
        </w:tc>
      </w:tr>
    </w:tbl>
    <w:p/>
    <w:p>
      <w:pPr>
        <w:spacing w:after="160" w:line="276" w:lineRule="auto"/>
      </w:pPr>
      <w:r>
        <w:rPr>
          <w:rFonts w:ascii="Arial" w:hAnsi="Arial"/>
          <w:b/>
          <w:sz w:val="22"/>
        </w:rPr>
        <w:t>A.3 Scope 2 — Indirect Emissions</w:t>
      </w:r>
    </w:p>
    <w:p>
      <w:pPr>
        <w:spacing w:after="160" w:line="276" w:lineRule="auto"/>
      </w:pPr>
      <w:r>
        <w:t>Scope 2 covers purchased electricity. Dual reporting: location-based (grid average emission factor) and market-based (contractual instruments). Grid emission factor: PLN National Grid Average per DJK-ESDM Ministerial Decree. RECs deducted from market-based calculation only.</w:t>
      </w:r>
    </w:p>
    <w:p>
      <w:r>
        <w:rPr>
          <w:rFonts w:ascii="Arial" w:hAnsi="Arial"/>
          <w:b/>
          <w:sz w:val="20"/>
        </w:rPr>
        <w:t>Table 69: Scope 2 Grid Emission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Grid Region</w:t>
            </w:r>
          </w:p>
        </w:tc>
        <w:tc>
          <w:tcPr>
            <w:tcW w:type="dxa" w:w="2257"/>
            <w:shd w:fill="1B3A6B" w:val="clear"/>
          </w:tcPr>
          <w:p>
            <w:r>
              <w:rPr>
                <w:rFonts w:ascii="Arial" w:hAnsi="Arial"/>
                <w:b/>
                <w:color w:val="FFFFFF"/>
                <w:sz w:val="18"/>
              </w:rPr>
              <w:t>EF (kgCO₂/kWh)</w:t>
            </w:r>
          </w:p>
        </w:tc>
        <w:tc>
          <w:tcPr>
            <w:tcW w:type="dxa" w:w="2257"/>
            <w:shd w:fill="1B3A6B" w:val="clear"/>
          </w:tcPr>
          <w:p>
            <w:r>
              <w:rPr>
                <w:rFonts w:ascii="Arial" w:hAnsi="Arial"/>
                <w:b/>
                <w:color w:val="FFFFFF"/>
                <w:sz w:val="18"/>
              </w:rPr>
              <w:t>Source</w:t>
            </w:r>
          </w:p>
        </w:tc>
        <w:tc>
          <w:tcPr>
            <w:tcW w:type="dxa" w:w="2257"/>
            <w:shd w:fill="1B3A6B" w:val="clear"/>
          </w:tcPr>
          <w:p>
            <w:r>
              <w:rPr>
                <w:rFonts w:ascii="Arial" w:hAnsi="Arial"/>
                <w:b/>
                <w:color w:val="FFFFFF"/>
                <w:sz w:val="18"/>
              </w:rPr>
              <w:t>Year</w:t>
            </w:r>
          </w:p>
        </w:tc>
      </w:tr>
      <w:tr>
        <w:tc>
          <w:tcPr>
            <w:tcW w:type="dxa" w:w="2257"/>
          </w:tcPr>
          <w:p>
            <w:r>
              <w:rPr>
                <w:rFonts w:ascii="Arial" w:hAnsi="Arial"/>
                <w:sz w:val="18"/>
              </w:rPr>
              <w:t>PLN National Grid (Indonesia)</w:t>
            </w:r>
          </w:p>
        </w:tc>
        <w:tc>
          <w:tcPr>
            <w:tcW w:type="dxa" w:w="2257"/>
          </w:tcPr>
          <w:p>
            <w:pPr>
              <w:jc w:val="right"/>
            </w:pPr>
            <w:r>
              <w:rPr>
                <w:rFonts w:ascii="Arial" w:hAnsi="Arial"/>
                <w:sz w:val="18"/>
              </w:rPr>
              <w:t>0.7886</w:t>
            </w:r>
          </w:p>
        </w:tc>
        <w:tc>
          <w:tcPr>
            <w:tcW w:type="dxa" w:w="2257"/>
          </w:tcPr>
          <w:p>
            <w:r>
              <w:rPr>
                <w:rFonts w:ascii="Arial" w:hAnsi="Arial"/>
                <w:sz w:val="18"/>
              </w:rPr>
              <w:t>DJK-ESDM</w:t>
            </w:r>
          </w:p>
        </w:tc>
        <w:tc>
          <w:tcPr>
            <w:tcW w:type="dxa" w:w="2257"/>
          </w:tcPr>
          <w:p>
            <w:pPr>
              <w:jc w:val="right"/>
            </w:pPr>
            <w:r>
              <w:rPr>
                <w:rFonts w:ascii="Arial" w:hAnsi="Arial"/>
                <w:sz w:val="18"/>
              </w:rPr>
              <w:t>2023</w:t>
            </w:r>
          </w:p>
        </w:tc>
      </w:tr>
    </w:tbl>
    <w:p/>
    <w:p>
      <w:pPr>
        <w:spacing w:after="160" w:line="276" w:lineRule="auto"/>
      </w:pPr>
      <w:r>
        <w:rPr>
          <w:rFonts w:ascii="Arial" w:hAnsi="Arial"/>
          <w:b/>
          <w:sz w:val="22"/>
        </w:rPr>
        <w:t>A.4 Scope 3 Category 15 — Financed Emissions (PCAF)</w:t>
      </w:r>
    </w:p>
    <w:p>
      <w:pPr>
        <w:spacing w:after="160" w:line="276" w:lineRule="auto"/>
      </w:pPr>
      <w:r>
        <w:t>Financed emissions calculated per PCAF Global GHG Accounting Standard Part A (2022). Asset class: business loans and project finance. Attribution formula: Financed Emissions = Σ (Attribution Factor × Borrower Scope 1+2 Emissions). Attribution Factor = Outstanding Amount / (Total Equity + Total Debt). Capped at 1.0 per REQ-ETL-19.</w:t>
      </w:r>
    </w:p>
    <w:p>
      <w:r>
        <w:rPr>
          <w:rFonts w:ascii="Arial" w:hAnsi="Arial"/>
          <w:b/>
          <w:sz w:val="20"/>
        </w:rPr>
        <w:t>Table 70: PCAF Confidence Weighting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PCAF Score</w:t>
            </w:r>
          </w:p>
        </w:tc>
        <w:tc>
          <w:tcPr>
            <w:tcW w:type="dxa" w:w="2257"/>
            <w:shd w:fill="1B3A6B" w:val="clear"/>
          </w:tcPr>
          <w:p>
            <w:r>
              <w:rPr>
                <w:rFonts w:ascii="Arial" w:hAnsi="Arial"/>
                <w:b/>
                <w:color w:val="FFFFFF"/>
                <w:sz w:val="18"/>
              </w:rPr>
              <w:t>Description</w:t>
            </w:r>
          </w:p>
        </w:tc>
        <w:tc>
          <w:tcPr>
            <w:tcW w:type="dxa" w:w="2257"/>
            <w:shd w:fill="1B3A6B" w:val="clear"/>
          </w:tcPr>
          <w:p>
            <w:r>
              <w:rPr>
                <w:rFonts w:ascii="Arial" w:hAnsi="Arial"/>
                <w:b/>
                <w:color w:val="FFFFFF"/>
                <w:sz w:val="18"/>
              </w:rPr>
              <w:t>Confidence Factor</w:t>
            </w:r>
          </w:p>
        </w:tc>
        <w:tc>
          <w:tcPr>
            <w:tcW w:type="dxa" w:w="2257"/>
            <w:shd w:fill="1B3A6B" w:val="clear"/>
          </w:tcPr>
          <w:p>
            <w:r>
              <w:rPr>
                <w:rFonts w:ascii="Arial" w:hAnsi="Arial"/>
                <w:b/>
                <w:color w:val="FFFFFF"/>
                <w:sz w:val="18"/>
              </w:rPr>
              <w:t>Uncertainty</w:t>
            </w:r>
          </w:p>
        </w:tc>
      </w:tr>
      <w:tr>
        <w:tc>
          <w:tcPr>
            <w:tcW w:type="dxa" w:w="2257"/>
          </w:tcPr>
          <w:p>
            <w:pPr>
              <w:jc w:val="right"/>
            </w:pPr>
            <w:r>
              <w:rPr>
                <w:rFonts w:ascii="Arial" w:hAnsi="Arial"/>
                <w:sz w:val="18"/>
              </w:rPr>
              <w:t>1.0</w:t>
            </w:r>
          </w:p>
        </w:tc>
        <w:tc>
          <w:tcPr>
            <w:tcW w:type="dxa" w:w="2257"/>
          </w:tcPr>
          <w:p>
            <w:r>
              <w:rPr>
                <w:rFonts w:ascii="Arial" w:hAnsi="Arial"/>
                <w:sz w:val="18"/>
              </w:rPr>
              <w:t>Verified (CDP/equivalent)</w:t>
            </w:r>
          </w:p>
        </w:tc>
        <w:tc>
          <w:tcPr>
            <w:tcW w:type="dxa" w:w="2257"/>
          </w:tcPr>
          <w:p>
            <w:pPr>
              <w:jc w:val="right"/>
            </w:pPr>
            <w:r>
              <w:rPr>
                <w:rFonts w:ascii="Arial" w:hAnsi="Arial"/>
                <w:sz w:val="18"/>
              </w:rPr>
              <w:t>1.00</w:t>
            </w:r>
          </w:p>
        </w:tc>
        <w:tc>
          <w:tcPr>
            <w:tcW w:type="dxa" w:w="2257"/>
          </w:tcPr>
          <w:p>
            <w:r>
              <w:rPr>
                <w:rFonts w:ascii="Arial" w:hAnsi="Arial"/>
                <w:sz w:val="18"/>
              </w:rPr>
              <w:t>±5%</w:t>
            </w:r>
          </w:p>
        </w:tc>
      </w:tr>
      <w:tr>
        <w:tc>
          <w:tcPr>
            <w:tcW w:type="dxa" w:w="2257"/>
            <w:shd w:fill="F2F6FC" w:val="clear"/>
          </w:tcPr>
          <w:p>
            <w:pPr>
              <w:jc w:val="right"/>
            </w:pPr>
            <w:r>
              <w:rPr>
                <w:rFonts w:ascii="Arial" w:hAnsi="Arial"/>
                <w:sz w:val="18"/>
              </w:rPr>
              <w:t>1.5</w:t>
            </w:r>
          </w:p>
        </w:tc>
        <w:tc>
          <w:tcPr>
            <w:tcW w:type="dxa" w:w="2257"/>
            <w:shd w:fill="F2F6FC" w:val="clear"/>
          </w:tcPr>
          <w:p>
            <w:r>
              <w:rPr>
                <w:rFonts w:ascii="Arial" w:hAnsi="Arial"/>
                <w:sz w:val="18"/>
              </w:rPr>
              <w:t>Audited, unverified</w:t>
            </w:r>
          </w:p>
        </w:tc>
        <w:tc>
          <w:tcPr>
            <w:tcW w:type="dxa" w:w="2257"/>
            <w:shd w:fill="F2F6FC" w:val="clear"/>
          </w:tcPr>
          <w:p>
            <w:pPr>
              <w:jc w:val="right"/>
            </w:pPr>
            <w:r>
              <w:rPr>
                <w:rFonts w:ascii="Arial" w:hAnsi="Arial"/>
                <w:sz w:val="18"/>
              </w:rPr>
              <w:t>0.95</w:t>
            </w:r>
          </w:p>
        </w:tc>
        <w:tc>
          <w:tcPr>
            <w:tcW w:type="dxa" w:w="2257"/>
            <w:shd w:fill="F2F6FC" w:val="clear"/>
          </w:tcPr>
          <w:p>
            <w:r>
              <w:rPr>
                <w:rFonts w:ascii="Arial" w:hAnsi="Arial"/>
                <w:sz w:val="18"/>
              </w:rPr>
              <w:t>±10%</w:t>
            </w:r>
          </w:p>
        </w:tc>
      </w:tr>
      <w:tr>
        <w:tc>
          <w:tcPr>
            <w:tcW w:type="dxa" w:w="2257"/>
          </w:tcPr>
          <w:p>
            <w:pPr>
              <w:jc w:val="right"/>
            </w:pPr>
            <w:r>
              <w:rPr>
                <w:rFonts w:ascii="Arial" w:hAnsi="Arial"/>
                <w:sz w:val="18"/>
              </w:rPr>
              <w:t>2.0</w:t>
            </w:r>
          </w:p>
        </w:tc>
        <w:tc>
          <w:tcPr>
            <w:tcW w:type="dxa" w:w="2257"/>
          </w:tcPr>
          <w:p>
            <w:r>
              <w:rPr>
                <w:rFonts w:ascii="Arial" w:hAnsi="Arial"/>
                <w:sz w:val="18"/>
              </w:rPr>
              <w:t>Physical activity-based</w:t>
            </w:r>
          </w:p>
        </w:tc>
        <w:tc>
          <w:tcPr>
            <w:tcW w:type="dxa" w:w="2257"/>
          </w:tcPr>
          <w:p>
            <w:pPr>
              <w:jc w:val="right"/>
            </w:pPr>
            <w:r>
              <w:rPr>
                <w:rFonts w:ascii="Arial" w:hAnsi="Arial"/>
                <w:sz w:val="18"/>
              </w:rPr>
              <w:t>0.90</w:t>
            </w:r>
          </w:p>
        </w:tc>
        <w:tc>
          <w:tcPr>
            <w:tcW w:type="dxa" w:w="2257"/>
          </w:tcPr>
          <w:p>
            <w:r>
              <w:rPr>
                <w:rFonts w:ascii="Arial" w:hAnsi="Arial"/>
                <w:sz w:val="18"/>
              </w:rPr>
              <w:t>±15%</w:t>
            </w:r>
          </w:p>
        </w:tc>
      </w:tr>
      <w:tr>
        <w:tc>
          <w:tcPr>
            <w:tcW w:type="dxa" w:w="2257"/>
            <w:shd w:fill="F2F6FC" w:val="clear"/>
          </w:tcPr>
          <w:p>
            <w:pPr>
              <w:jc w:val="right"/>
            </w:pPr>
            <w:r>
              <w:rPr>
                <w:rFonts w:ascii="Arial" w:hAnsi="Arial"/>
                <w:sz w:val="18"/>
              </w:rPr>
              <w:t>3.0</w:t>
            </w:r>
          </w:p>
        </w:tc>
        <w:tc>
          <w:tcPr>
            <w:tcW w:type="dxa" w:w="2257"/>
            <w:shd w:fill="F2F6FC" w:val="clear"/>
          </w:tcPr>
          <w:p>
            <w:r>
              <w:rPr>
                <w:rFonts w:ascii="Arial" w:hAnsi="Arial"/>
                <w:sz w:val="18"/>
              </w:rPr>
              <w:t>EEIO + revenue-based</w:t>
            </w:r>
          </w:p>
        </w:tc>
        <w:tc>
          <w:tcPr>
            <w:tcW w:type="dxa" w:w="2257"/>
            <w:shd w:fill="F2F6FC" w:val="clear"/>
          </w:tcPr>
          <w:p>
            <w:pPr>
              <w:jc w:val="right"/>
            </w:pPr>
            <w:r>
              <w:rPr>
                <w:rFonts w:ascii="Arial" w:hAnsi="Arial"/>
                <w:sz w:val="18"/>
              </w:rPr>
              <w:t>0.75</w:t>
            </w:r>
          </w:p>
        </w:tc>
        <w:tc>
          <w:tcPr>
            <w:tcW w:type="dxa" w:w="2257"/>
            <w:shd w:fill="F2F6FC" w:val="clear"/>
          </w:tcPr>
          <w:p>
            <w:r>
              <w:rPr>
                <w:rFonts w:ascii="Arial" w:hAnsi="Arial"/>
                <w:sz w:val="18"/>
              </w:rPr>
              <w:t>±25%</w:t>
            </w:r>
          </w:p>
        </w:tc>
      </w:tr>
      <w:tr>
        <w:tc>
          <w:tcPr>
            <w:tcW w:type="dxa" w:w="2257"/>
          </w:tcPr>
          <w:p>
            <w:pPr>
              <w:jc w:val="right"/>
            </w:pPr>
            <w:r>
              <w:rPr>
                <w:rFonts w:ascii="Arial" w:hAnsi="Arial"/>
                <w:sz w:val="18"/>
              </w:rPr>
              <w:t>4.0</w:t>
            </w:r>
          </w:p>
        </w:tc>
        <w:tc>
          <w:tcPr>
            <w:tcW w:type="dxa" w:w="2257"/>
          </w:tcPr>
          <w:p>
            <w:r>
              <w:rPr>
                <w:rFonts w:ascii="Arial" w:hAnsi="Arial"/>
                <w:sz w:val="18"/>
              </w:rPr>
              <w:t>EEIO + asset-based</w:t>
            </w:r>
          </w:p>
        </w:tc>
        <w:tc>
          <w:tcPr>
            <w:tcW w:type="dxa" w:w="2257"/>
          </w:tcPr>
          <w:p>
            <w:pPr>
              <w:jc w:val="right"/>
            </w:pPr>
            <w:r>
              <w:rPr>
                <w:rFonts w:ascii="Arial" w:hAnsi="Arial"/>
                <w:sz w:val="18"/>
              </w:rPr>
              <w:t>0.60</w:t>
            </w:r>
          </w:p>
        </w:tc>
        <w:tc>
          <w:tcPr>
            <w:tcW w:type="dxa" w:w="2257"/>
          </w:tcPr>
          <w:p>
            <w:r>
              <w:rPr>
                <w:rFonts w:ascii="Arial" w:hAnsi="Arial"/>
                <w:sz w:val="18"/>
              </w:rPr>
              <w:t>±40%</w:t>
            </w:r>
          </w:p>
        </w:tc>
      </w:tr>
      <w:tr>
        <w:tc>
          <w:tcPr>
            <w:tcW w:type="dxa" w:w="2257"/>
            <w:shd w:fill="F2F6FC" w:val="clear"/>
          </w:tcPr>
          <w:p>
            <w:pPr>
              <w:jc w:val="right"/>
            </w:pPr>
            <w:r>
              <w:rPr>
                <w:rFonts w:ascii="Arial" w:hAnsi="Arial"/>
                <w:sz w:val="18"/>
              </w:rPr>
              <w:t>5.0</w:t>
            </w:r>
          </w:p>
        </w:tc>
        <w:tc>
          <w:tcPr>
            <w:tcW w:type="dxa" w:w="2257"/>
            <w:shd w:fill="F2F6FC" w:val="clear"/>
          </w:tcPr>
          <w:p>
            <w:r>
              <w:rPr>
                <w:rFonts w:ascii="Arial" w:hAnsi="Arial"/>
                <w:sz w:val="18"/>
              </w:rPr>
              <w:t>Sector-average proxy</w:t>
            </w:r>
          </w:p>
        </w:tc>
        <w:tc>
          <w:tcPr>
            <w:tcW w:type="dxa" w:w="2257"/>
            <w:shd w:fill="F2F6FC" w:val="clear"/>
          </w:tcPr>
          <w:p>
            <w:pPr>
              <w:jc w:val="right"/>
            </w:pPr>
            <w:r>
              <w:rPr>
                <w:rFonts w:ascii="Arial" w:hAnsi="Arial"/>
                <w:sz w:val="18"/>
              </w:rPr>
              <w:t>0.45</w:t>
            </w:r>
          </w:p>
        </w:tc>
        <w:tc>
          <w:tcPr>
            <w:tcW w:type="dxa" w:w="2257"/>
            <w:shd w:fill="F2F6FC" w:val="clear"/>
          </w:tcPr>
          <w:p>
            <w:r>
              <w:rPr>
                <w:rFonts w:ascii="Arial" w:hAnsi="Arial"/>
                <w:sz w:val="18"/>
              </w:rPr>
              <w:t>±55%</w:t>
            </w:r>
          </w:p>
        </w:tc>
      </w:tr>
    </w:tbl>
    <w:p/>
    <w:p>
      <w:pPr>
        <w:spacing w:after="160" w:line="276" w:lineRule="auto"/>
      </w:pPr>
      <w:r>
        <w:rPr>
          <w:rFonts w:ascii="Arial" w:hAnsi="Arial"/>
          <w:b/>
          <w:sz w:val="22"/>
        </w:rPr>
        <w:t>A.5 Intensity Metrics</w:t>
      </w:r>
    </w:p>
    <w:p>
      <w:r>
        <w:rPr>
          <w:rFonts w:ascii="Arial" w:hAnsi="Arial"/>
          <w:b/>
          <w:sz w:val="20"/>
        </w:rPr>
        <w:t>Table 71: Intensity Metric Definitions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Formula</w:t>
            </w:r>
          </w:p>
        </w:tc>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Denominator Source</w:t>
            </w:r>
          </w:p>
        </w:tc>
      </w:tr>
      <w:tr>
        <w:tc>
          <w:tcPr>
            <w:tcW w:type="dxa" w:w="2257"/>
          </w:tcPr>
          <w:p>
            <w:r>
              <w:rPr>
                <w:rFonts w:ascii="Arial" w:hAnsi="Arial"/>
                <w:sz w:val="18"/>
              </w:rPr>
              <w:t>Revenue Intensity</w:t>
            </w:r>
          </w:p>
        </w:tc>
        <w:tc>
          <w:tcPr>
            <w:tcW w:type="dxa" w:w="2257"/>
          </w:tcPr>
          <w:p>
            <w:r>
              <w:rPr>
                <w:rFonts w:ascii="Arial" w:hAnsi="Arial"/>
                <w:sz w:val="18"/>
              </w:rPr>
              <w:t>Total Emissions / Revenue</w:t>
            </w:r>
          </w:p>
        </w:tc>
        <w:tc>
          <w:tcPr>
            <w:tcW w:type="dxa" w:w="2257"/>
          </w:tcPr>
          <w:p>
            <w:r>
              <w:rPr>
                <w:rFonts w:ascii="Arial" w:hAnsi="Arial"/>
                <w:sz w:val="18"/>
              </w:rPr>
              <w:t>Scope 1+2+3</w:t>
            </w:r>
          </w:p>
        </w:tc>
        <w:tc>
          <w:tcPr>
            <w:tcW w:type="dxa" w:w="2257"/>
          </w:tcPr>
          <w:p>
            <w:r>
              <w:rPr>
                <w:rFonts w:ascii="Arial" w:hAnsi="Arial"/>
                <w:sz w:val="18"/>
              </w:rPr>
              <w:t>Audited financial statements</w:t>
            </w:r>
          </w:p>
        </w:tc>
      </w:tr>
      <w:tr>
        <w:tc>
          <w:tcPr>
            <w:tcW w:type="dxa" w:w="2257"/>
            <w:shd w:fill="F2F6FC" w:val="clear"/>
          </w:tcPr>
          <w:p>
            <w:r>
              <w:rPr>
                <w:rFonts w:ascii="Arial" w:hAnsi="Arial"/>
                <w:sz w:val="18"/>
              </w:rPr>
              <w:t>FTE Intensity</w:t>
            </w:r>
          </w:p>
        </w:tc>
        <w:tc>
          <w:tcPr>
            <w:tcW w:type="dxa" w:w="2257"/>
            <w:shd w:fill="F2F6FC" w:val="clear"/>
          </w:tcPr>
          <w:p>
            <w:r>
              <w:rPr>
                <w:rFonts w:ascii="Arial" w:hAnsi="Arial"/>
                <w:sz w:val="18"/>
              </w:rPr>
              <w:t>Operational Emissions / FTE</w:t>
            </w:r>
          </w:p>
        </w:tc>
        <w:tc>
          <w:tcPr>
            <w:tcW w:type="dxa" w:w="2257"/>
            <w:shd w:fill="F2F6FC" w:val="clear"/>
          </w:tcPr>
          <w:p>
            <w:r>
              <w:rPr>
                <w:rFonts w:ascii="Arial" w:hAnsi="Arial"/>
                <w:sz w:val="18"/>
              </w:rPr>
              <w:t>Scope 1+2 only</w:t>
            </w:r>
          </w:p>
        </w:tc>
        <w:tc>
          <w:tcPr>
            <w:tcW w:type="dxa" w:w="2257"/>
            <w:shd w:fill="F2F6FC" w:val="clear"/>
          </w:tcPr>
          <w:p>
            <w:r>
              <w:rPr>
                <w:rFonts w:ascii="Arial" w:hAnsi="Arial"/>
                <w:sz w:val="18"/>
              </w:rPr>
              <w:t>HR system headcount</w:t>
            </w:r>
          </w:p>
        </w:tc>
      </w:tr>
    </w:tbl>
    <w:p/>
    <w:p>
      <w:r>
        <w:br w:type="page"/>
      </w:r>
    </w:p>
    <w:p>
      <w:pPr>
        <w:pStyle w:val="Heading1"/>
        <w:keepNext/>
        <w:spacing w:before="480" w:after="240"/>
      </w:pPr>
      <w:r>
        <w:rPr>
          <w:rFonts w:ascii="Arial" w:hAnsi="Arial"/>
          <w:b/>
          <w:color w:val="1B3A6B"/>
          <w:sz w:val="36"/>
        </w:rPr>
        <w:t>Appendix B: Data Quality &amp; Assurance Statement</w:t>
      </w:r>
    </w:p>
    <w:p>
      <w:pPr>
        <w:spacing w:after="160" w:line="276" w:lineRule="auto"/>
      </w:pPr>
      <w:r>
        <w:t>Data quality is assessed using the PCAF data quality scoring framework (1-5) for financed emissions and GHG Protocol quality indicators for operational emissions. This report has NOT been subject to external assurance. Third-party limited assurance is recommended for future reporting cycles.</w:t>
      </w:r>
    </w:p>
    <w:p>
      <w:r>
        <w:rPr>
          <w:rFonts w:ascii="Arial" w:hAnsi="Arial"/>
          <w:b/>
          <w:sz w:val="20"/>
        </w:rPr>
        <w:t>Table 72: Operational Data Quality Assessment</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Quality Tier</w:t>
            </w:r>
          </w:p>
        </w:tc>
        <w:tc>
          <w:tcPr>
            <w:tcW w:type="dxa" w:w="3010"/>
            <w:shd w:fill="1B3A6B" w:val="clear"/>
          </w:tcPr>
          <w:p>
            <w:r>
              <w:rPr>
                <w:rFonts w:ascii="Arial" w:hAnsi="Arial"/>
                <w:b/>
                <w:color w:val="FFFFFF"/>
                <w:sz w:val="18"/>
              </w:rPr>
              <w:t>Criteria</w:t>
            </w:r>
          </w:p>
        </w:tc>
        <w:tc>
          <w:tcPr>
            <w:tcW w:type="dxa" w:w="3010"/>
            <w:shd w:fill="1B3A6B" w:val="clear"/>
          </w:tcPr>
          <w:p>
            <w:r>
              <w:rPr>
                <w:rFonts w:ascii="Arial" w:hAnsi="Arial"/>
                <w:b/>
                <w:color w:val="FFFFFF"/>
                <w:sz w:val="18"/>
              </w:rPr>
              <w:t>Description</w:t>
            </w:r>
          </w:p>
        </w:tc>
      </w:tr>
      <w:tr>
        <w:tc>
          <w:tcPr>
            <w:tcW w:type="dxa" w:w="3010"/>
          </w:tcPr>
          <w:p>
            <w:r>
              <w:rPr>
                <w:rFonts w:ascii="Arial" w:hAnsi="Arial"/>
                <w:sz w:val="18"/>
              </w:rPr>
              <w:t>1 (High)</w:t>
            </w:r>
          </w:p>
        </w:tc>
        <w:tc>
          <w:tcPr>
            <w:tcW w:type="dxa" w:w="3010"/>
          </w:tcPr>
          <w:p>
            <w:r>
              <w:rPr>
                <w:rFonts w:ascii="Arial" w:hAnsi="Arial"/>
                <w:sz w:val="18"/>
              </w:rPr>
              <w:t>0 imputed months</w:t>
            </w:r>
          </w:p>
        </w:tc>
        <w:tc>
          <w:tcPr>
            <w:tcW w:type="dxa" w:w="3010"/>
          </w:tcPr>
          <w:p>
            <w:r>
              <w:rPr>
                <w:rFonts w:ascii="Arial" w:hAnsi="Arial"/>
                <w:sz w:val="18"/>
              </w:rPr>
              <w:t>Complete primary data from smart meters</w:t>
            </w:r>
          </w:p>
        </w:tc>
      </w:tr>
      <w:tr>
        <w:tc>
          <w:tcPr>
            <w:tcW w:type="dxa" w:w="3010"/>
            <w:shd w:fill="F2F6FC" w:val="clear"/>
          </w:tcPr>
          <w:p>
            <w:r>
              <w:rPr>
                <w:rFonts w:ascii="Arial" w:hAnsi="Arial"/>
                <w:sz w:val="18"/>
              </w:rPr>
              <w:t>2 (Good)</w:t>
            </w:r>
          </w:p>
        </w:tc>
        <w:tc>
          <w:tcPr>
            <w:tcW w:type="dxa" w:w="3010"/>
            <w:shd w:fill="F2F6FC" w:val="clear"/>
          </w:tcPr>
          <w:p>
            <w:r>
              <w:rPr>
                <w:rFonts w:ascii="Arial" w:hAnsi="Arial"/>
                <w:sz w:val="18"/>
              </w:rPr>
              <w:t>1-2 imputed months</w:t>
            </w:r>
          </w:p>
        </w:tc>
        <w:tc>
          <w:tcPr>
            <w:tcW w:type="dxa" w:w="3010"/>
            <w:shd w:fill="F2F6FC" w:val="clear"/>
          </w:tcPr>
          <w:p>
            <w:r>
              <w:rPr>
                <w:rFonts w:ascii="Arial" w:hAnsi="Arial"/>
                <w:sz w:val="18"/>
              </w:rPr>
              <w:t>Minor gaps filled with facility-type avg</w:t>
            </w:r>
          </w:p>
        </w:tc>
      </w:tr>
      <w:tr>
        <w:tc>
          <w:tcPr>
            <w:tcW w:type="dxa" w:w="3010"/>
          </w:tcPr>
          <w:p>
            <w:r>
              <w:rPr>
                <w:rFonts w:ascii="Arial" w:hAnsi="Arial"/>
                <w:sz w:val="18"/>
              </w:rPr>
              <w:t>3 (Moderate)</w:t>
            </w:r>
          </w:p>
        </w:tc>
        <w:tc>
          <w:tcPr>
            <w:tcW w:type="dxa" w:w="3010"/>
          </w:tcPr>
          <w:p>
            <w:r>
              <w:rPr>
                <w:rFonts w:ascii="Arial" w:hAnsi="Arial"/>
                <w:sz w:val="18"/>
              </w:rPr>
              <w:t>3-5 imputed months</w:t>
            </w:r>
          </w:p>
        </w:tc>
        <w:tc>
          <w:tcPr>
            <w:tcW w:type="dxa" w:w="3010"/>
          </w:tcPr>
          <w:p>
            <w:r>
              <w:rPr>
                <w:rFonts w:ascii="Arial" w:hAnsi="Arial"/>
                <w:sz w:val="18"/>
              </w:rPr>
              <w:t>Significant estimation required</w:t>
            </w:r>
          </w:p>
        </w:tc>
      </w:tr>
      <w:tr>
        <w:tc>
          <w:tcPr>
            <w:tcW w:type="dxa" w:w="3010"/>
            <w:shd w:fill="F2F6FC" w:val="clear"/>
          </w:tcPr>
          <w:p>
            <w:r>
              <w:rPr>
                <w:rFonts w:ascii="Arial" w:hAnsi="Arial"/>
                <w:sz w:val="18"/>
              </w:rPr>
              <w:t>4 (Low)</w:t>
            </w:r>
          </w:p>
        </w:tc>
        <w:tc>
          <w:tcPr>
            <w:tcW w:type="dxa" w:w="3010"/>
            <w:shd w:fill="F2F6FC" w:val="clear"/>
          </w:tcPr>
          <w:p>
            <w:r>
              <w:rPr>
                <w:rFonts w:ascii="Arial" w:hAnsi="Arial"/>
                <w:sz w:val="18"/>
              </w:rPr>
              <w:t>6+ imputed months</w:t>
            </w:r>
          </w:p>
        </w:tc>
        <w:tc>
          <w:tcPr>
            <w:tcW w:type="dxa" w:w="3010"/>
            <w:shd w:fill="F2F6FC" w:val="clear"/>
          </w:tcPr>
          <w:p>
            <w:r>
              <w:rPr>
                <w:rFonts w:ascii="Arial" w:hAnsi="Arial"/>
                <w:sz w:val="18"/>
              </w:rPr>
              <w:t>Majority estimated — improvement needed</w:t>
            </w:r>
          </w:p>
        </w:tc>
      </w:tr>
    </w:tbl>
    <w:p/>
    <w:p>
      <w:pPr>
        <w:spacing w:after="160" w:line="276" w:lineRule="auto"/>
      </w:pPr>
      <w:r>
        <w:t>Improvement Plan: Target 100% smart meter coverage across all facilities by Q4 2025. Monthly automated data ingestion via utility API integration in development.</w:t>
      </w:r>
    </w:p>
    <w:p>
      <w:r>
        <w:br w:type="page"/>
      </w:r>
    </w:p>
    <w:p>
      <w:pPr>
        <w:pStyle w:val="Heading1"/>
        <w:keepNext/>
        <w:spacing w:before="480" w:after="240"/>
      </w:pPr>
      <w:r>
        <w:rPr>
          <w:rFonts w:ascii="Arial" w:hAnsi="Arial"/>
          <w:b/>
          <w:color w:val="1B3A6B"/>
          <w:sz w:val="36"/>
        </w:rPr>
        <w:t>Appendix C: Sector Classification &amp; PCAF Mapping</w:t>
      </w:r>
    </w:p>
    <w:p>
      <w:pPr>
        <w:spacing w:after="160" w:line="276" w:lineRule="auto"/>
      </w:pPr>
      <w:r>
        <w:t>Sector classification follows NACE Rev. 2 codes mapped to PCAF asset classes. All productive loans in the portfolio are classified into one of the sectors below.</w:t>
      </w:r>
    </w:p>
    <w:p>
      <w:r>
        <w:rPr>
          <w:rFonts w:ascii="Arial" w:hAnsi="Arial"/>
          <w:b/>
          <w:sz w:val="20"/>
        </w:rPr>
        <w:t>Table 73: PCAF Sector Classification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NACE Code</w:t>
            </w:r>
          </w:p>
        </w:tc>
        <w:tc>
          <w:tcPr>
            <w:tcW w:type="dxa" w:w="2257"/>
            <w:shd w:fill="1B3A6B" w:val="clear"/>
          </w:tcPr>
          <w:p>
            <w:r>
              <w:rPr>
                <w:rFonts w:ascii="Arial" w:hAnsi="Arial"/>
                <w:b/>
                <w:color w:val="FFFFFF"/>
                <w:sz w:val="18"/>
              </w:rPr>
              <w:t>Sector</w:t>
            </w:r>
          </w:p>
        </w:tc>
        <w:tc>
          <w:tcPr>
            <w:tcW w:type="dxa" w:w="2257"/>
            <w:shd w:fill="1B3A6B" w:val="clear"/>
          </w:tcPr>
          <w:p>
            <w:r>
              <w:rPr>
                <w:rFonts w:ascii="Arial" w:hAnsi="Arial"/>
                <w:b/>
                <w:color w:val="FFFFFF"/>
                <w:sz w:val="18"/>
              </w:rPr>
              <w:t>PCAF Asset Class</w:t>
            </w:r>
          </w:p>
        </w:tc>
        <w:tc>
          <w:tcPr>
            <w:tcW w:type="dxa" w:w="2257"/>
            <w:shd w:fill="1B3A6B" w:val="clear"/>
          </w:tcPr>
          <w:p>
            <w:r>
              <w:rPr>
                <w:rFonts w:ascii="Arial" w:hAnsi="Arial"/>
                <w:b/>
                <w:color w:val="FFFFFF"/>
                <w:sz w:val="18"/>
              </w:rPr>
              <w:t>Emission Factor Source</w:t>
            </w:r>
          </w:p>
        </w:tc>
      </w:tr>
      <w:tr>
        <w:tc>
          <w:tcPr>
            <w:tcW w:type="dxa" w:w="2257"/>
          </w:tcPr>
          <w:p>
            <w:r>
              <w:rPr>
                <w:rFonts w:ascii="Arial" w:hAnsi="Arial"/>
                <w:sz w:val="18"/>
              </w:rPr>
              <w:t>B.06</w:t>
            </w:r>
          </w:p>
        </w:tc>
        <w:tc>
          <w:tcPr>
            <w:tcW w:type="dxa" w:w="2257"/>
          </w:tcPr>
          <w:p>
            <w:r>
              <w:rPr>
                <w:rFonts w:ascii="Arial" w:hAnsi="Arial"/>
                <w:sz w:val="18"/>
              </w:rPr>
              <w:t>Energy — Oil &amp; Gas</w:t>
            </w:r>
          </w:p>
        </w:tc>
        <w:tc>
          <w:tcPr>
            <w:tcW w:type="dxa" w:w="2257"/>
          </w:tcPr>
          <w:p>
            <w:r>
              <w:rPr>
                <w:rFonts w:ascii="Arial" w:hAnsi="Arial"/>
                <w:sz w:val="18"/>
              </w:rPr>
              <w:t>Business Loans</w:t>
            </w:r>
          </w:p>
        </w:tc>
        <w:tc>
          <w:tcPr>
            <w:tcW w:type="dxa" w:w="2257"/>
          </w:tcPr>
          <w:p>
            <w:r>
              <w:rPr>
                <w:rFonts w:ascii="Arial" w:hAnsi="Arial"/>
                <w:sz w:val="18"/>
              </w:rPr>
              <w:t>CDP / Company Reports</w:t>
            </w:r>
          </w:p>
        </w:tc>
      </w:tr>
      <w:tr>
        <w:tc>
          <w:tcPr>
            <w:tcW w:type="dxa" w:w="2257"/>
            <w:shd w:fill="F2F6FC" w:val="clear"/>
          </w:tcPr>
          <w:p>
            <w:r>
              <w:rPr>
                <w:rFonts w:ascii="Arial" w:hAnsi="Arial"/>
                <w:sz w:val="18"/>
              </w:rPr>
              <w:t>C.23</w:t>
            </w:r>
          </w:p>
        </w:tc>
        <w:tc>
          <w:tcPr>
            <w:tcW w:type="dxa" w:w="2257"/>
            <w:shd w:fill="F2F6FC" w:val="clear"/>
          </w:tcPr>
          <w:p>
            <w:r>
              <w:rPr>
                <w:rFonts w:ascii="Arial" w:hAnsi="Arial"/>
                <w:sz w:val="18"/>
              </w:rPr>
              <w:t>Manufacturing — Cement</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C.24</w:t>
            </w:r>
          </w:p>
        </w:tc>
        <w:tc>
          <w:tcPr>
            <w:tcW w:type="dxa" w:w="2257"/>
          </w:tcPr>
          <w:p>
            <w:r>
              <w:rPr>
                <w:rFonts w:ascii="Arial" w:hAnsi="Arial"/>
                <w:sz w:val="18"/>
              </w:rPr>
              <w:t>Manufacturing — Steel</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C.10</w:t>
            </w:r>
          </w:p>
        </w:tc>
        <w:tc>
          <w:tcPr>
            <w:tcW w:type="dxa" w:w="2257"/>
            <w:shd w:fill="F2F6FC" w:val="clear"/>
          </w:tcPr>
          <w:p>
            <w:r>
              <w:rPr>
                <w:rFonts w:ascii="Arial" w:hAnsi="Arial"/>
                <w:sz w:val="18"/>
              </w:rPr>
              <w:t>Manufacturing — Food</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L.68</w:t>
            </w:r>
          </w:p>
        </w:tc>
        <w:tc>
          <w:tcPr>
            <w:tcW w:type="dxa" w:w="2257"/>
          </w:tcPr>
          <w:p>
            <w:r>
              <w:rPr>
                <w:rFonts w:ascii="Arial" w:hAnsi="Arial"/>
                <w:sz w:val="18"/>
              </w:rPr>
              <w:t>Real Estate — Commercial</w:t>
            </w:r>
          </w:p>
        </w:tc>
        <w:tc>
          <w:tcPr>
            <w:tcW w:type="dxa" w:w="2257"/>
          </w:tcPr>
          <w:p>
            <w:r>
              <w:rPr>
                <w:rFonts w:ascii="Arial" w:hAnsi="Arial"/>
                <w:sz w:val="18"/>
              </w:rPr>
              <w:t>Commercial Real Estate</w:t>
            </w:r>
          </w:p>
        </w:tc>
        <w:tc>
          <w:tcPr>
            <w:tcW w:type="dxa" w:w="2257"/>
          </w:tcPr>
          <w:p>
            <w:r>
              <w:rPr>
                <w:rFonts w:ascii="Arial" w:hAnsi="Arial"/>
                <w:sz w:val="18"/>
              </w:rPr>
              <w:t>Building EPC</w:t>
            </w:r>
          </w:p>
        </w:tc>
      </w:tr>
      <w:tr>
        <w:tc>
          <w:tcPr>
            <w:tcW w:type="dxa" w:w="2257"/>
            <w:shd w:fill="F2F6FC" w:val="clear"/>
          </w:tcPr>
          <w:p>
            <w:r>
              <w:rPr>
                <w:rFonts w:ascii="Arial" w:hAnsi="Arial"/>
                <w:sz w:val="18"/>
              </w:rPr>
              <w:t>L.68.2</w:t>
            </w:r>
          </w:p>
        </w:tc>
        <w:tc>
          <w:tcPr>
            <w:tcW w:type="dxa" w:w="2257"/>
            <w:shd w:fill="F2F6FC" w:val="clear"/>
          </w:tcPr>
          <w:p>
            <w:r>
              <w:rPr>
                <w:rFonts w:ascii="Arial" w:hAnsi="Arial"/>
                <w:sz w:val="18"/>
              </w:rPr>
              <w:t>Real Estate — Residential</w:t>
            </w:r>
          </w:p>
        </w:tc>
        <w:tc>
          <w:tcPr>
            <w:tcW w:type="dxa" w:w="2257"/>
            <w:shd w:fill="F2F6FC" w:val="clear"/>
          </w:tcPr>
          <w:p>
            <w:r>
              <w:rPr>
                <w:rFonts w:ascii="Arial" w:hAnsi="Arial"/>
                <w:sz w:val="18"/>
              </w:rPr>
              <w:t>Mortgages</w:t>
            </w:r>
          </w:p>
        </w:tc>
        <w:tc>
          <w:tcPr>
            <w:tcW w:type="dxa" w:w="2257"/>
            <w:shd w:fill="F2F6FC" w:val="clear"/>
          </w:tcPr>
          <w:p>
            <w:r>
              <w:rPr>
                <w:rFonts w:ascii="Arial" w:hAnsi="Arial"/>
                <w:sz w:val="18"/>
              </w:rPr>
              <w:t>Building EPC</w:t>
            </w:r>
          </w:p>
        </w:tc>
      </w:tr>
      <w:tr>
        <w:tc>
          <w:tcPr>
            <w:tcW w:type="dxa" w:w="2257"/>
          </w:tcPr>
          <w:p>
            <w:r>
              <w:rPr>
                <w:rFonts w:ascii="Arial" w:hAnsi="Arial"/>
                <w:sz w:val="18"/>
              </w:rPr>
              <w:t>H.49</w:t>
            </w:r>
          </w:p>
        </w:tc>
        <w:tc>
          <w:tcPr>
            <w:tcW w:type="dxa" w:w="2257"/>
          </w:tcPr>
          <w:p>
            <w:r>
              <w:rPr>
                <w:rFonts w:ascii="Arial" w:hAnsi="Arial"/>
                <w:sz w:val="18"/>
              </w:rPr>
              <w:t>Transportation — Road</w:t>
            </w:r>
          </w:p>
        </w:tc>
        <w:tc>
          <w:tcPr>
            <w:tcW w:type="dxa" w:w="2257"/>
          </w:tcPr>
          <w:p>
            <w:r>
              <w:rPr>
                <w:rFonts w:ascii="Arial" w:hAnsi="Arial"/>
                <w:sz w:val="18"/>
              </w:rPr>
              <w:t>Business Loans</w:t>
            </w:r>
          </w:p>
        </w:tc>
        <w:tc>
          <w:tcPr>
            <w:tcW w:type="dxa" w:w="2257"/>
          </w:tcPr>
          <w:p>
            <w:r>
              <w:rPr>
                <w:rFonts w:ascii="Arial" w:hAnsi="Arial"/>
                <w:sz w:val="18"/>
              </w:rPr>
              <w:t>Company Reports</w:t>
            </w:r>
          </w:p>
        </w:tc>
      </w:tr>
      <w:tr>
        <w:tc>
          <w:tcPr>
            <w:tcW w:type="dxa" w:w="2257"/>
            <w:shd w:fill="F2F6FC" w:val="clear"/>
          </w:tcPr>
          <w:p>
            <w:r>
              <w:rPr>
                <w:rFonts w:ascii="Arial" w:hAnsi="Arial"/>
                <w:sz w:val="18"/>
              </w:rPr>
              <w:t>A.01</w:t>
            </w:r>
          </w:p>
        </w:tc>
        <w:tc>
          <w:tcPr>
            <w:tcW w:type="dxa" w:w="2257"/>
            <w:shd w:fill="F2F6FC" w:val="clear"/>
          </w:tcPr>
          <w:p>
            <w:r>
              <w:rPr>
                <w:rFonts w:ascii="Arial" w:hAnsi="Arial"/>
                <w:sz w:val="18"/>
              </w:rPr>
              <w:t>Agriculture</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G.47</w:t>
            </w:r>
          </w:p>
        </w:tc>
        <w:tc>
          <w:tcPr>
            <w:tcW w:type="dxa" w:w="2257"/>
          </w:tcPr>
          <w:p>
            <w:r>
              <w:rPr>
                <w:rFonts w:ascii="Arial" w:hAnsi="Arial"/>
                <w:sz w:val="18"/>
              </w:rPr>
              <w:t>Retail Trade</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K.64</w:t>
            </w:r>
          </w:p>
        </w:tc>
        <w:tc>
          <w:tcPr>
            <w:tcW w:type="dxa" w:w="2257"/>
            <w:shd w:fill="F2F6FC" w:val="clear"/>
          </w:tcPr>
          <w:p>
            <w:r>
              <w:rPr>
                <w:rFonts w:ascii="Arial" w:hAnsi="Arial"/>
                <w:sz w:val="18"/>
              </w:rPr>
              <w:t>Financial Services</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Company Reports</w:t>
            </w:r>
          </w:p>
        </w:tc>
      </w:tr>
    </w:tbl>
    <w:p/>
    <w:p>
      <w:r>
        <w:br w:type="page"/>
      </w:r>
    </w:p>
    <w:p>
      <w:pPr>
        <w:pStyle w:val="Heading1"/>
        <w:keepNext/>
        <w:spacing w:before="480" w:after="240"/>
      </w:pPr>
      <w:r>
        <w:rPr>
          <w:rFonts w:ascii="Arial" w:hAnsi="Arial"/>
          <w:b/>
          <w:color w:val="1B3A6B"/>
          <w:sz w:val="36"/>
        </w:rPr>
        <w:t>Appendix D: GRI Content Index</w:t>
      </w:r>
    </w:p>
    <w:p>
      <w:pPr>
        <w:spacing w:after="160" w:line="276" w:lineRule="auto"/>
      </w:pPr>
      <w:r>
        <w:t>This report has been prepared with reference to the GRI Standards (2021). GRI 102: Climate Change 2025 supersedes GRI 305 effective 1 January 2027.</w:t>
      </w:r>
    </w:p>
    <w:p>
      <w:r>
        <w:rPr>
          <w:rFonts w:ascii="Arial" w:hAnsi="Arial"/>
          <w:b/>
          <w:sz w:val="20"/>
        </w:rPr>
        <w:t>Table 74: 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Social</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Scope 1</w:t>
            </w:r>
          </w:p>
        </w:tc>
        <w:tc>
          <w:tcPr>
            <w:tcW w:type="dxa" w:w="2257"/>
            <w:shd w:fill="F2F6FC" w:val="clear"/>
          </w:tcPr>
          <w:p>
            <w:r>
              <w:rPr>
                <w:rFonts w:ascii="Arial" w:hAnsi="Arial"/>
                <w:sz w:val="18"/>
              </w:rPr>
              <w:t>✅ Disclosed</w:t>
            </w:r>
          </w:p>
        </w:tc>
      </w:tr>
      <w:tr>
        <w:tc>
          <w:tcPr>
            <w:tcW w:type="dxa" w:w="2257"/>
          </w:tcPr>
          <w:p>
            <w:r>
              <w:rPr>
                <w:rFonts w:ascii="Arial" w:hAnsi="Arial"/>
                <w:sz w:val="18"/>
              </w:rPr>
              <w:t>GRI 305-1a</w:t>
            </w:r>
          </w:p>
        </w:tc>
        <w:tc>
          <w:tcPr>
            <w:tcW w:type="dxa" w:w="2257"/>
          </w:tcPr>
          <w:p>
            <w:r>
              <w:rPr>
                <w:rFonts w:ascii="Arial" w:hAnsi="Arial"/>
                <w:sz w:val="18"/>
              </w:rPr>
              <w:t>Gross Scope 1 in tCO₂e</w:t>
            </w:r>
          </w:p>
        </w:tc>
        <w:tc>
          <w:tcPr>
            <w:tcW w:type="dxa" w:w="2257"/>
          </w:tcPr>
          <w:p>
            <w:r>
              <w:rPr>
                <w:rFonts w:ascii="Arial" w:hAnsi="Arial"/>
                <w:sz w:val="18"/>
              </w:rPr>
              <w:t>Scope 1</w:t>
            </w:r>
          </w:p>
        </w:tc>
        <w:tc>
          <w:tcPr>
            <w:tcW w:type="dxa" w:w="2257"/>
          </w:tcPr>
          <w:p>
            <w:r>
              <w:rPr>
                <w:rFonts w:ascii="Arial" w:hAnsi="Arial"/>
                <w:sz w:val="18"/>
              </w:rPr>
              <w:t>✅ Disclosed</w:t>
            </w:r>
          </w:p>
        </w:tc>
      </w:tr>
      <w:tr>
        <w:tc>
          <w:tcPr>
            <w:tcW w:type="dxa" w:w="2257"/>
            <w:shd w:fill="F2F6FC" w:val="clear"/>
          </w:tcPr>
          <w:p>
            <w:r>
              <w:rPr>
                <w:rFonts w:ascii="Arial" w:hAnsi="Arial"/>
                <w:sz w:val="18"/>
              </w:rPr>
              <w:t>GRI 305-1b</w:t>
            </w:r>
          </w:p>
        </w:tc>
        <w:tc>
          <w:tcPr>
            <w:tcW w:type="dxa" w:w="2257"/>
            <w:shd w:fill="F2F6FC" w:val="clear"/>
          </w:tcPr>
          <w:p>
            <w:r>
              <w:rPr>
                <w:rFonts w:ascii="Arial" w:hAnsi="Arial"/>
                <w:sz w:val="18"/>
              </w:rPr>
              <w:t>Gases included (CO₂, CH₄, N₂O)</w:t>
            </w:r>
          </w:p>
        </w:tc>
        <w:tc>
          <w:tcPr>
            <w:tcW w:type="dxa" w:w="2257"/>
            <w:shd w:fill="F2F6FC" w:val="clear"/>
          </w:tcPr>
          <w:p>
            <w:r>
              <w:rPr>
                <w:rFonts w:ascii="Arial" w:hAnsi="Arial"/>
                <w:sz w:val="18"/>
              </w:rPr>
              <w:t>Scope 1</w:t>
            </w:r>
          </w:p>
        </w:tc>
        <w:tc>
          <w:tcPr>
            <w:tcW w:type="dxa" w:w="2257"/>
            <w:shd w:fill="F2F6FC" w:val="clear"/>
          </w:tcPr>
          <w:p>
            <w:r>
              <w:rPr>
                <w:rFonts w:ascii="Arial" w:hAnsi="Arial"/>
                <w:sz w:val="18"/>
              </w:rPr>
              <w:t>✅ Disclosed</w:t>
            </w:r>
          </w:p>
        </w:tc>
      </w:tr>
      <w:tr>
        <w:tc>
          <w:tcPr>
            <w:tcW w:type="dxa" w:w="2257"/>
          </w:tcPr>
          <w:p>
            <w:r>
              <w:rPr>
                <w:rFonts w:ascii="Arial" w:hAnsi="Arial"/>
                <w:sz w:val="18"/>
              </w:rPr>
              <w:t>GRI 305-1e</w:t>
            </w:r>
          </w:p>
        </w:tc>
        <w:tc>
          <w:tcPr>
            <w:tcW w:type="dxa" w:w="2257"/>
          </w:tcPr>
          <w:p>
            <w:r>
              <w:rPr>
                <w:rFonts w:ascii="Arial" w:hAnsi="Arial"/>
                <w:sz w:val="18"/>
              </w:rPr>
              <w:t>Emission factors &amp; GWP source</w:t>
            </w:r>
          </w:p>
        </w:tc>
        <w:tc>
          <w:tcPr>
            <w:tcW w:type="dxa" w:w="2257"/>
          </w:tcPr>
          <w:p>
            <w:r>
              <w:rPr>
                <w:rFonts w:ascii="Arial" w:hAnsi="Arial"/>
                <w:sz w:val="18"/>
              </w:rPr>
              <w:t>Appendix A</w:t>
            </w:r>
          </w:p>
        </w:tc>
        <w:tc>
          <w:tcPr>
            <w:tcW w:type="dxa" w:w="2257"/>
          </w:tcPr>
          <w:p>
            <w:r>
              <w:rPr>
                <w:rFonts w:ascii="Arial" w:hAnsi="Arial"/>
                <w:sz w:val="18"/>
              </w:rPr>
              <w:t>✅ Disclosed</w:t>
            </w:r>
          </w:p>
        </w:tc>
      </w:tr>
      <w:tr>
        <w:tc>
          <w:tcPr>
            <w:tcW w:type="dxa" w:w="2257"/>
            <w:shd w:fill="F2F6FC" w:val="clear"/>
          </w:tcPr>
          <w:p>
            <w:r>
              <w:rPr>
                <w:rFonts w:ascii="Arial" w:hAnsi="Arial"/>
                <w:sz w:val="18"/>
              </w:rPr>
              <w:t>GRI 305-1f</w:t>
            </w:r>
          </w:p>
        </w:tc>
        <w:tc>
          <w:tcPr>
            <w:tcW w:type="dxa" w:w="2257"/>
            <w:shd w:fill="F2F6FC" w:val="clear"/>
          </w:tcPr>
          <w:p>
            <w:r>
              <w:rPr>
                <w:rFonts w:ascii="Arial" w:hAnsi="Arial"/>
                <w:sz w:val="18"/>
              </w:rPr>
              <w:t>Consolidation approach</w:t>
            </w:r>
          </w:p>
        </w:tc>
        <w:tc>
          <w:tcPr>
            <w:tcW w:type="dxa" w:w="2257"/>
            <w:shd w:fill="F2F6FC" w:val="clear"/>
          </w:tcPr>
          <w:p>
            <w:r>
              <w:rPr>
                <w:rFonts w:ascii="Arial" w:hAnsi="Arial"/>
                <w:sz w:val="18"/>
              </w:rPr>
              <w:t>Appendix A</w:t>
            </w:r>
          </w:p>
        </w:tc>
        <w:tc>
          <w:tcPr>
            <w:tcW w:type="dxa" w:w="2257"/>
            <w:shd w:fill="F2F6FC" w:val="clear"/>
          </w:tcPr>
          <w:p>
            <w:r>
              <w:rPr>
                <w:rFonts w:ascii="Arial" w:hAnsi="Arial"/>
                <w:sz w:val="18"/>
              </w:rPr>
              <w:t>✅ Disclosed</w:t>
            </w:r>
          </w:p>
        </w:tc>
      </w:tr>
      <w:tr>
        <w:tc>
          <w:tcPr>
            <w:tcW w:type="dxa" w:w="2257"/>
          </w:tcPr>
          <w:p>
            <w:r>
              <w:rPr>
                <w:rFonts w:ascii="Arial" w:hAnsi="Arial"/>
                <w:sz w:val="18"/>
              </w:rPr>
              <w:t>GRI 305-1g</w:t>
            </w:r>
          </w:p>
        </w:tc>
        <w:tc>
          <w:tcPr>
            <w:tcW w:type="dxa" w:w="2257"/>
          </w:tcPr>
          <w:p>
            <w:r>
              <w:rPr>
                <w:rFonts w:ascii="Arial" w:hAnsi="Arial"/>
                <w:sz w:val="18"/>
              </w:rPr>
              <w:t>Standards used</w:t>
            </w:r>
          </w:p>
        </w:tc>
        <w:tc>
          <w:tcPr>
            <w:tcW w:type="dxa" w:w="2257"/>
          </w:tcPr>
          <w:p>
            <w:r>
              <w:rPr>
                <w:rFonts w:ascii="Arial" w:hAnsi="Arial"/>
                <w:sz w:val="18"/>
              </w:rPr>
              <w:t>Appendix A</w:t>
            </w:r>
          </w:p>
        </w:tc>
        <w:tc>
          <w:tcPr>
            <w:tcW w:type="dxa" w:w="2257"/>
          </w:tcPr>
          <w:p>
            <w:r>
              <w:rPr>
                <w:rFonts w:ascii="Arial" w:hAnsi="Arial"/>
                <w:sz w:val="18"/>
              </w:rPr>
              <w:t>✅ Disclosed</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w:t>
            </w:r>
          </w:p>
        </w:tc>
        <w:tc>
          <w:tcPr>
            <w:tcW w:type="dxa" w:w="2257"/>
            <w:shd w:fill="F2F6FC" w:val="clear"/>
          </w:tcPr>
          <w:p>
            <w:r>
              <w:rPr>
                <w:rFonts w:ascii="Arial" w:hAnsi="Arial"/>
                <w:sz w:val="18"/>
              </w:rPr>
              <w:t>Scope 2</w:t>
            </w:r>
          </w:p>
        </w:tc>
        <w:tc>
          <w:tcPr>
            <w:tcW w:type="dxa" w:w="2257"/>
            <w:shd w:fill="F2F6FC" w:val="clear"/>
          </w:tcPr>
          <w:p>
            <w:r>
              <w:rPr>
                <w:rFonts w:ascii="Arial" w:hAnsi="Arial"/>
                <w:sz w:val="18"/>
              </w:rPr>
              <w:t>✅ Disclosed</w:t>
            </w:r>
          </w:p>
        </w:tc>
      </w:tr>
      <w:tr>
        <w:tc>
          <w:tcPr>
            <w:tcW w:type="dxa" w:w="2257"/>
          </w:tcPr>
          <w:p>
            <w:r>
              <w:rPr>
                <w:rFonts w:ascii="Arial" w:hAnsi="Arial"/>
                <w:sz w:val="18"/>
              </w:rPr>
              <w:t>GRI 305-2a</w:t>
            </w:r>
          </w:p>
        </w:tc>
        <w:tc>
          <w:tcPr>
            <w:tcW w:type="dxa" w:w="2257"/>
          </w:tcPr>
          <w:p>
            <w:r>
              <w:rPr>
                <w:rFonts w:ascii="Arial" w:hAnsi="Arial"/>
                <w:sz w:val="18"/>
              </w:rPr>
              <w:t>Location-based + Market-based</w:t>
            </w:r>
          </w:p>
        </w:tc>
        <w:tc>
          <w:tcPr>
            <w:tcW w:type="dxa" w:w="2257"/>
          </w:tcPr>
          <w:p>
            <w:r>
              <w:rPr>
                <w:rFonts w:ascii="Arial" w:hAnsi="Arial"/>
                <w:sz w:val="18"/>
              </w:rPr>
              <w:t>Scope 2</w:t>
            </w:r>
          </w:p>
        </w:tc>
        <w:tc>
          <w:tcPr>
            <w:tcW w:type="dxa" w:w="2257"/>
          </w:tcPr>
          <w:p>
            <w:r>
              <w:rPr>
                <w:rFonts w:ascii="Arial" w:hAnsi="Arial"/>
                <w:sz w:val="18"/>
              </w:rPr>
              <w:t>✅ Disclosed</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w:t>
            </w:r>
          </w:p>
        </w:tc>
        <w:tc>
          <w:tcPr>
            <w:tcW w:type="dxa" w:w="2257"/>
            <w:shd w:fill="F2F6FC" w:val="clear"/>
          </w:tcPr>
          <w:p>
            <w:r>
              <w:rPr>
                <w:rFonts w:ascii="Arial" w:hAnsi="Arial"/>
                <w:sz w:val="18"/>
              </w:rPr>
              <w:t>PCAF / Scope 3</w:t>
            </w:r>
          </w:p>
        </w:tc>
        <w:tc>
          <w:tcPr>
            <w:tcW w:type="dxa" w:w="2257"/>
            <w:shd w:fill="F2F6FC" w:val="clear"/>
          </w:tcPr>
          <w:p>
            <w:r>
              <w:rPr>
                <w:rFonts w:ascii="Arial" w:hAnsi="Arial"/>
                <w:sz w:val="18"/>
              </w:rPr>
              <w:t>✅ Disclosed</w:t>
            </w:r>
          </w:p>
        </w:tc>
      </w:tr>
      <w:tr>
        <w:tc>
          <w:tcPr>
            <w:tcW w:type="dxa" w:w="2257"/>
          </w:tcPr>
          <w:p>
            <w:r>
              <w:rPr>
                <w:rFonts w:ascii="Arial" w:hAnsi="Arial"/>
                <w:sz w:val="18"/>
              </w:rPr>
              <w:t>GRI 305-3a</w:t>
            </w:r>
          </w:p>
        </w:tc>
        <w:tc>
          <w:tcPr>
            <w:tcW w:type="dxa" w:w="2257"/>
          </w:tcPr>
          <w:p>
            <w:r>
              <w:rPr>
                <w:rFonts w:ascii="Arial" w:hAnsi="Arial"/>
                <w:sz w:val="18"/>
              </w:rPr>
              <w:t>Category 15: Investments (PCAF)</w:t>
            </w:r>
          </w:p>
        </w:tc>
        <w:tc>
          <w:tcPr>
            <w:tcW w:type="dxa" w:w="2257"/>
          </w:tcPr>
          <w:p>
            <w:r>
              <w:rPr>
                <w:rFonts w:ascii="Arial" w:hAnsi="Arial"/>
                <w:sz w:val="18"/>
              </w:rPr>
              <w:t>PCAF / Scope 3</w:t>
            </w:r>
          </w:p>
        </w:tc>
        <w:tc>
          <w:tcPr>
            <w:tcW w:type="dxa" w:w="2257"/>
          </w:tcPr>
          <w:p>
            <w:r>
              <w:rPr>
                <w:rFonts w:ascii="Arial" w:hAnsi="Arial"/>
                <w:sz w:val="18"/>
              </w:rPr>
              <w:t>✅ Disclosed</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Intensity</w:t>
            </w:r>
          </w:p>
        </w:tc>
        <w:tc>
          <w:tcPr>
            <w:tcW w:type="dxa" w:w="2257"/>
            <w:shd w:fill="F2F6FC" w:val="clear"/>
          </w:tcPr>
          <w:p>
            <w:r>
              <w:rPr>
                <w:rFonts w:ascii="Arial" w:hAnsi="Arial"/>
                <w:sz w:val="18"/>
              </w:rPr>
              <w:t>✅ Disclosed</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Reduction</w:t>
            </w:r>
          </w:p>
        </w:tc>
        <w:tc>
          <w:tcPr>
            <w:tcW w:type="dxa" w:w="2257"/>
          </w:tcPr>
          <w:p>
            <w:r>
              <w:rPr>
                <w:rFonts w:ascii="Arial" w:hAnsi="Arial"/>
                <w:sz w:val="18"/>
              </w:rPr>
              <w:t>⚠️ Partial</w:t>
            </w:r>
          </w:p>
        </w:tc>
      </w:tr>
      <w:tr>
        <w:tc>
          <w:tcPr>
            <w:tcW w:type="dxa" w:w="2257"/>
            <w:shd w:fill="F2F6FC" w:val="clear"/>
          </w:tcPr>
          <w:p>
            <w:r>
              <w:rPr>
                <w:rFonts w:ascii="Arial" w:hAnsi="Arial"/>
                <w:sz w:val="18"/>
              </w:rPr>
              <w:t>GRI 401-1</w:t>
            </w:r>
          </w:p>
        </w:tc>
        <w:tc>
          <w:tcPr>
            <w:tcW w:type="dxa" w:w="2257"/>
            <w:shd w:fill="F2F6FC" w:val="clear"/>
          </w:tcPr>
          <w:p>
            <w:r>
              <w:rPr>
                <w:rFonts w:ascii="Arial" w:hAnsi="Arial"/>
                <w:sz w:val="18"/>
              </w:rPr>
              <w:t>New hires and turnover</w:t>
            </w:r>
          </w:p>
        </w:tc>
        <w:tc>
          <w:tcPr>
            <w:tcW w:type="dxa" w:w="2257"/>
            <w:shd w:fill="F2F6FC" w:val="clear"/>
          </w:tcPr>
          <w:p>
            <w:r>
              <w:rPr>
                <w:rFonts w:ascii="Arial" w:hAnsi="Arial"/>
                <w:sz w:val="18"/>
              </w:rPr>
              <w:t>Social</w:t>
            </w:r>
          </w:p>
        </w:tc>
        <w:tc>
          <w:tcPr>
            <w:tcW w:type="dxa" w:w="2257"/>
            <w:shd w:fill="F2F6FC" w:val="clear"/>
          </w:tcPr>
          <w:p>
            <w:r>
              <w:rPr>
                <w:rFonts w:ascii="Arial" w:hAnsi="Arial"/>
                <w:sz w:val="18"/>
              </w:rPr>
              <w:t>✅ Disclosed</w:t>
            </w:r>
          </w:p>
        </w:tc>
      </w:tr>
      <w:tr>
        <w:tc>
          <w:tcPr>
            <w:tcW w:type="dxa" w:w="2257"/>
          </w:tcPr>
          <w:p>
            <w:r>
              <w:rPr>
                <w:rFonts w:ascii="Arial" w:hAnsi="Arial"/>
                <w:sz w:val="18"/>
              </w:rPr>
              <w:t>GRI 404-1</w:t>
            </w:r>
          </w:p>
        </w:tc>
        <w:tc>
          <w:tcPr>
            <w:tcW w:type="dxa" w:w="2257"/>
          </w:tcPr>
          <w:p>
            <w:r>
              <w:rPr>
                <w:rFonts w:ascii="Arial" w:hAnsi="Arial"/>
                <w:sz w:val="18"/>
              </w:rPr>
              <w:t>Training hours per employee</w:t>
            </w:r>
          </w:p>
        </w:tc>
        <w:tc>
          <w:tcPr>
            <w:tcW w:type="dxa" w:w="2257"/>
          </w:tcPr>
          <w:p>
            <w:r>
              <w:rPr>
                <w:rFonts w:ascii="Arial" w:hAnsi="Arial"/>
                <w:sz w:val="18"/>
              </w:rPr>
              <w:t>Social</w:t>
            </w:r>
          </w:p>
        </w:tc>
        <w:tc>
          <w:tcPr>
            <w:tcW w:type="dxa" w:w="2257"/>
          </w:tcPr>
          <w:p>
            <w:r>
              <w:rPr>
                <w:rFonts w:ascii="Arial" w:hAnsi="Arial"/>
                <w:sz w:val="18"/>
              </w:rPr>
              <w:t>✅ Disclosed</w:t>
            </w:r>
          </w:p>
        </w:tc>
      </w:tr>
      <w:tr>
        <w:tc>
          <w:tcPr>
            <w:tcW w:type="dxa" w:w="2257"/>
            <w:shd w:fill="F2F6FC" w:val="clear"/>
          </w:tcPr>
          <w:p>
            <w:r>
              <w:rPr>
                <w:rFonts w:ascii="Arial" w:hAnsi="Arial"/>
                <w:sz w:val="18"/>
              </w:rPr>
              <w:t>GRI 405-1</w:t>
            </w:r>
          </w:p>
        </w:tc>
        <w:tc>
          <w:tcPr>
            <w:tcW w:type="dxa" w:w="2257"/>
            <w:shd w:fill="F2F6FC" w:val="clear"/>
          </w:tcPr>
          <w:p>
            <w:r>
              <w:rPr>
                <w:rFonts w:ascii="Arial" w:hAnsi="Arial"/>
                <w:sz w:val="18"/>
              </w:rPr>
              <w:t>Diversity of governance bodies</w:t>
            </w:r>
          </w:p>
        </w:tc>
        <w:tc>
          <w:tcPr>
            <w:tcW w:type="dxa" w:w="2257"/>
            <w:shd w:fill="F2F6FC" w:val="clear"/>
          </w:tcPr>
          <w:p>
            <w:r>
              <w:rPr>
                <w:rFonts w:ascii="Arial" w:hAnsi="Arial"/>
                <w:sz w:val="18"/>
              </w:rPr>
              <w:t>Social</w:t>
            </w:r>
          </w:p>
        </w:tc>
        <w:tc>
          <w:tcPr>
            <w:tcW w:type="dxa" w:w="2257"/>
            <w:shd w:fill="F2F6FC" w:val="clear"/>
          </w:tcPr>
          <w:p>
            <w:r>
              <w:rPr>
                <w:rFonts w:ascii="Arial" w:hAnsi="Arial"/>
                <w:sz w:val="18"/>
              </w:rPr>
              <w:t>✅ Disclosed</w:t>
            </w:r>
          </w:p>
        </w:tc>
      </w:tr>
      <w:tr>
        <w:tc>
          <w:tcPr>
            <w:tcW w:type="dxa" w:w="2257"/>
          </w:tcPr>
          <w:p>
            <w:r>
              <w:rPr>
                <w:rFonts w:ascii="Arial" w:hAnsi="Arial"/>
                <w:sz w:val="18"/>
              </w:rPr>
              <w:t>GRI 406-1</w:t>
            </w:r>
          </w:p>
        </w:tc>
        <w:tc>
          <w:tcPr>
            <w:tcW w:type="dxa" w:w="2257"/>
          </w:tcPr>
          <w:p>
            <w:r>
              <w:rPr>
                <w:rFonts w:ascii="Arial" w:hAnsi="Arial"/>
                <w:sz w:val="18"/>
              </w:rPr>
              <w:t>Discrimination incidents</w:t>
            </w:r>
          </w:p>
        </w:tc>
        <w:tc>
          <w:tcPr>
            <w:tcW w:type="dxa" w:w="2257"/>
          </w:tcPr>
          <w:p>
            <w:r>
              <w:rPr>
                <w:rFonts w:ascii="Arial" w:hAnsi="Arial"/>
                <w:sz w:val="18"/>
              </w:rPr>
              <w:t>Social</w:t>
            </w:r>
          </w:p>
        </w:tc>
        <w:tc>
          <w:tcPr>
            <w:tcW w:type="dxa" w:w="2257"/>
          </w:tcPr>
          <w:p>
            <w:r>
              <w:rPr>
                <w:rFonts w:ascii="Arial" w:hAnsi="Arial"/>
                <w:sz w:val="18"/>
              </w:rPr>
              <w:t>✅ Disclosed</w:t>
            </w:r>
          </w:p>
        </w:tc>
      </w:tr>
    </w:tbl>
    <w:p>
      <w:r>
        <w:rPr>
          <w:rFonts w:ascii="Arial" w:hAnsi="Arial"/>
          <w:i/>
          <w:sz w:val="16"/>
        </w:rPr>
        <w:t>Source: GRI Standards 2021. Note: GRI 102 (2025) supersedes GRI 305 from 2027.</w:t>
      </w:r>
    </w:p>
    <w:p/>
    <w:p>
      <w:r>
        <w:br w:type="page"/>
      </w:r>
    </w:p>
    <w:p>
      <w:pPr>
        <w:pStyle w:val="Heading1"/>
        <w:keepNext/>
        <w:spacing w:before="480" w:after="240"/>
      </w:pPr>
      <w:r>
        <w:rPr>
          <w:rFonts w:ascii="Arial" w:hAnsi="Arial"/>
          <w:b/>
          <w:color w:val="1B3A6B"/>
          <w:sz w:val="36"/>
        </w:rPr>
        <w:t>Appendix E: Framework Disclosure Cross-Reference</w:t>
      </w:r>
    </w:p>
    <w:p>
      <w:pPr>
        <w:spacing w:after="160" w:line="276" w:lineRule="auto"/>
      </w:pPr>
      <w:r>
        <w:t>This report simultaneously addresses requirements from four sustainability reporting frameworks. The table below maps report sections to specific disclosure requirements per framework.</w:t>
      </w:r>
    </w:p>
    <w:p>
      <w:r>
        <w:rPr>
          <w:rFonts w:ascii="Arial" w:hAnsi="Arial"/>
          <w:b/>
          <w:sz w:val="20"/>
        </w:rPr>
        <w:t>Table 75: Multi-Framework Disclosure Mapping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 Section</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Emissions</w:t>
            </w:r>
          </w:p>
        </w:tc>
        <w:tc>
          <w:tcPr>
            <w:tcW w:type="dxa" w:w="1806"/>
          </w:tcPr>
          <w:p>
            <w:r>
              <w:rPr>
                <w:rFonts w:ascii="Arial" w:hAnsi="Arial"/>
                <w:sz w:val="18"/>
              </w:rPr>
              <w:t>305-1 (a-g)</w:t>
            </w:r>
          </w:p>
        </w:tc>
        <w:tc>
          <w:tcPr>
            <w:tcW w:type="dxa" w:w="1806"/>
          </w:tcPr>
          <w:p>
            <w:r>
              <w:rPr>
                <w:rFonts w:ascii="Arial" w:hAnsi="Arial"/>
                <w:sz w:val="18"/>
              </w:rPr>
              <w:t>Para 29(a)(i)</w:t>
            </w:r>
          </w:p>
        </w:tc>
        <w:tc>
          <w:tcPr>
            <w:tcW w:type="dxa" w:w="1806"/>
          </w:tcPr>
          <w:p>
            <w:r>
              <w:rPr>
                <w:rFonts w:ascii="Arial" w:hAnsi="Arial"/>
                <w:sz w:val="18"/>
              </w:rPr>
              <w:t>DR E1-6 §44</w:t>
            </w:r>
          </w:p>
        </w:tc>
        <w:tc>
          <w:tcPr>
            <w:tcW w:type="dxa" w:w="1806"/>
          </w:tcPr>
          <w:p>
            <w:r>
              <w:rPr>
                <w:rFonts w:ascii="Arial" w:hAnsi="Arial"/>
                <w:sz w:val="18"/>
              </w:rPr>
              <w:t>Lampiran II.A.1</w:t>
            </w:r>
          </w:p>
        </w:tc>
      </w:tr>
      <w:tr>
        <w:tc>
          <w:tcPr>
            <w:tcW w:type="dxa" w:w="1806"/>
            <w:shd w:fill="F2F6FC" w:val="clear"/>
          </w:tcPr>
          <w:p>
            <w:r>
              <w:rPr>
                <w:rFonts w:ascii="Arial" w:hAnsi="Arial"/>
                <w:sz w:val="18"/>
              </w:rPr>
              <w:t>Scope 2 Emissions</w:t>
            </w:r>
          </w:p>
        </w:tc>
        <w:tc>
          <w:tcPr>
            <w:tcW w:type="dxa" w:w="1806"/>
            <w:shd w:fill="F2F6FC" w:val="clear"/>
          </w:tcPr>
          <w:p>
            <w:r>
              <w:rPr>
                <w:rFonts w:ascii="Arial" w:hAnsi="Arial"/>
                <w:sz w:val="18"/>
              </w:rPr>
              <w:t>305-2 (a-e)</w:t>
            </w:r>
          </w:p>
        </w:tc>
        <w:tc>
          <w:tcPr>
            <w:tcW w:type="dxa" w:w="1806"/>
            <w:shd w:fill="F2F6FC" w:val="clear"/>
          </w:tcPr>
          <w:p>
            <w:r>
              <w:rPr>
                <w:rFonts w:ascii="Arial" w:hAnsi="Arial"/>
                <w:sz w:val="18"/>
              </w:rPr>
              <w:t>Para 29(a)(ii)</w:t>
            </w:r>
          </w:p>
        </w:tc>
        <w:tc>
          <w:tcPr>
            <w:tcW w:type="dxa" w:w="1806"/>
            <w:shd w:fill="F2F6FC" w:val="clear"/>
          </w:tcPr>
          <w:p>
            <w:r>
              <w:rPr>
                <w:rFonts w:ascii="Arial" w:hAnsi="Arial"/>
                <w:sz w:val="18"/>
              </w:rPr>
              <w:t>DR E1-6 §47-48</w:t>
            </w:r>
          </w:p>
        </w:tc>
        <w:tc>
          <w:tcPr>
            <w:tcW w:type="dxa" w:w="1806"/>
            <w:shd w:fill="F2F6FC" w:val="clear"/>
          </w:tcPr>
          <w:p>
            <w:r>
              <w:rPr>
                <w:rFonts w:ascii="Arial" w:hAnsi="Arial"/>
                <w:sz w:val="18"/>
              </w:rPr>
              <w:t>Lampiran II.A.2</w:t>
            </w:r>
          </w:p>
        </w:tc>
      </w:tr>
      <w:tr>
        <w:tc>
          <w:tcPr>
            <w:tcW w:type="dxa" w:w="1806"/>
          </w:tcPr>
          <w:p>
            <w:r>
              <w:rPr>
                <w:rFonts w:ascii="Arial" w:hAnsi="Arial"/>
                <w:sz w:val="18"/>
              </w:rPr>
              <w:t>Scope 3 / Financed</w:t>
            </w:r>
          </w:p>
        </w:tc>
        <w:tc>
          <w:tcPr>
            <w:tcW w:type="dxa" w:w="1806"/>
          </w:tcPr>
          <w:p>
            <w:r>
              <w:rPr>
                <w:rFonts w:ascii="Arial" w:hAnsi="Arial"/>
                <w:sz w:val="18"/>
              </w:rPr>
              <w:t>305-3 (a-f)</w:t>
            </w:r>
          </w:p>
        </w:tc>
        <w:tc>
          <w:tcPr>
            <w:tcW w:type="dxa" w:w="1806"/>
          </w:tcPr>
          <w:p>
            <w:r>
              <w:rPr>
                <w:rFonts w:ascii="Arial" w:hAnsi="Arial"/>
                <w:sz w:val="18"/>
              </w:rPr>
              <w:t>Para 29(a)(iv)</w:t>
            </w:r>
          </w:p>
        </w:tc>
        <w:tc>
          <w:tcPr>
            <w:tcW w:type="dxa" w:w="1806"/>
          </w:tcPr>
          <w:p>
            <w:r>
              <w:rPr>
                <w:rFonts w:ascii="Arial" w:hAnsi="Arial"/>
                <w:sz w:val="18"/>
              </w:rPr>
              <w:t>DR E1-6 §51-54</w:t>
            </w:r>
          </w:p>
        </w:tc>
        <w:tc>
          <w:tcPr>
            <w:tcW w:type="dxa" w:w="1806"/>
          </w:tcPr>
          <w:p>
            <w:r>
              <w:rPr>
                <w:rFonts w:ascii="Arial" w:hAnsi="Arial"/>
                <w:sz w:val="18"/>
              </w:rPr>
              <w:t>Lampiran II.A.3</w:t>
            </w:r>
          </w:p>
        </w:tc>
      </w:tr>
      <w:tr>
        <w:tc>
          <w:tcPr>
            <w:tcW w:type="dxa" w:w="1806"/>
            <w:shd w:fill="F2F6FC" w:val="clear"/>
          </w:tcPr>
          <w:p>
            <w:r>
              <w:rPr>
                <w:rFonts w:ascii="Arial" w:hAnsi="Arial"/>
                <w:sz w:val="18"/>
              </w:rPr>
              <w:t>Intensity</w:t>
            </w:r>
          </w:p>
        </w:tc>
        <w:tc>
          <w:tcPr>
            <w:tcW w:type="dxa" w:w="1806"/>
            <w:shd w:fill="F2F6FC" w:val="clear"/>
          </w:tcPr>
          <w:p>
            <w:r>
              <w:rPr>
                <w:rFonts w:ascii="Arial" w:hAnsi="Arial"/>
                <w:sz w:val="18"/>
              </w:rPr>
              <w:t>305-4 (a-d)</w:t>
            </w:r>
          </w:p>
        </w:tc>
        <w:tc>
          <w:tcPr>
            <w:tcW w:type="dxa" w:w="1806"/>
            <w:shd w:fill="F2F6FC" w:val="clear"/>
          </w:tcPr>
          <w:p>
            <w:r>
              <w:rPr>
                <w:rFonts w:ascii="Arial" w:hAnsi="Arial"/>
                <w:sz w:val="18"/>
              </w:rPr>
              <w:t>Para 29(b)</w:t>
            </w:r>
          </w:p>
        </w:tc>
        <w:tc>
          <w:tcPr>
            <w:tcW w:type="dxa" w:w="1806"/>
            <w:shd w:fill="F2F6FC" w:val="clear"/>
          </w:tcPr>
          <w:p>
            <w:r>
              <w:rPr>
                <w:rFonts w:ascii="Arial" w:hAnsi="Arial"/>
                <w:sz w:val="18"/>
              </w:rPr>
              <w:t>DR E1-6 §55-56</w:t>
            </w:r>
          </w:p>
        </w:tc>
        <w:tc>
          <w:tcPr>
            <w:tcW w:type="dxa" w:w="1806"/>
            <w:shd w:fill="F2F6FC" w:val="clear"/>
          </w:tcPr>
          <w:p>
            <w:r>
              <w:rPr>
                <w:rFonts w:ascii="Arial" w:hAnsi="Arial"/>
                <w:sz w:val="18"/>
              </w:rPr>
              <w:t>Lampiran II.B</w:t>
            </w:r>
          </w:p>
        </w:tc>
      </w:tr>
      <w:tr>
        <w:tc>
          <w:tcPr>
            <w:tcW w:type="dxa" w:w="1806"/>
          </w:tcPr>
          <w:p>
            <w:r>
              <w:rPr>
                <w:rFonts w:ascii="Arial" w:hAnsi="Arial"/>
                <w:sz w:val="18"/>
              </w:rPr>
              <w:t>Reduction Targets</w:t>
            </w:r>
          </w:p>
        </w:tc>
        <w:tc>
          <w:tcPr>
            <w:tcW w:type="dxa" w:w="1806"/>
          </w:tcPr>
          <w:p>
            <w:r>
              <w:rPr>
                <w:rFonts w:ascii="Arial" w:hAnsi="Arial"/>
                <w:sz w:val="18"/>
              </w:rPr>
              <w:t>305-5 (a-e)</w:t>
            </w:r>
          </w:p>
        </w:tc>
        <w:tc>
          <w:tcPr>
            <w:tcW w:type="dxa" w:w="1806"/>
          </w:tcPr>
          <w:p>
            <w:r>
              <w:rPr>
                <w:rFonts w:ascii="Arial" w:hAnsi="Arial"/>
                <w:sz w:val="18"/>
              </w:rPr>
              <w:t>Para 33-36</w:t>
            </w:r>
          </w:p>
        </w:tc>
        <w:tc>
          <w:tcPr>
            <w:tcW w:type="dxa" w:w="1806"/>
          </w:tcPr>
          <w:p>
            <w:r>
              <w:rPr>
                <w:rFonts w:ascii="Arial" w:hAnsi="Arial"/>
                <w:sz w:val="18"/>
              </w:rPr>
              <w:t>DR E1-4 §34-42</w:t>
            </w:r>
          </w:p>
        </w:tc>
        <w:tc>
          <w:tcPr>
            <w:tcW w:type="dxa" w:w="1806"/>
          </w:tcPr>
          <w:p>
            <w:r>
              <w:rPr>
                <w:rFonts w:ascii="Arial" w:hAnsi="Arial"/>
                <w:sz w:val="18"/>
              </w:rPr>
              <w:t>Lampiran II.C</w:t>
            </w:r>
          </w:p>
        </w:tc>
      </w:tr>
      <w:tr>
        <w:tc>
          <w:tcPr>
            <w:tcW w:type="dxa" w:w="1806"/>
            <w:shd w:fill="F2F6FC" w:val="clear"/>
          </w:tcPr>
          <w:p>
            <w:r>
              <w:rPr>
                <w:rFonts w:ascii="Arial" w:hAnsi="Arial"/>
                <w:sz w:val="18"/>
              </w:rPr>
              <w:t>Governance</w:t>
            </w:r>
          </w:p>
        </w:tc>
        <w:tc>
          <w:tcPr>
            <w:tcW w:type="dxa" w:w="1806"/>
            <w:shd w:fill="F2F6FC" w:val="clear"/>
          </w:tcPr>
          <w:p>
            <w:r>
              <w:rPr>
                <w:rFonts w:ascii="Arial" w:hAnsi="Arial"/>
                <w:sz w:val="18"/>
              </w:rPr>
              <w:t>N/A</w:t>
            </w:r>
          </w:p>
        </w:tc>
        <w:tc>
          <w:tcPr>
            <w:tcW w:type="dxa" w:w="1806"/>
            <w:shd w:fill="F2F6FC" w:val="clear"/>
          </w:tcPr>
          <w:p>
            <w:r>
              <w:rPr>
                <w:rFonts w:ascii="Arial" w:hAnsi="Arial"/>
                <w:sz w:val="18"/>
              </w:rPr>
              <w:t>Para 5-9</w:t>
            </w:r>
          </w:p>
        </w:tc>
        <w:tc>
          <w:tcPr>
            <w:tcW w:type="dxa" w:w="1806"/>
            <w:shd w:fill="F2F6FC" w:val="clear"/>
          </w:tcPr>
          <w:p>
            <w:r>
              <w:rPr>
                <w:rFonts w:ascii="Arial" w:hAnsi="Arial"/>
                <w:sz w:val="18"/>
              </w:rPr>
              <w:t>ESRS 2 GOV-1</w:t>
            </w:r>
          </w:p>
        </w:tc>
        <w:tc>
          <w:tcPr>
            <w:tcW w:type="dxa" w:w="1806"/>
            <w:shd w:fill="F2F6FC" w:val="clear"/>
          </w:tcPr>
          <w:p>
            <w:r>
              <w:rPr>
                <w:rFonts w:ascii="Arial" w:hAnsi="Arial"/>
                <w:sz w:val="18"/>
              </w:rPr>
              <w:t>Lampiran I</w:t>
            </w:r>
          </w:p>
        </w:tc>
      </w:tr>
      <w:tr>
        <w:tc>
          <w:tcPr>
            <w:tcW w:type="dxa" w:w="1806"/>
          </w:tcPr>
          <w:p>
            <w:r>
              <w:rPr>
                <w:rFonts w:ascii="Arial" w:hAnsi="Arial"/>
                <w:sz w:val="18"/>
              </w:rPr>
              <w:t>Transition Plan</w:t>
            </w:r>
          </w:p>
        </w:tc>
        <w:tc>
          <w:tcPr>
            <w:tcW w:type="dxa" w:w="1806"/>
          </w:tcPr>
          <w:p>
            <w:r>
              <w:rPr>
                <w:rFonts w:ascii="Arial" w:hAnsi="Arial"/>
                <w:sz w:val="18"/>
              </w:rPr>
              <w:t>N/A</w:t>
            </w:r>
          </w:p>
        </w:tc>
        <w:tc>
          <w:tcPr>
            <w:tcW w:type="dxa" w:w="1806"/>
          </w:tcPr>
          <w:p>
            <w:r>
              <w:rPr>
                <w:rFonts w:ascii="Arial" w:hAnsi="Arial"/>
                <w:sz w:val="18"/>
              </w:rPr>
              <w:t>Para 14-15</w:t>
            </w:r>
          </w:p>
        </w:tc>
        <w:tc>
          <w:tcPr>
            <w:tcW w:type="dxa" w:w="1806"/>
          </w:tcPr>
          <w:p>
            <w:r>
              <w:rPr>
                <w:rFonts w:ascii="Arial" w:hAnsi="Arial"/>
                <w:sz w:val="18"/>
              </w:rPr>
              <w:t>DR E1-1 §14-19</w:t>
            </w:r>
          </w:p>
        </w:tc>
        <w:tc>
          <w:tcPr>
            <w:tcW w:type="dxa" w:w="1806"/>
          </w:tcPr>
          <w:p>
            <w:r>
              <w:rPr>
                <w:rFonts w:ascii="Arial" w:hAnsi="Arial"/>
                <w:sz w:val="18"/>
              </w:rPr>
              <w:t>Lampiran III</w:t>
            </w:r>
          </w:p>
        </w:tc>
      </w:tr>
      <w:tr>
        <w:tc>
          <w:tcPr>
            <w:tcW w:type="dxa" w:w="1806"/>
            <w:shd w:fill="F2F6FC" w:val="clear"/>
          </w:tcPr>
          <w:p>
            <w:r>
              <w:rPr>
                <w:rFonts w:ascii="Arial" w:hAnsi="Arial"/>
                <w:sz w:val="18"/>
              </w:rPr>
              <w:t>Social Metrics</w:t>
            </w:r>
          </w:p>
        </w:tc>
        <w:tc>
          <w:tcPr>
            <w:tcW w:type="dxa" w:w="1806"/>
            <w:shd w:fill="F2F6FC" w:val="clear"/>
          </w:tcPr>
          <w:p>
            <w:r>
              <w:rPr>
                <w:rFonts w:ascii="Arial" w:hAnsi="Arial"/>
                <w:sz w:val="18"/>
              </w:rPr>
              <w:t>401/404/405/406</w:t>
            </w:r>
          </w:p>
        </w:tc>
        <w:tc>
          <w:tcPr>
            <w:tcW w:type="dxa" w:w="1806"/>
            <w:shd w:fill="F2F6FC" w:val="clear"/>
          </w:tcPr>
          <w:p>
            <w:r>
              <w:rPr>
                <w:rFonts w:ascii="Arial" w:hAnsi="Arial"/>
                <w:sz w:val="18"/>
              </w:rPr>
              <w:t>N/A</w:t>
            </w:r>
          </w:p>
        </w:tc>
        <w:tc>
          <w:tcPr>
            <w:tcW w:type="dxa" w:w="1806"/>
            <w:shd w:fill="F2F6FC" w:val="clear"/>
          </w:tcPr>
          <w:p>
            <w:r>
              <w:rPr>
                <w:rFonts w:ascii="Arial" w:hAnsi="Arial"/>
                <w:sz w:val="18"/>
              </w:rPr>
              <w:t>ESRS S1</w:t>
            </w:r>
          </w:p>
        </w:tc>
        <w:tc>
          <w:tcPr>
            <w:tcW w:type="dxa" w:w="1806"/>
            <w:shd w:fill="F2F6FC" w:val="clear"/>
          </w:tcPr>
          <w:p>
            <w:r>
              <w:rPr>
                <w:rFonts w:ascii="Arial" w:hAnsi="Arial"/>
                <w:sz w:val="18"/>
              </w:rPr>
              <w:t>Lampiran IV</w:t>
            </w:r>
          </w:p>
        </w:tc>
      </w:tr>
    </w:tbl>
    <w:p>
      <w:r>
        <w:rPr>
          <w:rFonts w:ascii="Arial" w:hAnsi="Arial"/>
          <w:i/>
          <w:sz w:val="16"/>
        </w:rPr>
        <w:t>Source: Cross-reference per framework publication (GRI 2021, IFRS S2 2023, ESRS 2023, POJK 51/2017)</w:t>
      </w:r>
    </w:p>
    <w:p/>
    <w:p>
      <w:r>
        <w:br w:type="page"/>
      </w:r>
    </w:p>
    <w:p>
      <w:pPr>
        <w:pStyle w:val="Heading1"/>
        <w:keepNext/>
        <w:spacing w:before="480" w:after="240"/>
      </w:pPr>
      <w:r>
        <w:rPr>
          <w:rFonts w:ascii="Arial" w:hAnsi="Arial"/>
          <w:b/>
          <w:color w:val="1B3A6B"/>
          <w:sz w:val="36"/>
        </w:rPr>
        <w:t>Appendix F: Glossary of Terms &amp; Abbreviations</w:t>
      </w:r>
    </w:p>
    <w:p>
      <w:r>
        <w:rPr>
          <w:rFonts w:ascii="Arial" w:hAnsi="Arial"/>
          <w:b/>
          <w:sz w:val="20"/>
        </w:rPr>
        <w:t>Table 76: Glossary</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Term / Abbreviation</w:t>
            </w:r>
          </w:p>
        </w:tc>
        <w:tc>
          <w:tcPr>
            <w:tcW w:type="dxa" w:w="4514"/>
            <w:shd w:fill="1B3A6B" w:val="clear"/>
          </w:tcPr>
          <w:p>
            <w:r>
              <w:rPr>
                <w:rFonts w:ascii="Arial" w:hAnsi="Arial"/>
                <w:b/>
                <w:color w:val="FFFFFF"/>
                <w:sz w:val="18"/>
              </w:rPr>
              <w:t>Definition</w:t>
            </w:r>
          </w:p>
        </w:tc>
      </w:tr>
      <w:tr>
        <w:tc>
          <w:tcPr>
            <w:tcW w:type="dxa" w:w="4514"/>
          </w:tcPr>
          <w:p>
            <w:r>
              <w:rPr>
                <w:rFonts w:ascii="Arial" w:hAnsi="Arial"/>
                <w:sz w:val="18"/>
              </w:rPr>
              <w:t>tCO₂e</w:t>
            </w:r>
          </w:p>
        </w:tc>
        <w:tc>
          <w:tcPr>
            <w:tcW w:type="dxa" w:w="4514"/>
          </w:tcPr>
          <w:p>
            <w:r>
              <w:rPr>
                <w:rFonts w:ascii="Arial" w:hAnsi="Arial"/>
                <w:sz w:val="18"/>
              </w:rPr>
              <w:t>Tonnes of carbon dioxide equivalent</w:t>
            </w:r>
          </w:p>
        </w:tc>
      </w:tr>
      <w:tr>
        <w:tc>
          <w:tcPr>
            <w:tcW w:type="dxa" w:w="4514"/>
            <w:shd w:fill="F2F6FC" w:val="clear"/>
          </w:tcPr>
          <w:p>
            <w:r>
              <w:rPr>
                <w:rFonts w:ascii="Arial" w:hAnsi="Arial"/>
                <w:sz w:val="18"/>
              </w:rPr>
              <w:t>GHG</w:t>
            </w:r>
          </w:p>
        </w:tc>
        <w:tc>
          <w:tcPr>
            <w:tcW w:type="dxa" w:w="4514"/>
            <w:shd w:fill="F2F6FC" w:val="clear"/>
          </w:tcPr>
          <w:p>
            <w:r>
              <w:rPr>
                <w:rFonts w:ascii="Arial" w:hAnsi="Arial"/>
                <w:sz w:val="18"/>
              </w:rPr>
              <w:t>Greenhouse Gas</w:t>
            </w:r>
          </w:p>
        </w:tc>
      </w:tr>
      <w:tr>
        <w:tc>
          <w:tcPr>
            <w:tcW w:type="dxa" w:w="4514"/>
          </w:tcPr>
          <w:p>
            <w:r>
              <w:rPr>
                <w:rFonts w:ascii="Arial" w:hAnsi="Arial"/>
                <w:sz w:val="18"/>
              </w:rPr>
              <w:t>GWP</w:t>
            </w:r>
          </w:p>
        </w:tc>
        <w:tc>
          <w:tcPr>
            <w:tcW w:type="dxa" w:w="4514"/>
          </w:tcPr>
          <w:p>
            <w:r>
              <w:rPr>
                <w:rFonts w:ascii="Arial" w:hAnsi="Arial"/>
                <w:sz w:val="18"/>
              </w:rPr>
              <w:t>Global Warming Potential (100-year, IPCC AR6)</w:t>
            </w:r>
          </w:p>
        </w:tc>
      </w:tr>
      <w:tr>
        <w:tc>
          <w:tcPr>
            <w:tcW w:type="dxa" w:w="4514"/>
            <w:shd w:fill="F2F6FC" w:val="clear"/>
          </w:tcPr>
          <w:p>
            <w:r>
              <w:rPr>
                <w:rFonts w:ascii="Arial" w:hAnsi="Arial"/>
                <w:sz w:val="18"/>
              </w:rPr>
              <w:t>PCAF</w:t>
            </w:r>
          </w:p>
        </w:tc>
        <w:tc>
          <w:tcPr>
            <w:tcW w:type="dxa" w:w="4514"/>
            <w:shd w:fill="F2F6FC" w:val="clear"/>
          </w:tcPr>
          <w:p>
            <w:r>
              <w:rPr>
                <w:rFonts w:ascii="Arial" w:hAnsi="Arial"/>
                <w:sz w:val="18"/>
              </w:rPr>
              <w:t>Partnership for Carbon Accounting Financials</w:t>
            </w:r>
          </w:p>
        </w:tc>
      </w:tr>
      <w:tr>
        <w:tc>
          <w:tcPr>
            <w:tcW w:type="dxa" w:w="4514"/>
          </w:tcPr>
          <w:p>
            <w:r>
              <w:rPr>
                <w:rFonts w:ascii="Arial" w:hAnsi="Arial"/>
                <w:sz w:val="18"/>
              </w:rPr>
              <w:t>SBTi</w:t>
            </w:r>
          </w:p>
        </w:tc>
        <w:tc>
          <w:tcPr>
            <w:tcW w:type="dxa" w:w="4514"/>
          </w:tcPr>
          <w:p>
            <w:r>
              <w:rPr>
                <w:rFonts w:ascii="Arial" w:hAnsi="Arial"/>
                <w:sz w:val="18"/>
              </w:rPr>
              <w:t>Science Based Targets initiative</w:t>
            </w:r>
          </w:p>
        </w:tc>
      </w:tr>
      <w:tr>
        <w:tc>
          <w:tcPr>
            <w:tcW w:type="dxa" w:w="4514"/>
            <w:shd w:fill="F2F6FC" w:val="clear"/>
          </w:tcPr>
          <w:p>
            <w:r>
              <w:rPr>
                <w:rFonts w:ascii="Arial" w:hAnsi="Arial"/>
                <w:sz w:val="18"/>
              </w:rPr>
              <w:t>NZBA</w:t>
            </w:r>
          </w:p>
        </w:tc>
        <w:tc>
          <w:tcPr>
            <w:tcW w:type="dxa" w:w="4514"/>
            <w:shd w:fill="F2F6FC" w:val="clear"/>
          </w:tcPr>
          <w:p>
            <w:r>
              <w:rPr>
                <w:rFonts w:ascii="Arial" w:hAnsi="Arial"/>
                <w:sz w:val="18"/>
              </w:rPr>
              <w:t>Net-Zero Banking Alliance</w:t>
            </w:r>
          </w:p>
        </w:tc>
      </w:tr>
      <w:tr>
        <w:tc>
          <w:tcPr>
            <w:tcW w:type="dxa" w:w="4514"/>
          </w:tcPr>
          <w:p>
            <w:r>
              <w:rPr>
                <w:rFonts w:ascii="Arial" w:hAnsi="Arial"/>
                <w:sz w:val="18"/>
              </w:rPr>
              <w:t>NDC</w:t>
            </w:r>
          </w:p>
        </w:tc>
        <w:tc>
          <w:tcPr>
            <w:tcW w:type="dxa" w:w="4514"/>
          </w:tcPr>
          <w:p>
            <w:r>
              <w:rPr>
                <w:rFonts w:ascii="Arial" w:hAnsi="Arial"/>
                <w:sz w:val="18"/>
              </w:rPr>
              <w:t>Nationally Determined Contribution (Paris Agreement)</w:t>
            </w:r>
          </w:p>
        </w:tc>
      </w:tr>
      <w:tr>
        <w:tc>
          <w:tcPr>
            <w:tcW w:type="dxa" w:w="4514"/>
            <w:shd w:fill="F2F6FC" w:val="clear"/>
          </w:tcPr>
          <w:p>
            <w:r>
              <w:rPr>
                <w:rFonts w:ascii="Arial" w:hAnsi="Arial"/>
                <w:sz w:val="18"/>
              </w:rPr>
              <w:t>RECs</w:t>
            </w:r>
          </w:p>
        </w:tc>
        <w:tc>
          <w:tcPr>
            <w:tcW w:type="dxa" w:w="4514"/>
            <w:shd w:fill="F2F6FC" w:val="clear"/>
          </w:tcPr>
          <w:p>
            <w:r>
              <w:rPr>
                <w:rFonts w:ascii="Arial" w:hAnsi="Arial"/>
                <w:sz w:val="18"/>
              </w:rPr>
              <w:t>Renewable Energy Certificates</w:t>
            </w:r>
          </w:p>
        </w:tc>
      </w:tr>
      <w:tr>
        <w:tc>
          <w:tcPr>
            <w:tcW w:type="dxa" w:w="4514"/>
          </w:tcPr>
          <w:p>
            <w:r>
              <w:rPr>
                <w:rFonts w:ascii="Arial" w:hAnsi="Arial"/>
                <w:sz w:val="18"/>
              </w:rPr>
              <w:t>PPA</w:t>
            </w:r>
          </w:p>
        </w:tc>
        <w:tc>
          <w:tcPr>
            <w:tcW w:type="dxa" w:w="4514"/>
          </w:tcPr>
          <w:p>
            <w:r>
              <w:rPr>
                <w:rFonts w:ascii="Arial" w:hAnsi="Arial"/>
                <w:sz w:val="18"/>
              </w:rPr>
              <w:t>Power Purchase Agreement</w:t>
            </w:r>
          </w:p>
        </w:tc>
      </w:tr>
      <w:tr>
        <w:tc>
          <w:tcPr>
            <w:tcW w:type="dxa" w:w="4514"/>
            <w:shd w:fill="F2F6FC" w:val="clear"/>
          </w:tcPr>
          <w:p>
            <w:r>
              <w:rPr>
                <w:rFonts w:ascii="Arial" w:hAnsi="Arial"/>
                <w:sz w:val="18"/>
              </w:rPr>
              <w:t>EF</w:t>
            </w:r>
          </w:p>
        </w:tc>
        <w:tc>
          <w:tcPr>
            <w:tcW w:type="dxa" w:w="4514"/>
            <w:shd w:fill="F2F6FC" w:val="clear"/>
          </w:tcPr>
          <w:p>
            <w:r>
              <w:rPr>
                <w:rFonts w:ascii="Arial" w:hAnsi="Arial"/>
                <w:sz w:val="18"/>
              </w:rPr>
              <w:t>Emission Factor</w:t>
            </w:r>
          </w:p>
        </w:tc>
      </w:tr>
      <w:tr>
        <w:tc>
          <w:tcPr>
            <w:tcW w:type="dxa" w:w="4514"/>
          </w:tcPr>
          <w:p>
            <w:r>
              <w:rPr>
                <w:rFonts w:ascii="Arial" w:hAnsi="Arial"/>
                <w:sz w:val="18"/>
              </w:rPr>
              <w:t>FTE</w:t>
            </w:r>
          </w:p>
        </w:tc>
        <w:tc>
          <w:tcPr>
            <w:tcW w:type="dxa" w:w="4514"/>
          </w:tcPr>
          <w:p>
            <w:r>
              <w:rPr>
                <w:rFonts w:ascii="Arial" w:hAnsi="Arial"/>
                <w:sz w:val="18"/>
              </w:rPr>
              <w:t>Full-Time Equivalent (headcount)</w:t>
            </w:r>
          </w:p>
        </w:tc>
      </w:tr>
      <w:tr>
        <w:tc>
          <w:tcPr>
            <w:tcW w:type="dxa" w:w="4514"/>
            <w:shd w:fill="F2F6FC" w:val="clear"/>
          </w:tcPr>
          <w:p>
            <w:r>
              <w:rPr>
                <w:rFonts w:ascii="Arial" w:hAnsi="Arial"/>
                <w:sz w:val="18"/>
              </w:rPr>
              <w:t>YoY</w:t>
            </w:r>
          </w:p>
        </w:tc>
        <w:tc>
          <w:tcPr>
            <w:tcW w:type="dxa" w:w="4514"/>
            <w:shd w:fill="F2F6FC" w:val="clear"/>
          </w:tcPr>
          <w:p>
            <w:r>
              <w:rPr>
                <w:rFonts w:ascii="Arial" w:hAnsi="Arial"/>
                <w:sz w:val="18"/>
              </w:rPr>
              <w:t>Year-over-Year</w:t>
            </w:r>
          </w:p>
        </w:tc>
      </w:tr>
      <w:tr>
        <w:tc>
          <w:tcPr>
            <w:tcW w:type="dxa" w:w="4514"/>
          </w:tcPr>
          <w:p>
            <w:r>
              <w:rPr>
                <w:rFonts w:ascii="Arial" w:hAnsi="Arial"/>
                <w:sz w:val="18"/>
              </w:rPr>
              <w:t>EEIO</w:t>
            </w:r>
          </w:p>
        </w:tc>
        <w:tc>
          <w:tcPr>
            <w:tcW w:type="dxa" w:w="4514"/>
          </w:tcPr>
          <w:p>
            <w:r>
              <w:rPr>
                <w:rFonts w:ascii="Arial" w:hAnsi="Arial"/>
                <w:sz w:val="18"/>
              </w:rPr>
              <w:t>Environmentally Extended Input-Output (model)</w:t>
            </w:r>
          </w:p>
        </w:tc>
      </w:tr>
      <w:tr>
        <w:tc>
          <w:tcPr>
            <w:tcW w:type="dxa" w:w="4514"/>
            <w:shd w:fill="F2F6FC" w:val="clear"/>
          </w:tcPr>
          <w:p>
            <w:r>
              <w:rPr>
                <w:rFonts w:ascii="Arial" w:hAnsi="Arial"/>
                <w:sz w:val="18"/>
              </w:rPr>
              <w:t>GRI</w:t>
            </w:r>
          </w:p>
        </w:tc>
        <w:tc>
          <w:tcPr>
            <w:tcW w:type="dxa" w:w="4514"/>
            <w:shd w:fill="F2F6FC" w:val="clear"/>
          </w:tcPr>
          <w:p>
            <w:r>
              <w:rPr>
                <w:rFonts w:ascii="Arial" w:hAnsi="Arial"/>
                <w:sz w:val="18"/>
              </w:rPr>
              <w:t>Global Reporting Initiative</w:t>
            </w:r>
          </w:p>
        </w:tc>
      </w:tr>
      <w:tr>
        <w:tc>
          <w:tcPr>
            <w:tcW w:type="dxa" w:w="4514"/>
          </w:tcPr>
          <w:p>
            <w:r>
              <w:rPr>
                <w:rFonts w:ascii="Arial" w:hAnsi="Arial"/>
                <w:sz w:val="18"/>
              </w:rPr>
              <w:t>IFRS S2</w:t>
            </w:r>
          </w:p>
        </w:tc>
        <w:tc>
          <w:tcPr>
            <w:tcW w:type="dxa" w:w="4514"/>
          </w:tcPr>
          <w:p>
            <w:r>
              <w:rPr>
                <w:rFonts w:ascii="Arial" w:hAnsi="Arial"/>
                <w:sz w:val="18"/>
              </w:rPr>
              <w:t>IFRS Sustainability Disclosure Standard S2 (Climate)</w:t>
            </w:r>
          </w:p>
        </w:tc>
      </w:tr>
      <w:tr>
        <w:tc>
          <w:tcPr>
            <w:tcW w:type="dxa" w:w="4514"/>
            <w:shd w:fill="F2F6FC" w:val="clear"/>
          </w:tcPr>
          <w:p>
            <w:r>
              <w:rPr>
                <w:rFonts w:ascii="Arial" w:hAnsi="Arial"/>
                <w:sz w:val="18"/>
              </w:rPr>
              <w:t>ESRS E1</w:t>
            </w:r>
          </w:p>
        </w:tc>
        <w:tc>
          <w:tcPr>
            <w:tcW w:type="dxa" w:w="4514"/>
            <w:shd w:fill="F2F6FC" w:val="clear"/>
          </w:tcPr>
          <w:p>
            <w:r>
              <w:rPr>
                <w:rFonts w:ascii="Arial" w:hAnsi="Arial"/>
                <w:sz w:val="18"/>
              </w:rPr>
              <w:t>European Sustainability Reporting Standard E1 (Climate Change)</w:t>
            </w:r>
          </w:p>
        </w:tc>
      </w:tr>
      <w:tr>
        <w:tc>
          <w:tcPr>
            <w:tcW w:type="dxa" w:w="4514"/>
          </w:tcPr>
          <w:p>
            <w:r>
              <w:rPr>
                <w:rFonts w:ascii="Arial" w:hAnsi="Arial"/>
                <w:sz w:val="18"/>
              </w:rPr>
              <w:t>CSRD</w:t>
            </w:r>
          </w:p>
        </w:tc>
        <w:tc>
          <w:tcPr>
            <w:tcW w:type="dxa" w:w="4514"/>
          </w:tcPr>
          <w:p>
            <w:r>
              <w:rPr>
                <w:rFonts w:ascii="Arial" w:hAnsi="Arial"/>
                <w:sz w:val="18"/>
              </w:rPr>
              <w:t>Corporate Sustainability Reporting Directive (EU)</w:t>
            </w:r>
          </w:p>
        </w:tc>
      </w:tr>
      <w:tr>
        <w:tc>
          <w:tcPr>
            <w:tcW w:type="dxa" w:w="4514"/>
            <w:shd w:fill="F2F6FC" w:val="clear"/>
          </w:tcPr>
          <w:p>
            <w:r>
              <w:rPr>
                <w:rFonts w:ascii="Arial" w:hAnsi="Arial"/>
                <w:sz w:val="18"/>
              </w:rPr>
              <w:t>OJK</w:t>
            </w:r>
          </w:p>
        </w:tc>
        <w:tc>
          <w:tcPr>
            <w:tcW w:type="dxa" w:w="4514"/>
            <w:shd w:fill="F2F6FC" w:val="clear"/>
          </w:tcPr>
          <w:p>
            <w:r>
              <w:rPr>
                <w:rFonts w:ascii="Arial" w:hAnsi="Arial"/>
                <w:sz w:val="18"/>
              </w:rPr>
              <w:t>Otoritas Jasa Keuangan (Financial Services Authority, Indonesia)</w:t>
            </w:r>
          </w:p>
        </w:tc>
      </w:tr>
      <w:tr>
        <w:tc>
          <w:tcPr>
            <w:tcW w:type="dxa" w:w="4514"/>
          </w:tcPr>
          <w:p>
            <w:r>
              <w:rPr>
                <w:rFonts w:ascii="Arial" w:hAnsi="Arial"/>
                <w:sz w:val="18"/>
              </w:rPr>
              <w:t>POJK</w:t>
            </w:r>
          </w:p>
        </w:tc>
        <w:tc>
          <w:tcPr>
            <w:tcW w:type="dxa" w:w="4514"/>
          </w:tcPr>
          <w:p>
            <w:r>
              <w:rPr>
                <w:rFonts w:ascii="Arial" w:hAnsi="Arial"/>
                <w:sz w:val="18"/>
              </w:rPr>
              <w:t>Peraturan Otoritas Jasa Keuangan (OJK Regulation)</w:t>
            </w:r>
          </w:p>
        </w:tc>
      </w:tr>
      <w:tr>
        <w:tc>
          <w:tcPr>
            <w:tcW w:type="dxa" w:w="4514"/>
            <w:shd w:fill="F2F6FC" w:val="clear"/>
          </w:tcPr>
          <w:p>
            <w:r>
              <w:rPr>
                <w:rFonts w:ascii="Arial" w:hAnsi="Arial"/>
                <w:sz w:val="18"/>
              </w:rPr>
              <w:t>PSPK</w:t>
            </w:r>
          </w:p>
        </w:tc>
        <w:tc>
          <w:tcPr>
            <w:tcW w:type="dxa" w:w="4514"/>
            <w:shd w:fill="F2F6FC" w:val="clear"/>
          </w:tcPr>
          <w:p>
            <w:r>
              <w:rPr>
                <w:rFonts w:ascii="Arial" w:hAnsi="Arial"/>
                <w:sz w:val="18"/>
              </w:rPr>
              <w:t>Penerapan Keuangan Berkelanjutan (Sustainable Finance Implementation)</w:t>
            </w:r>
          </w:p>
        </w:tc>
      </w:tr>
      <w:tr>
        <w:tc>
          <w:tcPr>
            <w:tcW w:type="dxa" w:w="4514"/>
          </w:tcPr>
          <w:p>
            <w:r>
              <w:rPr>
                <w:rFonts w:ascii="Arial" w:hAnsi="Arial"/>
                <w:sz w:val="18"/>
              </w:rPr>
              <w:t>PLN</w:t>
            </w:r>
          </w:p>
        </w:tc>
        <w:tc>
          <w:tcPr>
            <w:tcW w:type="dxa" w:w="4514"/>
          </w:tcPr>
          <w:p>
            <w:r>
              <w:rPr>
                <w:rFonts w:ascii="Arial" w:hAnsi="Arial"/>
                <w:sz w:val="18"/>
              </w:rPr>
              <w:t>Perusahaan Listrik Negara (State Electricity Company, Indonesia)</w:t>
            </w:r>
          </w:p>
        </w:tc>
      </w:tr>
      <w:tr>
        <w:tc>
          <w:tcPr>
            <w:tcW w:type="dxa" w:w="4514"/>
            <w:shd w:fill="F2F6FC" w:val="clear"/>
          </w:tcPr>
          <w:p>
            <w:r>
              <w:rPr>
                <w:rFonts w:ascii="Arial" w:hAnsi="Arial"/>
                <w:sz w:val="18"/>
              </w:rPr>
              <w:t>DJK-ESDM</w:t>
            </w:r>
          </w:p>
        </w:tc>
        <w:tc>
          <w:tcPr>
            <w:tcW w:type="dxa" w:w="4514"/>
            <w:shd w:fill="F2F6FC" w:val="clear"/>
          </w:tcPr>
          <w:p>
            <w:r>
              <w:rPr>
                <w:rFonts w:ascii="Arial" w:hAnsi="Arial"/>
                <w:sz w:val="18"/>
              </w:rPr>
              <w:t>Directorate General of Electricity, Ministry of Energy</w:t>
            </w:r>
          </w:p>
        </w:tc>
      </w:tr>
    </w:tbl>
    <w:p>
      <w:r>
        <w:rPr>
          <w:rFonts w:ascii="Arial" w:hAnsi="Arial"/>
          <w:i/>
          <w:sz w:val="16"/>
        </w:rPr>
        <w:t>Source: Compiled from GHG Protocol, PCAF Standard, and regulatory publications</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arn:aws:states:us-east-1:061039769766:execution:ESGReportGenerationStateMachine:d3185ed7-dddd-40cc-a32d-63204b539f71</dc:description>
  <cp:lastModifiedBy/>
  <cp:revision>1</cp:revision>
  <dcterms:created xsi:type="dcterms:W3CDTF">2013-12-23T23:15:00Z</dcterms:created>
  <dcterms:modified xsi:type="dcterms:W3CDTF">2013-12-23T23:15:00Z</dcterms:modified>
  <cp:category>ESG Sustainability Report</cp:category>
</cp:coreProperties>
</file>