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MULTI_FRAMEWORK</w:t>
      </w:r>
    </w:p>
    <w:p>
      <w:pPr>
        <w:jc w:val="center"/>
      </w:pPr>
      <w:r>
        <w:rPr>
          <w:rFonts w:ascii="Arial" w:hAnsi="Arial"/>
          <w:sz w:val="22"/>
        </w:rPr>
        <w:t>Generated: 2026-06-12 17:26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separate"/>
      </w:r>
      <w:r>
        <w:rPr>
          <w:i/>
          <w:color w:val="999999"/>
        </w:rPr>
        <w:t>Table of Contents — Update this field (Ctrl+A → F9)</w:t>
      </w:r>
      <w:r>
        <w:fldChar w:fldCharType="end"/>
      </w:r>
    </w:p>
    <w:p>
      <w:r>
        <w:br w:type="page"/>
      </w:r>
    </w:p>
    <w:p>
      <w:r>
        <w:br w:type="page"/>
      </w:r>
    </w:p>
    <w:p>
      <w:pPr>
        <w:pStyle w:val="Heading1"/>
        <w:keepNext/>
        <w:spacing w:before="480" w:after="240"/>
      </w:pPr>
      <w:r>
        <w:rPr>
          <w:rFonts w:ascii="Arial" w:hAnsi="Arial"/>
          <w:b/>
          <w:color w:val="1B3A6B"/>
          <w:sz w:val="36"/>
        </w:rPr>
        <w:t>Executive Summary</w:t>
      </w:r>
    </w:p>
    <w:p>
      <w:pPr>
        <w:pStyle w:val="Heading2"/>
        <w:keepNext/>
        <w:spacing w:before="360" w:after="160"/>
      </w:pPr>
      <w:r>
        <w:rPr>
          <w:rFonts w:ascii="Arial" w:hAnsi="Arial"/>
          <w:b/>
          <w:color w:val="3D6094"/>
          <w:sz w:val="28"/>
        </w:rPr>
        <w:t>Strategic Brief</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22024814.173</w:t>
            </w:r>
            <w:r>
              <w:rPr>
                <w:color w:val="757575"/>
                <w:sz w:val="18"/>
              </w:rPr>
              <w:t xml:space="preserve"> tCO₂e</w:t>
            </w:r>
          </w:p>
        </w:tc>
        <w:tc>
          <w:tcPr>
            <w:tcW w:type="dxa" w:w="2257"/>
            <w:shd w:fill="F2F6FA" w:val="clear"/>
          </w:tcPr>
          <w:p>
            <w:pPr>
              <w:jc w:val="center"/>
            </w:pPr>
            <w:r>
              <w:rPr>
                <w:b/>
                <w:color w:val="1B3A6B"/>
                <w:sz w:val="36"/>
              </w:rPr>
              <w:t>239.400139</w:t>
            </w:r>
            <w:r>
              <w:rPr>
                <w:color w:val="757575"/>
                <w:sz w:val="18"/>
              </w:rPr>
              <w:t xml:space="preserve"> tCO₂e/IDR Bn</w:t>
            </w:r>
          </w:p>
        </w:tc>
        <w:tc>
          <w:tcPr>
            <w:tcW w:type="dxa" w:w="2257"/>
            <w:shd w:fill="F2F6FA" w:val="clear"/>
          </w:tcPr>
          <w:p>
            <w:pPr>
              <w:jc w:val="center"/>
            </w:pPr>
            <w:r>
              <w:rPr>
                <w:b/>
                <w:color w:val="1B3A6B"/>
                <w:sz w:val="36"/>
              </w:rPr>
              <w:t>3.36</w:t>
            </w:r>
            <w:r>
              <w:rPr>
                <w:color w:val="757575"/>
                <w:sz w:val="18"/>
              </w:rPr>
              <w:t xml:space="preserve"> score (1-5 scale)</w:t>
            </w:r>
          </w:p>
        </w:tc>
        <w:tc>
          <w:tcPr>
            <w:tcW w:type="dxa" w:w="2257"/>
            <w:shd w:fill="F2F6FA" w:val="clear"/>
          </w:tcPr>
          <w:p>
            <w:pPr>
              <w:jc w:val="center"/>
            </w:pPr>
            <w:r>
              <w:rPr>
                <w:b/>
                <w:color w:val="1B3A6B"/>
                <w:sz w:val="36"/>
              </w:rPr>
              <w:t>69.53</w:t>
            </w:r>
            <w:r>
              <w:rPr>
                <w:color w:val="757575"/>
                <w:sz w:val="18"/>
              </w:rPr>
              <w:t xml:space="preserve"> %</w:t>
            </w:r>
          </w:p>
        </w:tc>
      </w:tr>
      <w:tr>
        <w:tc>
          <w:tcPr>
            <w:tcW w:type="dxa" w:w="2257"/>
            <w:shd w:fill="F2F6FA" w:val="clear"/>
          </w:tcPr>
          <w:p>
            <w:pPr>
              <w:jc w:val="center"/>
            </w:pPr>
            <w:r>
              <w:rPr>
                <w:color w:val="757575"/>
                <w:sz w:val="16"/>
              </w:rPr>
              <w:t>Total GHG Emissions (Scope 1+2+3)</w:t>
            </w:r>
          </w:p>
        </w:tc>
        <w:tc>
          <w:tcPr>
            <w:tcW w:type="dxa" w:w="2257"/>
            <w:shd w:fill="F2F6FA" w:val="clear"/>
          </w:tcPr>
          <w:p>
            <w:pPr>
              <w:jc w:val="center"/>
            </w:pPr>
            <w:r>
              <w:rPr>
                <w:color w:val="757575"/>
                <w:sz w:val="16"/>
              </w:rPr>
              <w:t>Revenue Intensity</w:t>
            </w:r>
          </w:p>
        </w:tc>
        <w:tc>
          <w:tcPr>
            <w:tcW w:type="dxa" w:w="2257"/>
            <w:shd w:fill="F2F6FA" w:val="clear"/>
          </w:tcPr>
          <w:p>
            <w:pPr>
              <w:jc w:val="center"/>
            </w:pPr>
            <w:r>
              <w:rPr>
                <w:color w:val="757575"/>
                <w:sz w:val="16"/>
              </w:rPr>
              <w:t>PCAF Data Quality Score</w:t>
            </w:r>
          </w:p>
        </w:tc>
        <w:tc>
          <w:tcPr>
            <w:tcW w:type="dxa" w:w="2257"/>
            <w:shd w:fill="F2F6FA" w:val="clear"/>
          </w:tcPr>
          <w:p>
            <w:pPr>
              <w:jc w:val="center"/>
            </w:pPr>
            <w:r>
              <w:rPr>
                <w:color w:val="757575"/>
                <w:sz w:val="16"/>
              </w:rPr>
              <w:t>Financed Emissions Coverage</w:t>
            </w:r>
          </w:p>
        </w:tc>
      </w:tr>
    </w:tbl>
    <w:p/>
    <w:p>
      <w:pPr>
        <w:spacing w:after="160" w:line="276" w:lineRule="auto"/>
      </w:pPr>
      <w:r>
        <w:rPr>
          <w:rFonts w:ascii="Arial" w:hAnsi="Arial"/>
          <w:sz w:val="22"/>
        </w:rPr>
        <w:t>The institution's total greenhouse gas footprint for 2024 reached 22,024,814.173 tCO₂e across all operational and financed activities, representing a 4.07% reduction from the prior year baseline of 22,959,814.188 tCO₂e. This decline was primarily driven by improved portfolio composition in high-emission sectors, with financed emissions decreasing despite a 2.03% increase in workforce. Revenue intensity improved significantly to 239.400139 tCO₂e per IDR billion, an 11.37% reduction that outpaced absolute emission reductions, demonstrating enhanced carbon efficiency. The Board must prioritize strengthening data quality infrastructure (current PCAF score: 3.36/5.0) and establishing science-based reduction targets to maintain competitive positioning as regulatory requirements intensify under Indonesia's enhanced NDC commitments.</w:t>
      </w:r>
    </w:p>
    <w:p/>
    <w:p>
      <w:r>
        <w:rPr>
          <w:b/>
          <w:color w:val="2E7D32"/>
          <w:sz w:val="24"/>
        </w:rPr>
        <w:t>⚡ Priority Actions</w:t>
      </w:r>
    </w:p>
    <w:p>
      <w:r>
        <w:rPr>
          <w:b/>
          <w:sz w:val="22"/>
        </w:rPr>
        <w:t>🔴 1. Establish Science-Based Targets (SBTi) for financed emissions — Required for investor credibility and regulatory alignment with OJK PSPK roadmap (Timeline: Q2 2025 commitment, Q4 2025 validation)</w:t>
      </w:r>
    </w:p>
    <w:p>
      <w:r>
        <w:rPr>
          <w:b/>
          <w:sz w:val="22"/>
        </w:rPr>
        <w:t>🔴 2. Upgrade PCAF data quality to ≤3.0 portfolio average — Current 3.36 score limits assurance readiness and peer comparability; target 20% improvement through enhanced borrower engagement (Timeline: 12-month phased rollout)</w:t>
      </w:r>
    </w:p>
    <w:p>
      <w:r>
        <w:rPr>
          <w:b/>
          <w:sz w:val="22"/>
        </w:rPr>
        <w:t>🟡 3. Implement sector-specific transition plans for top 3 emitting sectors (Oil &amp; Gas, Cement, Steel) — These represent 85.93% of financed emissions and face material transition risk under carbon pricing scenarios (Timeline: Draft by Q3 2025)</w:t>
      </w:r>
    </w:p>
    <w:p/>
    <w:p>
      <w:pPr>
        <w:spacing w:after="160" w:line="276" w:lineRule="auto"/>
      </w:pPr>
      <w:r>
        <w:rPr>
          <w:rFonts w:ascii="Arial" w:hAnsi="Arial"/>
          <w:sz w:val="22"/>
        </w:rPr>
        <w:t>Forward-looking statement: Subject to market conditions and regulatory developments, the institution expects continued gradual reduction in financed emissions intensity through 2026 as renewable energy financing scales and high-carbon sector exposure is managed within risk appetite limits. Achievement of a 10% absolute reduction by 2027 (vs. 2024 baseline) depends on successful implementation of borrower engagement programs and availability of transition finance instruments, with peer institutions in Southeast Asia targeting 8-12% reductions over similar timeframes under their respective net-zero commitments.</w:t>
      </w:r>
    </w:p>
    <w:p>
      <w:r>
        <w:rPr>
          <w:rFonts w:ascii="Arial" w:hAnsi="Arial"/>
          <w:b/>
          <w:sz w:val="20"/>
        </w:rPr>
        <w:t>Table 2: ESG Scorecard</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Dimension</w:t>
            </w:r>
          </w:p>
        </w:tc>
        <w:tc>
          <w:tcPr>
            <w:tcW w:type="dxa" w:w="3010"/>
            <w:shd w:fill="1B3A6B" w:val="clear"/>
          </w:tcPr>
          <w:p>
            <w:r>
              <w:rPr>
                <w:rFonts w:ascii="Arial" w:hAnsi="Arial"/>
                <w:b/>
                <w:color w:val="FFFFFF"/>
                <w:sz w:val="18"/>
              </w:rPr>
              <w:t>Rating</w:t>
            </w:r>
          </w:p>
        </w:tc>
        <w:tc>
          <w:tcPr>
            <w:tcW w:type="dxa" w:w="3010"/>
            <w:shd w:fill="1B3A6B" w:val="clear"/>
          </w:tcPr>
          <w:p>
            <w:r>
              <w:rPr>
                <w:rFonts w:ascii="Arial" w:hAnsi="Arial"/>
                <w:b/>
                <w:color w:val="FFFFFF"/>
                <w:sz w:val="18"/>
              </w:rPr>
              <w:t>Key Driver</w:t>
            </w:r>
          </w:p>
        </w:tc>
      </w:tr>
      <w:tr>
        <w:tc>
          <w:tcPr>
            <w:tcW w:type="dxa" w:w="3010"/>
          </w:tcPr>
          <w:p>
            <w:r>
              <w:rPr>
                <w:rFonts w:ascii="Arial" w:hAnsi="Arial"/>
                <w:sz w:val="18"/>
              </w:rPr>
              <w:t>Environmental</w:t>
            </w:r>
          </w:p>
        </w:tc>
        <w:tc>
          <w:tcPr>
            <w:tcW w:type="dxa" w:w="3010"/>
          </w:tcPr>
          <w:p>
            <w:r>
              <w:rPr>
                <w:rFonts w:ascii="Arial" w:hAnsi="Arial"/>
                <w:sz w:val="18"/>
              </w:rPr>
              <w:t>🟢</w:t>
            </w:r>
          </w:p>
        </w:tc>
        <w:tc>
          <w:tcPr>
            <w:tcW w:type="dxa" w:w="3010"/>
          </w:tcPr>
          <w:p>
            <w:r>
              <w:rPr>
                <w:rFonts w:ascii="Arial" w:hAnsi="Arial"/>
                <w:sz w:val="18"/>
              </w:rPr>
              <w:t>Total emissions decreased 4.07% YoY; revenue intensity improved 11.37%</w:t>
            </w:r>
          </w:p>
        </w:tc>
      </w:tr>
      <w:tr>
        <w:tc>
          <w:tcPr>
            <w:tcW w:type="dxa" w:w="3010"/>
            <w:shd w:fill="F2F6FC" w:val="clear"/>
          </w:tcPr>
          <w:p>
            <w:r>
              <w:rPr>
                <w:rFonts w:ascii="Arial" w:hAnsi="Arial"/>
                <w:sz w:val="18"/>
              </w:rPr>
              <w:t>Social</w:t>
            </w:r>
          </w:p>
        </w:tc>
        <w:tc>
          <w:tcPr>
            <w:tcW w:type="dxa" w:w="3010"/>
            <w:shd w:fill="F2F6FC" w:val="clear"/>
          </w:tcPr>
          <w:p>
            <w:r>
              <w:rPr>
                <w:rFonts w:ascii="Arial" w:hAnsi="Arial"/>
                <w:sz w:val="18"/>
              </w:rPr>
              <w:t>🟡</w:t>
            </w:r>
          </w:p>
        </w:tc>
        <w:tc>
          <w:tcPr>
            <w:tcW w:type="dxa" w:w="3010"/>
            <w:shd w:fill="F2F6FC" w:val="clear"/>
          </w:tcPr>
          <w:p>
            <w:r>
              <w:rPr>
                <w:rFonts w:ascii="Arial" w:hAnsi="Arial"/>
                <w:sz w:val="18"/>
              </w:rPr>
              <w:t>Female representation 42.32% (above 40% threshold) but training hours 49.3 (above 30hr threshold); however, female % declined 3.88pp YoY</w:t>
            </w:r>
          </w:p>
        </w:tc>
      </w:tr>
      <w:tr>
        <w:tc>
          <w:tcPr>
            <w:tcW w:type="dxa" w:w="3010"/>
          </w:tcPr>
          <w:p>
            <w:r>
              <w:rPr>
                <w:rFonts w:ascii="Arial" w:hAnsi="Arial"/>
                <w:sz w:val="18"/>
              </w:rPr>
              <w:t>Governance</w:t>
            </w:r>
          </w:p>
        </w:tc>
        <w:tc>
          <w:tcPr>
            <w:tcW w:type="dxa" w:w="3010"/>
          </w:tcPr>
          <w:p>
            <w:r>
              <w:rPr>
                <w:rFonts w:ascii="Arial" w:hAnsi="Arial"/>
                <w:sz w:val="18"/>
              </w:rPr>
              <w:t>🟡</w:t>
            </w:r>
          </w:p>
        </w:tc>
        <w:tc>
          <w:tcPr>
            <w:tcW w:type="dxa" w:w="3010"/>
          </w:tcPr>
          <w:p>
            <w:r>
              <w:rPr>
                <w:rFonts w:ascii="Arial" w:hAnsi="Arial"/>
                <w:sz w:val="18"/>
              </w:rPr>
              <w:t>PCAF methodology implemented and data quality monitoring active; however, no science-based targets established and assurance level is 'none'</w:t>
            </w:r>
          </w:p>
        </w:tc>
      </w:tr>
    </w:tbl>
    <w:p>
      <w:r>
        <w:rPr>
          <w:rFonts w:ascii="Arial" w:hAnsi="Arial"/>
          <w:i/>
          <w:sz w:val="16"/>
        </w:rPr>
        <w:t>Source: Ratings derived from quantitative thresholds applied to reported metrics</w:t>
      </w:r>
    </w:p>
    <w:p/>
    <w:p>
      <w:r>
        <w:rPr>
          <w:rFonts w:ascii="Arial" w:hAnsi="Arial"/>
          <w:b/>
          <w:sz w:val="20"/>
        </w:rPr>
        <w:t>Table 4: Risk &amp; Opportunity Matrix</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r>
          </w:p>
        </w:tc>
        <w:tc>
          <w:tcPr>
            <w:tcW w:type="dxa" w:w="3010"/>
            <w:shd w:fill="1B3A6B" w:val="clear"/>
          </w:tcPr>
          <w:p>
            <w:r>
              <w:rPr>
                <w:rFonts w:ascii="Arial" w:hAnsi="Arial"/>
                <w:b/>
                <w:color w:val="FFFFFF"/>
                <w:sz w:val="18"/>
              </w:rPr>
              <w:t>Short-term (1-2 years)</w:t>
            </w:r>
          </w:p>
        </w:tc>
        <w:tc>
          <w:tcPr>
            <w:tcW w:type="dxa" w:w="3010"/>
            <w:shd w:fill="1B3A6B" w:val="clear"/>
          </w:tcPr>
          <w:p>
            <w:r>
              <w:rPr>
                <w:rFonts w:ascii="Arial" w:hAnsi="Arial"/>
                <w:b/>
                <w:color w:val="FFFFFF"/>
                <w:sz w:val="18"/>
              </w:rPr>
              <w:t>Medium-term (3-5 years)</w:t>
            </w:r>
          </w:p>
        </w:tc>
      </w:tr>
      <w:tr>
        <w:tc>
          <w:tcPr>
            <w:tcW w:type="dxa" w:w="3010"/>
          </w:tcPr>
          <w:p>
            <w:r>
              <w:rPr>
                <w:rFonts w:ascii="Arial" w:hAnsi="Arial"/>
                <w:sz w:val="18"/>
              </w:rPr>
              <w:t>Risks</w:t>
            </w:r>
          </w:p>
        </w:tc>
        <w:tc>
          <w:tcPr>
            <w:tcW w:type="dxa" w:w="3010"/>
          </w:tcPr>
          <w:p>
            <w:r>
              <w:rPr>
                <w:rFonts w:ascii="Arial" w:hAnsi="Arial"/>
                <w:sz w:val="18"/>
              </w:rPr>
              <w:t>• Carbon pricing introduction in Indonesia could increase borrower default risk in high-emission sectors</w:t>
              <w:br/>
              <w:t>• PCAF data quality gaps limit assurance readiness and investor confidence</w:t>
            </w:r>
          </w:p>
        </w:tc>
        <w:tc>
          <w:tcPr>
            <w:tcW w:type="dxa" w:w="3010"/>
          </w:tcPr>
          <w:p>
            <w:r>
              <w:rPr>
                <w:rFonts w:ascii="Arial" w:hAnsi="Arial"/>
                <w:sz w:val="18"/>
              </w:rPr>
              <w:t>• Stranded asset risk in Oil &amp; Gas and Coal portfolios under 1.5°C scenarios</w:t>
              <w:br/>
              <w:t>• Regulatory penalties for non-compliance with OJK PSPK mandatory disclosure requirements (2026+)</w:t>
            </w:r>
          </w:p>
        </w:tc>
      </w:tr>
      <w:tr>
        <w:tc>
          <w:tcPr>
            <w:tcW w:type="dxa" w:w="3010"/>
            <w:shd w:fill="F2F6FC" w:val="clear"/>
          </w:tcPr>
          <w:p>
            <w:r>
              <w:rPr>
                <w:rFonts w:ascii="Arial" w:hAnsi="Arial"/>
                <w:sz w:val="18"/>
              </w:rPr>
              <w:t>Opportunities</w:t>
            </w:r>
          </w:p>
        </w:tc>
        <w:tc>
          <w:tcPr>
            <w:tcW w:type="dxa" w:w="3010"/>
            <w:shd w:fill="F2F6FC" w:val="clear"/>
          </w:tcPr>
          <w:p>
            <w:r>
              <w:rPr>
                <w:rFonts w:ascii="Arial" w:hAnsi="Arial"/>
                <w:sz w:val="18"/>
              </w:rPr>
              <w:t>• First-mover advantage in transition finance products for decarbonization</w:t>
              <w:br/>
              <w:t>• Enhanced client relationships through climate advisory services</w:t>
            </w:r>
          </w:p>
        </w:tc>
        <w:tc>
          <w:tcPr>
            <w:tcW w:type="dxa" w:w="3010"/>
            <w:shd w:fill="F2F6FC" w:val="clear"/>
          </w:tcPr>
          <w:p>
            <w:r>
              <w:rPr>
                <w:rFonts w:ascii="Arial" w:hAnsi="Arial"/>
                <w:sz w:val="18"/>
              </w:rPr>
              <w:t>• Portfolio reallocation to renewable energy and green buildings capturing growth in sustainable sectors</w:t>
              <w:br/>
              <w:t>• Premium valuation from ESG-focused investors as disclosure maturity advances</w:t>
            </w:r>
          </w:p>
        </w:tc>
      </w:tr>
    </w:tbl>
    <w:p>
      <w:r>
        <w:rPr>
          <w:rFonts w:ascii="Arial" w:hAnsi="Arial"/>
          <w:i/>
          <w:sz w:val="16"/>
        </w:rPr>
        <w:t>Source: Risk and opportunity assessment based on portfolio composition and regulatory trajectory</w:t>
      </w:r>
    </w:p>
    <w:p/>
    <w:p>
      <w:r>
        <w:br w:type="page"/>
      </w:r>
    </w:p>
    <w:p>
      <w:pPr>
        <w:pStyle w:val="Heading2"/>
        <w:keepNext/>
        <w:spacing w:before="360" w:after="160"/>
      </w:pPr>
      <w:r>
        <w:rPr>
          <w:rFonts w:ascii="Arial" w:hAnsi="Arial"/>
          <w:b/>
          <w:color w:val="3D6094"/>
          <w:sz w:val="28"/>
        </w:rPr>
        <w:t>Detailed Performance Summary</w:t>
      </w:r>
    </w:p>
    <w:p>
      <w:pPr>
        <w:spacing w:after="160" w:line="276" w:lineRule="auto"/>
      </w:pPr>
      <w:r>
        <w:rPr>
          <w:rFonts w:ascii="Arial" w:hAnsi="Arial"/>
          <w:sz w:val="22"/>
        </w:rPr>
        <w:t>The institution's environmental performance in 2024 demonstrates measurable progress in carbon management across operational and financed activities. Scope 1 direct emissions from owned facilities totaled 3,402.997 tCO₂e, comprising natural gas combustion (1,199.7924 tCO₂e) and diesel generators (2,203.2044 tCO₂e), representing a 2.36% increase from 3,324.521 tCO₂e in 2023 due to expanded branch network operations. Scope 2 indirect emissions from purchased electricity reached 44,612.518 tCO₂e on a market-based accounting basis, remaining essentially flat year-over-year (44,598.118 tCO₂e in 2023) despite workforce growth, indicating improved energy efficiency per employee. The location-based Scope 2 total of 44,613.876 tCO₂e reflects grid emission factors without renewable energy certificate adjustments. Scope 3 Category 15 financed emissions constitute 99.78% of the total footprint at 21,976,797.3 tCO₂e gross exposure, with PCAF attribution methodology yielding 15,280,174.14 tCO₂e weighted emissions after applying attribution factors based on the institution's proportional share of borrower financing.</w:t>
      </w:r>
    </w:p>
    <w:p>
      <w:pPr>
        <w:spacing w:after="160" w:line="276" w:lineRule="auto"/>
      </w:pPr>
      <w:r>
        <w:rPr>
          <w:rFonts w:ascii="Arial" w:hAnsi="Arial"/>
          <w:sz w:val="22"/>
        </w:rPr>
        <w:t>Financed emissions analysis reveals significant concentration in carbon-intensive sectors, with the top three contributors—Energy (Oil &amp; Gas), Manufacturing (Cement), and Manufacturing (Steel)—accounting for 85.93% of total financed emissions despite representing only 20.70% of the loan portfolio by outstanding value. The Energy sector alone contributes 43.56% of financed emissions (6,753,948.71 tCO₂e weighted) from 102.669871 trillion IDR in outstanding loans, yielding an emission intensity of 93.242 tCO₂e per IDR billion. In contrast, lower-carbon sectors such as Financial Services (0.34% of emissions, 13.41% of portfolio) and Real Estate Residential (0.49% of emissions, 10.93% of portfolio) demonstrate the portfolio's structural carbon intensity challenge. The portfolio-weighted PCAF data quality score of 3.36 indicates reliance on sector-average emission factors for the majority of exposures, with data quality scores ranging from 3.21 (Retail Trade) to 3.42 (Financial Services), highlighting the need for enhanced borrower-specific data collection to improve accuracy and enable effective engagement on transition planning.</w:t>
      </w:r>
    </w:p>
    <w:p>
      <w:pPr>
        <w:spacing w:after="160" w:line="276" w:lineRule="auto"/>
      </w:pPr>
      <w:r>
        <w:rPr>
          <w:rFonts w:ascii="Arial" w:hAnsi="Arial"/>
          <w:sz w:val="22"/>
        </w:rPr>
        <w:t>Social performance metrics for 2024 show mixed progress against diversity and talent development objectives. Total workforce reached 24,997 full-time equivalents, a 2.03% increase from 24,500 in 2023, with female representation declining to 42.32% from 46.20% in the prior year, a 3.88 percentage point decrease that requires strategic intervention to reverse. Female representation in management positions also declined to 26.67% from 28.45%, a 1.78 percentage point reduction that indicates challenges in advancing women to leadership roles despite overall workforce growth. Voluntary turnover improved significantly to 8.45% from 14.24% in 2023, a 40.66% reduction that suggests enhanced employee retention strategies and organizational stability. Training intensity decreased to 49.3 hours per FTE from 64.14 hours in 2023, a 23.14% decline that may reflect operational pressures but warrants attention to maintain workforce capability development. The institution recorded 2 discrimination cases during the reporting period, down from 3 in 2023, with all cases resolved through established grievance mechanisms and remediation protocols.</w:t>
      </w:r>
    </w:p>
    <w:p>
      <w:pPr>
        <w:spacing w:after="160" w:line="276" w:lineRule="auto"/>
      </w:pPr>
      <w:r>
        <w:rPr>
          <w:rFonts w:ascii="Arial" w:hAnsi="Arial"/>
          <w:sz w:val="22"/>
        </w:rPr>
        <w:t>Data quality assessment reveals opportunities for enhanced measurement rigor and assurance readiness. The PCAF portfolio-weighted data quality score of 3.36 indicates that financed emissions calculations rely predominantly on sector-average emission factors (PCAF Score 3) rather than borrower-specific activity data (Score 1-2) or physical asset-level measurements. The 30.47% difference between gross financed emissions (21,976,797.3 tCO₂e) and weighted financed emissions (15,280,174.14 tCO₂e) reflects attribution methodology application but also highlights the confidence gap in absolute exposure quantification. Operational emissions (Scope 1 and 2) are measured with high confidence (data quality score 1) based on utility bills and fuel consumption records from all facilities. These figures have not been subject to external assurance for the current reporting period, representing a gap relative to peer institutions that have achieved limited or reasonable assurance over GHG inventories. Advancing data quality to a portfolio average of ≤3.0 would require systematic borrower engagement to collect facility-level energy consumption data for at least 40% of high-emission exposures, with estimated implementation timeline of 12-18 months and resource requirements for dedicated data collection infrastructure.</w:t>
      </w:r>
    </w:p>
    <w:p>
      <w:r>
        <w:rPr>
          <w:rFonts w:ascii="Arial" w:hAnsi="Arial"/>
          <w:b/>
          <w:sz w:val="20"/>
        </w:rPr>
        <w:t>Table 6: Environmental Performance Summary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FY2023</w:t>
            </w:r>
          </w:p>
        </w:tc>
        <w:tc>
          <w:tcPr>
            <w:tcW w:type="dxa" w:w="1806"/>
            <w:shd w:fill="1B3A6B" w:val="clear"/>
          </w:tcPr>
          <w:p>
            <w:r>
              <w:rPr>
                <w:rFonts w:ascii="Arial" w:hAnsi="Arial"/>
                <w:b/>
                <w:color w:val="FFFFFF"/>
                <w:sz w:val="18"/>
              </w:rPr>
              <w:t>FY2024</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Scope 1 Direct Emissions</w:t>
            </w:r>
          </w:p>
        </w:tc>
        <w:tc>
          <w:tcPr>
            <w:tcW w:type="dxa" w:w="1806"/>
          </w:tcPr>
          <w:p>
            <w:pPr>
              <w:jc w:val="right"/>
            </w:pPr>
            <w:r>
              <w:rPr>
                <w:rFonts w:ascii="Arial" w:hAnsi="Arial"/>
                <w:sz w:val="18"/>
              </w:rPr>
              <w:t>3,324.521</w:t>
            </w:r>
          </w:p>
        </w:tc>
        <w:tc>
          <w:tcPr>
            <w:tcW w:type="dxa" w:w="1806"/>
          </w:tcPr>
          <w:p>
            <w:pPr>
              <w:jc w:val="right"/>
            </w:pPr>
            <w:r>
              <w:rPr>
                <w:rFonts w:ascii="Arial" w:hAnsi="Arial"/>
                <w:sz w:val="18"/>
              </w:rPr>
              <w:t>3,402.997</w:t>
            </w:r>
          </w:p>
        </w:tc>
        <w:tc>
          <w:tcPr>
            <w:tcW w:type="dxa" w:w="1806"/>
          </w:tcPr>
          <w:p>
            <w:pPr>
              <w:jc w:val="right"/>
            </w:pPr>
            <w:r>
              <w:rPr>
                <w:rFonts w:ascii="Arial" w:hAnsi="Arial"/>
                <w:sz w:val="18"/>
              </w:rPr>
              <w:t>+2.36%</w:t>
            </w:r>
          </w:p>
        </w:tc>
        <w:tc>
          <w:tcPr>
            <w:tcW w:type="dxa" w:w="1806"/>
          </w:tcPr>
          <w:p>
            <w:r>
              <w:rPr>
                <w:rFonts w:ascii="Arial" w:hAnsi="Arial"/>
                <w:sz w:val="18"/>
              </w:rPr>
              <w:t>tCO₂e</w:t>
            </w:r>
          </w:p>
        </w:tc>
      </w:tr>
      <w:tr>
        <w:tc>
          <w:tcPr>
            <w:tcW w:type="dxa" w:w="1806"/>
            <w:shd w:fill="F2F6FC" w:val="clear"/>
          </w:tcPr>
          <w:p>
            <w:r>
              <w:rPr>
                <w:rFonts w:ascii="Arial" w:hAnsi="Arial"/>
                <w:sz w:val="18"/>
              </w:rPr>
              <w:t>Scope 2 Indirect (Location-based)</w:t>
            </w:r>
          </w:p>
        </w:tc>
        <w:tc>
          <w:tcPr>
            <w:tcW w:type="dxa" w:w="1806"/>
            <w:shd w:fill="F2F6FC" w:val="clear"/>
          </w:tcPr>
          <w:p>
            <w:pPr>
              <w:jc w:val="right"/>
            </w:pPr>
            <w:r>
              <w:rPr>
                <w:rFonts w:ascii="Arial" w:hAnsi="Arial"/>
                <w:sz w:val="18"/>
              </w:rPr>
              <w:t>44,599.440</w:t>
            </w:r>
          </w:p>
        </w:tc>
        <w:tc>
          <w:tcPr>
            <w:tcW w:type="dxa" w:w="1806"/>
            <w:shd w:fill="F2F6FC" w:val="clear"/>
          </w:tcPr>
          <w:p>
            <w:pPr>
              <w:jc w:val="right"/>
            </w:pPr>
            <w:r>
              <w:rPr>
                <w:rFonts w:ascii="Arial" w:hAnsi="Arial"/>
                <w:sz w:val="18"/>
              </w:rPr>
              <w:t>44,613.876</w:t>
            </w:r>
          </w:p>
        </w:tc>
        <w:tc>
          <w:tcPr>
            <w:tcW w:type="dxa" w:w="1806"/>
            <w:shd w:fill="F2F6FC" w:val="clear"/>
          </w:tcPr>
          <w:p>
            <w:pPr>
              <w:jc w:val="right"/>
            </w:pPr>
            <w:r>
              <w:rPr>
                <w:rFonts w:ascii="Arial" w:hAnsi="Arial"/>
                <w:sz w:val="18"/>
              </w:rPr>
              <w:t>+0.03%</w:t>
            </w:r>
          </w:p>
        </w:tc>
        <w:tc>
          <w:tcPr>
            <w:tcW w:type="dxa" w:w="1806"/>
            <w:shd w:fill="F2F6FC" w:val="clear"/>
          </w:tcPr>
          <w:p>
            <w:r>
              <w:rPr>
                <w:rFonts w:ascii="Arial" w:hAnsi="Arial"/>
                <w:sz w:val="18"/>
              </w:rPr>
              <w:t>tCO₂e</w:t>
            </w:r>
          </w:p>
        </w:tc>
      </w:tr>
      <w:tr>
        <w:tc>
          <w:tcPr>
            <w:tcW w:type="dxa" w:w="1806"/>
          </w:tcPr>
          <w:p>
            <w:r>
              <w:rPr>
                <w:rFonts w:ascii="Arial" w:hAnsi="Arial"/>
                <w:sz w:val="18"/>
              </w:rPr>
              <w:t>Scope 2 Indirect (Market-based)</w:t>
            </w:r>
          </w:p>
        </w:tc>
        <w:tc>
          <w:tcPr>
            <w:tcW w:type="dxa" w:w="1806"/>
          </w:tcPr>
          <w:p>
            <w:pPr>
              <w:jc w:val="right"/>
            </w:pPr>
            <w:r>
              <w:rPr>
                <w:rFonts w:ascii="Arial" w:hAnsi="Arial"/>
                <w:sz w:val="18"/>
              </w:rPr>
              <w:t>44,598.118</w:t>
            </w:r>
          </w:p>
        </w:tc>
        <w:tc>
          <w:tcPr>
            <w:tcW w:type="dxa" w:w="1806"/>
          </w:tcPr>
          <w:p>
            <w:pPr>
              <w:jc w:val="right"/>
            </w:pPr>
            <w:r>
              <w:rPr>
                <w:rFonts w:ascii="Arial" w:hAnsi="Arial"/>
                <w:sz w:val="18"/>
              </w:rPr>
              <w:t>44,612.518</w:t>
            </w:r>
          </w:p>
        </w:tc>
        <w:tc>
          <w:tcPr>
            <w:tcW w:type="dxa" w:w="1806"/>
          </w:tcPr>
          <w:p>
            <w:pPr>
              <w:jc w:val="right"/>
            </w:pPr>
            <w:r>
              <w:rPr>
                <w:rFonts w:ascii="Arial" w:hAnsi="Arial"/>
                <w:sz w:val="18"/>
              </w:rPr>
              <w:t>+0.03%</w:t>
            </w:r>
          </w:p>
        </w:tc>
        <w:tc>
          <w:tcPr>
            <w:tcW w:type="dxa" w:w="1806"/>
          </w:tcPr>
          <w:p>
            <w:r>
              <w:rPr>
                <w:rFonts w:ascii="Arial" w:hAnsi="Arial"/>
                <w:sz w:val="18"/>
              </w:rPr>
              <w:t>tCO₂e</w:t>
            </w:r>
          </w:p>
        </w:tc>
      </w:tr>
      <w:tr>
        <w:tc>
          <w:tcPr>
            <w:tcW w:type="dxa" w:w="1806"/>
            <w:shd w:fill="F2F6FC" w:val="clear"/>
          </w:tcPr>
          <w:p>
            <w:r>
              <w:rPr>
                <w:rFonts w:ascii="Arial" w:hAnsi="Arial"/>
                <w:sz w:val="18"/>
              </w:rPr>
              <w:t>Scope 3 Cat 15 Financed (Gross)</w:t>
            </w:r>
          </w:p>
        </w:tc>
        <w:tc>
          <w:tcPr>
            <w:tcW w:type="dxa" w:w="1806"/>
            <w:shd w:fill="F2F6FC" w:val="clear"/>
          </w:tcPr>
          <w:p>
            <w:pPr>
              <w:jc w:val="right"/>
            </w:pPr>
            <w:r>
              <w:rPr>
                <w:rFonts w:ascii="Arial" w:hAnsi="Arial"/>
                <w:sz w:val="18"/>
              </w:rPr>
              <w:t>22,911,991.050</w:t>
            </w:r>
          </w:p>
        </w:tc>
        <w:tc>
          <w:tcPr>
            <w:tcW w:type="dxa" w:w="1806"/>
            <w:shd w:fill="F2F6FC" w:val="clear"/>
          </w:tcPr>
          <w:p>
            <w:pPr>
              <w:jc w:val="right"/>
            </w:pPr>
            <w:r>
              <w:rPr>
                <w:rFonts w:ascii="Arial" w:hAnsi="Arial"/>
                <w:sz w:val="18"/>
              </w:rPr>
              <w:t>21,976,797.300</w:t>
            </w:r>
          </w:p>
        </w:tc>
        <w:tc>
          <w:tcPr>
            <w:tcW w:type="dxa" w:w="1806"/>
            <w:shd w:fill="F2F6FC" w:val="clear"/>
          </w:tcPr>
          <w:p>
            <w:pPr>
              <w:jc w:val="right"/>
            </w:pPr>
            <w:r>
              <w:rPr>
                <w:rFonts w:ascii="Arial" w:hAnsi="Arial"/>
                <w:sz w:val="18"/>
              </w:rPr>
              <w:t>-4.08%</w:t>
            </w:r>
          </w:p>
        </w:tc>
        <w:tc>
          <w:tcPr>
            <w:tcW w:type="dxa" w:w="1806"/>
            <w:shd w:fill="F2F6FC" w:val="clear"/>
          </w:tcPr>
          <w:p>
            <w:r>
              <w:rPr>
                <w:rFonts w:ascii="Arial" w:hAnsi="Arial"/>
                <w:sz w:val="18"/>
              </w:rPr>
              <w:t>tCO₂e</w:t>
            </w:r>
          </w:p>
        </w:tc>
      </w:tr>
      <w:tr>
        <w:tc>
          <w:tcPr>
            <w:tcW w:type="dxa" w:w="1806"/>
          </w:tcPr>
          <w:p>
            <w:r>
              <w:rPr>
                <w:rFonts w:ascii="Arial" w:hAnsi="Arial"/>
                <w:sz w:val="18"/>
              </w:rPr>
              <w:t>Scope 3 Cat 15 Financed (Weighted)</w:t>
            </w:r>
          </w:p>
        </w:tc>
        <w:tc>
          <w:tcPr>
            <w:tcW w:type="dxa" w:w="1806"/>
          </w:tcPr>
          <w:p>
            <w:pPr>
              <w:jc w:val="right"/>
            </w:pPr>
            <w:r>
              <w:rPr>
                <w:rFonts w:ascii="Arial" w:hAnsi="Arial"/>
                <w:sz w:val="18"/>
              </w:rPr>
              <w:t>15,576,239.570</w:t>
            </w:r>
          </w:p>
        </w:tc>
        <w:tc>
          <w:tcPr>
            <w:tcW w:type="dxa" w:w="1806"/>
          </w:tcPr>
          <w:p>
            <w:pPr>
              <w:jc w:val="right"/>
            </w:pPr>
            <w:r>
              <w:rPr>
                <w:rFonts w:ascii="Arial" w:hAnsi="Arial"/>
                <w:sz w:val="18"/>
              </w:rPr>
              <w:t>15,280,174.140</w:t>
            </w:r>
          </w:p>
        </w:tc>
        <w:tc>
          <w:tcPr>
            <w:tcW w:type="dxa" w:w="1806"/>
          </w:tcPr>
          <w:p>
            <w:pPr>
              <w:jc w:val="right"/>
            </w:pPr>
            <w:r>
              <w:rPr>
                <w:rFonts w:ascii="Arial" w:hAnsi="Arial"/>
                <w:sz w:val="18"/>
              </w:rPr>
              <w:t>-1.90%</w:t>
            </w:r>
          </w:p>
        </w:tc>
        <w:tc>
          <w:tcPr>
            <w:tcW w:type="dxa" w:w="1806"/>
          </w:tcPr>
          <w:p>
            <w:r>
              <w:rPr>
                <w:rFonts w:ascii="Arial" w:hAnsi="Arial"/>
                <w:sz w:val="18"/>
              </w:rPr>
              <w:t>tCO₂e</w:t>
            </w:r>
          </w:p>
        </w:tc>
      </w:tr>
      <w:tr>
        <w:tc>
          <w:tcPr>
            <w:tcW w:type="dxa" w:w="1806"/>
            <w:shd w:fill="F2F6FC" w:val="clear"/>
          </w:tcPr>
          <w:p>
            <w:r>
              <w:rPr>
                <w:rFonts w:ascii="Arial" w:hAnsi="Arial"/>
                <w:sz w:val="18"/>
              </w:rPr>
              <w:t>Total GHG (Market-based)</w:t>
            </w:r>
          </w:p>
        </w:tc>
        <w:tc>
          <w:tcPr>
            <w:tcW w:type="dxa" w:w="1806"/>
            <w:shd w:fill="F2F6FC" w:val="clear"/>
          </w:tcPr>
          <w:p>
            <w:pPr>
              <w:jc w:val="right"/>
            </w:pPr>
            <w:r>
              <w:rPr>
                <w:rFonts w:ascii="Arial" w:hAnsi="Arial"/>
                <w:sz w:val="18"/>
              </w:rPr>
              <w:t>22,959,814.188</w:t>
            </w:r>
          </w:p>
        </w:tc>
        <w:tc>
          <w:tcPr>
            <w:tcW w:type="dxa" w:w="1806"/>
            <w:shd w:fill="F2F6FC" w:val="clear"/>
          </w:tcPr>
          <w:p>
            <w:pPr>
              <w:jc w:val="right"/>
            </w:pPr>
            <w:r>
              <w:rPr>
                <w:rFonts w:ascii="Arial" w:hAnsi="Arial"/>
                <w:sz w:val="18"/>
              </w:rPr>
              <w:t>22,024,814.173</w:t>
            </w:r>
          </w:p>
        </w:tc>
        <w:tc>
          <w:tcPr>
            <w:tcW w:type="dxa" w:w="1806"/>
            <w:shd w:fill="F2F6FC" w:val="clear"/>
          </w:tcPr>
          <w:p>
            <w:pPr>
              <w:jc w:val="right"/>
            </w:pPr>
            <w:r>
              <w:rPr>
                <w:rFonts w:ascii="Arial" w:hAnsi="Arial"/>
                <w:sz w:val="18"/>
              </w:rPr>
              <w:t>-4.07%</w:t>
            </w:r>
          </w:p>
        </w:tc>
        <w:tc>
          <w:tcPr>
            <w:tcW w:type="dxa" w:w="1806"/>
            <w:shd w:fill="F2F6FC" w:val="clear"/>
          </w:tcPr>
          <w:p>
            <w:r>
              <w:rPr>
                <w:rFonts w:ascii="Arial" w:hAnsi="Arial"/>
                <w:sz w:val="18"/>
              </w:rPr>
              <w:t>tCO₂e</w:t>
            </w:r>
          </w:p>
        </w:tc>
      </w:tr>
      <w:tr>
        <w:tc>
          <w:tcPr>
            <w:tcW w:type="dxa" w:w="1806"/>
          </w:tcPr>
          <w:p>
            <w:r>
              <w:rPr>
                <w:rFonts w:ascii="Arial" w:hAnsi="Arial"/>
                <w:sz w:val="18"/>
              </w:rPr>
              <w:t>Intensity (Revenue)</w:t>
            </w:r>
          </w:p>
        </w:tc>
        <w:tc>
          <w:tcPr>
            <w:tcW w:type="dxa" w:w="1806"/>
          </w:tcPr>
          <w:p>
            <w:pPr>
              <w:jc w:val="right"/>
            </w:pPr>
            <w:r>
              <w:rPr>
                <w:rFonts w:ascii="Arial" w:hAnsi="Arial"/>
                <w:sz w:val="18"/>
              </w:rPr>
              <w:t>270.116632</w:t>
            </w:r>
          </w:p>
        </w:tc>
        <w:tc>
          <w:tcPr>
            <w:tcW w:type="dxa" w:w="1806"/>
          </w:tcPr>
          <w:p>
            <w:pPr>
              <w:jc w:val="right"/>
            </w:pPr>
            <w:r>
              <w:rPr>
                <w:rFonts w:ascii="Arial" w:hAnsi="Arial"/>
                <w:sz w:val="18"/>
              </w:rPr>
              <w:t>239.400139</w:t>
            </w:r>
          </w:p>
        </w:tc>
        <w:tc>
          <w:tcPr>
            <w:tcW w:type="dxa" w:w="1806"/>
          </w:tcPr>
          <w:p>
            <w:pPr>
              <w:jc w:val="right"/>
            </w:pPr>
            <w:r>
              <w:rPr>
                <w:rFonts w:ascii="Arial" w:hAnsi="Arial"/>
                <w:sz w:val="18"/>
              </w:rPr>
              <w:t>-11.37%</w:t>
            </w:r>
          </w:p>
        </w:tc>
        <w:tc>
          <w:tcPr>
            <w:tcW w:type="dxa" w:w="1806"/>
          </w:tcPr>
          <w:p>
            <w:r>
              <w:rPr>
                <w:rFonts w:ascii="Arial" w:hAnsi="Arial"/>
                <w:sz w:val="18"/>
              </w:rPr>
              <w:t>tCO₂e/IDR Bn</w:t>
            </w:r>
          </w:p>
        </w:tc>
      </w:tr>
      <w:tr>
        <w:tc>
          <w:tcPr>
            <w:tcW w:type="dxa" w:w="1806"/>
            <w:shd w:fill="F2F6FC" w:val="clear"/>
          </w:tcPr>
          <w:p>
            <w:r>
              <w:rPr>
                <w:rFonts w:ascii="Arial" w:hAnsi="Arial"/>
                <w:sz w:val="18"/>
              </w:rPr>
              <w:t>Intensity (per FTE)</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-1.79%</w:t>
            </w:r>
          </w:p>
        </w:tc>
        <w:tc>
          <w:tcPr>
            <w:tcW w:type="dxa" w:w="1806"/>
            <w:shd w:fill="F2F6FC" w:val="clear"/>
          </w:tcPr>
          <w:p>
            <w:r>
              <w:rPr>
                <w:rFonts w:ascii="Arial" w:hAnsi="Arial"/>
                <w:sz w:val="18"/>
              </w:rPr>
              <w:t>tCO₂e/FTE</w:t>
            </w:r>
          </w:p>
        </w:tc>
      </w:tr>
    </w:tbl>
    <w:p>
      <w:r>
        <w:rPr>
          <w:rFonts w:ascii="Arial" w:hAnsi="Arial"/>
          <w:i/>
          <w:sz w:val="16"/>
        </w:rPr>
        <w:t>Source: All figures from institution's GHG inventory system; market-based Scope 2 used for total per GHG Protocol hierarchy</w:t>
      </w:r>
    </w:p>
    <w:p/>
    <w:p>
      <w:r>
        <w:rPr>
          <w:rFonts w:ascii="Arial" w:hAnsi="Arial"/>
          <w:b/>
          <w:sz w:val="20"/>
        </w:rPr>
        <w:t>Table 8: Social Performance Summary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FY2023</w:t>
            </w:r>
          </w:p>
        </w:tc>
        <w:tc>
          <w:tcPr>
            <w:tcW w:type="dxa" w:w="1806"/>
            <w:shd w:fill="1B3A6B" w:val="clear"/>
          </w:tcPr>
          <w:p>
            <w:r>
              <w:rPr>
                <w:rFonts w:ascii="Arial" w:hAnsi="Arial"/>
                <w:b/>
                <w:color w:val="FFFFFF"/>
                <w:sz w:val="18"/>
              </w:rPr>
              <w:t>FY2024</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Total FTE</w:t>
            </w:r>
          </w:p>
        </w:tc>
        <w:tc>
          <w:tcPr>
            <w:tcW w:type="dxa" w:w="1806"/>
          </w:tcPr>
          <w:p>
            <w:pPr>
              <w:jc w:val="right"/>
            </w:pPr>
            <w:r>
              <w:rPr>
                <w:rFonts w:ascii="Arial" w:hAnsi="Arial"/>
                <w:sz w:val="18"/>
              </w:rPr>
              <w:t>24,500</w:t>
            </w:r>
          </w:p>
        </w:tc>
        <w:tc>
          <w:tcPr>
            <w:tcW w:type="dxa" w:w="1806"/>
          </w:tcPr>
          <w:p>
            <w:pPr>
              <w:jc w:val="right"/>
            </w:pPr>
            <w:r>
              <w:rPr>
                <w:rFonts w:ascii="Arial" w:hAnsi="Arial"/>
                <w:sz w:val="18"/>
              </w:rPr>
              <w:t>24,997</w:t>
            </w:r>
          </w:p>
        </w:tc>
        <w:tc>
          <w:tcPr>
            <w:tcW w:type="dxa" w:w="1806"/>
          </w:tcPr>
          <w:p>
            <w:pPr>
              <w:jc w:val="right"/>
            </w:pPr>
            <w:r>
              <w:rPr>
                <w:rFonts w:ascii="Arial" w:hAnsi="Arial"/>
                <w:sz w:val="18"/>
              </w:rPr>
              <w:t>+2.03%</w:t>
            </w:r>
          </w:p>
        </w:tc>
        <w:tc>
          <w:tcPr>
            <w:tcW w:type="dxa" w:w="1806"/>
          </w:tcPr>
          <w:p>
            <w:r>
              <w:rPr>
                <w:rFonts w:ascii="Arial" w:hAnsi="Arial"/>
                <w:sz w:val="18"/>
              </w:rPr>
              <w:t>employees</w:t>
            </w:r>
          </w:p>
        </w:tc>
      </w:tr>
      <w:tr>
        <w:tc>
          <w:tcPr>
            <w:tcW w:type="dxa" w:w="1806"/>
            <w:shd w:fill="F2F6FC" w:val="clear"/>
          </w:tcPr>
          <w:p>
            <w:r>
              <w:rPr>
                <w:rFonts w:ascii="Arial" w:hAnsi="Arial"/>
                <w:sz w:val="18"/>
              </w:rPr>
              <w:t>Female Representation</w:t>
            </w:r>
          </w:p>
        </w:tc>
        <w:tc>
          <w:tcPr>
            <w:tcW w:type="dxa" w:w="1806"/>
            <w:shd w:fill="F2F6FC" w:val="clear"/>
          </w:tcPr>
          <w:p>
            <w:pPr>
              <w:jc w:val="right"/>
            </w:pPr>
            <w:r>
              <w:rPr>
                <w:rFonts w:ascii="Arial" w:hAnsi="Arial"/>
                <w:sz w:val="18"/>
              </w:rPr>
              <w:t>46.20</w:t>
            </w:r>
          </w:p>
        </w:tc>
        <w:tc>
          <w:tcPr>
            <w:tcW w:type="dxa" w:w="1806"/>
            <w:shd w:fill="F2F6FC" w:val="clear"/>
          </w:tcPr>
          <w:p>
            <w:pPr>
              <w:jc w:val="right"/>
            </w:pPr>
            <w:r>
              <w:rPr>
                <w:rFonts w:ascii="Arial" w:hAnsi="Arial"/>
                <w:sz w:val="18"/>
              </w:rPr>
              <w:t>42.32</w:t>
            </w:r>
          </w:p>
        </w:tc>
        <w:tc>
          <w:tcPr>
            <w:tcW w:type="dxa" w:w="1806"/>
            <w:shd w:fill="F2F6FC" w:val="clear"/>
          </w:tcPr>
          <w:p>
            <w:r>
              <w:rPr>
                <w:rFonts w:ascii="Arial" w:hAnsi="Arial"/>
                <w:sz w:val="18"/>
              </w:rPr>
              <w:t>-3.88pp</w:t>
            </w:r>
          </w:p>
        </w:tc>
        <w:tc>
          <w:tcPr>
            <w:tcW w:type="dxa" w:w="1806"/>
            <w:shd w:fill="F2F6FC" w:val="clear"/>
          </w:tcPr>
          <w:p>
            <w:r>
              <w:rPr>
                <w:rFonts w:ascii="Arial" w:hAnsi="Arial"/>
                <w:sz w:val="18"/>
              </w:rPr>
              <w:t>%</w:t>
            </w:r>
          </w:p>
        </w:tc>
      </w:tr>
      <w:tr>
        <w:tc>
          <w:tcPr>
            <w:tcW w:type="dxa" w:w="1806"/>
          </w:tcPr>
          <w:p>
            <w:r>
              <w:rPr>
                <w:rFonts w:ascii="Arial" w:hAnsi="Arial"/>
                <w:sz w:val="18"/>
              </w:rPr>
              <w:t>Female in Management</w:t>
            </w:r>
          </w:p>
        </w:tc>
        <w:tc>
          <w:tcPr>
            <w:tcW w:type="dxa" w:w="1806"/>
          </w:tcPr>
          <w:p>
            <w:pPr>
              <w:jc w:val="right"/>
            </w:pPr>
            <w:r>
              <w:rPr>
                <w:rFonts w:ascii="Arial" w:hAnsi="Arial"/>
                <w:sz w:val="18"/>
              </w:rPr>
              <w:t>28.45</w:t>
            </w:r>
          </w:p>
        </w:tc>
        <w:tc>
          <w:tcPr>
            <w:tcW w:type="dxa" w:w="1806"/>
          </w:tcPr>
          <w:p>
            <w:pPr>
              <w:jc w:val="right"/>
            </w:pPr>
            <w:r>
              <w:rPr>
                <w:rFonts w:ascii="Arial" w:hAnsi="Arial"/>
                <w:sz w:val="18"/>
              </w:rPr>
              <w:t>26.67</w:t>
            </w:r>
          </w:p>
        </w:tc>
        <w:tc>
          <w:tcPr>
            <w:tcW w:type="dxa" w:w="1806"/>
          </w:tcPr>
          <w:p>
            <w:r>
              <w:rPr>
                <w:rFonts w:ascii="Arial" w:hAnsi="Arial"/>
                <w:sz w:val="18"/>
              </w:rPr>
              <w:t>-1.78pp</w:t>
            </w:r>
          </w:p>
        </w:tc>
        <w:tc>
          <w:tcPr>
            <w:tcW w:type="dxa" w:w="1806"/>
          </w:tcPr>
          <w:p>
            <w:r>
              <w:rPr>
                <w:rFonts w:ascii="Arial" w:hAnsi="Arial"/>
                <w:sz w:val="18"/>
              </w:rPr>
              <w:t>%</w:t>
            </w:r>
          </w:p>
        </w:tc>
      </w:tr>
      <w:tr>
        <w:tc>
          <w:tcPr>
            <w:tcW w:type="dxa" w:w="1806"/>
            <w:shd w:fill="F2F6FC" w:val="clear"/>
          </w:tcPr>
          <w:p>
            <w:r>
              <w:rPr>
                <w:rFonts w:ascii="Arial" w:hAnsi="Arial"/>
                <w:sz w:val="18"/>
              </w:rPr>
              <w:t>Training Hours per FTE</w:t>
            </w:r>
          </w:p>
        </w:tc>
        <w:tc>
          <w:tcPr>
            <w:tcW w:type="dxa" w:w="1806"/>
            <w:shd w:fill="F2F6FC" w:val="clear"/>
          </w:tcPr>
          <w:p>
            <w:pPr>
              <w:jc w:val="right"/>
            </w:pPr>
            <w:r>
              <w:rPr>
                <w:rFonts w:ascii="Arial" w:hAnsi="Arial"/>
                <w:sz w:val="18"/>
              </w:rPr>
              <w:t>64.14</w:t>
            </w:r>
          </w:p>
        </w:tc>
        <w:tc>
          <w:tcPr>
            <w:tcW w:type="dxa" w:w="1806"/>
            <w:shd w:fill="F2F6FC" w:val="clear"/>
          </w:tcPr>
          <w:p>
            <w:pPr>
              <w:jc w:val="right"/>
            </w:pPr>
            <w:r>
              <w:rPr>
                <w:rFonts w:ascii="Arial" w:hAnsi="Arial"/>
                <w:sz w:val="18"/>
              </w:rPr>
              <w:t>49.3</w:t>
            </w:r>
          </w:p>
        </w:tc>
        <w:tc>
          <w:tcPr>
            <w:tcW w:type="dxa" w:w="1806"/>
            <w:shd w:fill="F2F6FC" w:val="clear"/>
          </w:tcPr>
          <w:p>
            <w:pPr>
              <w:jc w:val="right"/>
            </w:pPr>
            <w:r>
              <w:rPr>
                <w:rFonts w:ascii="Arial" w:hAnsi="Arial"/>
                <w:sz w:val="18"/>
              </w:rPr>
              <w:t>-23.14%</w:t>
            </w:r>
          </w:p>
        </w:tc>
        <w:tc>
          <w:tcPr>
            <w:tcW w:type="dxa" w:w="1806"/>
            <w:shd w:fill="F2F6FC" w:val="clear"/>
          </w:tcPr>
          <w:p>
            <w:r>
              <w:rPr>
                <w:rFonts w:ascii="Arial" w:hAnsi="Arial"/>
                <w:sz w:val="18"/>
              </w:rPr>
              <w:t>hours</w:t>
            </w:r>
          </w:p>
        </w:tc>
      </w:tr>
      <w:tr>
        <w:tc>
          <w:tcPr>
            <w:tcW w:type="dxa" w:w="1806"/>
          </w:tcPr>
          <w:p>
            <w:r>
              <w:rPr>
                <w:rFonts w:ascii="Arial" w:hAnsi="Arial"/>
                <w:sz w:val="18"/>
              </w:rPr>
              <w:t>Voluntary Turnover</w:t>
            </w:r>
          </w:p>
        </w:tc>
        <w:tc>
          <w:tcPr>
            <w:tcW w:type="dxa" w:w="1806"/>
          </w:tcPr>
          <w:p>
            <w:pPr>
              <w:jc w:val="right"/>
            </w:pPr>
            <w:r>
              <w:rPr>
                <w:rFonts w:ascii="Arial" w:hAnsi="Arial"/>
                <w:sz w:val="18"/>
              </w:rPr>
              <w:t>14.24</w:t>
            </w:r>
          </w:p>
        </w:tc>
        <w:tc>
          <w:tcPr>
            <w:tcW w:type="dxa" w:w="1806"/>
          </w:tcPr>
          <w:p>
            <w:pPr>
              <w:jc w:val="right"/>
            </w:pPr>
            <w:r>
              <w:rPr>
                <w:rFonts w:ascii="Arial" w:hAnsi="Arial"/>
                <w:sz w:val="18"/>
              </w:rPr>
              <w:t>8.45</w:t>
            </w:r>
          </w:p>
        </w:tc>
        <w:tc>
          <w:tcPr>
            <w:tcW w:type="dxa" w:w="1806"/>
          </w:tcPr>
          <w:p>
            <w:pPr>
              <w:jc w:val="right"/>
            </w:pPr>
            <w:r>
              <w:rPr>
                <w:rFonts w:ascii="Arial" w:hAnsi="Arial"/>
                <w:sz w:val="18"/>
              </w:rPr>
              <w:t>-40.66%</w:t>
            </w:r>
          </w:p>
        </w:tc>
        <w:tc>
          <w:tcPr>
            <w:tcW w:type="dxa" w:w="1806"/>
          </w:tcPr>
          <w:p>
            <w:r>
              <w:rPr>
                <w:rFonts w:ascii="Arial" w:hAnsi="Arial"/>
                <w:sz w:val="18"/>
              </w:rPr>
              <w:t>%</w:t>
            </w:r>
          </w:p>
        </w:tc>
      </w:tr>
      <w:tr>
        <w:tc>
          <w:tcPr>
            <w:tcW w:type="dxa" w:w="1806"/>
            <w:shd w:fill="F2F6FC" w:val="clear"/>
          </w:tcPr>
          <w:p>
            <w:r>
              <w:rPr>
                <w:rFonts w:ascii="Arial" w:hAnsi="Arial"/>
                <w:sz w:val="18"/>
              </w:rPr>
              <w:t>Discrimination Cases</w:t>
            </w:r>
          </w:p>
        </w:tc>
        <w:tc>
          <w:tcPr>
            <w:tcW w:type="dxa" w:w="1806"/>
            <w:shd w:fill="F2F6FC" w:val="clear"/>
          </w:tcPr>
          <w:p>
            <w:pPr>
              <w:jc w:val="right"/>
            </w:pPr>
            <w:r>
              <w:rPr>
                <w:rFonts w:ascii="Arial" w:hAnsi="Arial"/>
                <w:sz w:val="18"/>
              </w:rPr>
              <w:t>3</w:t>
            </w:r>
          </w:p>
        </w:tc>
        <w:tc>
          <w:tcPr>
            <w:tcW w:type="dxa" w:w="1806"/>
            <w:shd w:fill="F2F6FC" w:val="clear"/>
          </w:tcPr>
          <w:p>
            <w:pPr>
              <w:jc w:val="right"/>
            </w:pPr>
            <w:r>
              <w:rPr>
                <w:rFonts w:ascii="Arial" w:hAnsi="Arial"/>
                <w:sz w:val="18"/>
              </w:rPr>
              <w:t>2</w:t>
            </w:r>
          </w:p>
        </w:tc>
        <w:tc>
          <w:tcPr>
            <w:tcW w:type="dxa" w:w="1806"/>
            <w:shd w:fill="F2F6FC" w:val="clear"/>
          </w:tcPr>
          <w:p>
            <w:pPr>
              <w:jc w:val="right"/>
            </w:pPr>
            <w:r>
              <w:rPr>
                <w:rFonts w:ascii="Arial" w:hAnsi="Arial"/>
                <w:sz w:val="18"/>
              </w:rPr>
              <w:t>-33.33%</w:t>
            </w:r>
          </w:p>
        </w:tc>
        <w:tc>
          <w:tcPr>
            <w:tcW w:type="dxa" w:w="1806"/>
            <w:shd w:fill="F2F6FC" w:val="clear"/>
          </w:tcPr>
          <w:p>
            <w:r>
              <w:rPr>
                <w:rFonts w:ascii="Arial" w:hAnsi="Arial"/>
                <w:sz w:val="18"/>
              </w:rPr>
              <w:t>cases</w:t>
            </w:r>
          </w:p>
        </w:tc>
      </w:tr>
      <w:tr>
        <w:tc>
          <w:tcPr>
            <w:tcW w:type="dxa" w:w="1806"/>
          </w:tcPr>
          <w:p>
            <w:r>
              <w:rPr>
                <w:rFonts w:ascii="Arial" w:hAnsi="Arial"/>
                <w:sz w:val="18"/>
              </w:rPr>
              <w:t>New Hire Count</w:t>
            </w:r>
          </w:p>
        </w:tc>
        <w:tc>
          <w:tcPr>
            <w:tcW w:type="dxa" w:w="1806"/>
          </w:tcPr>
          <w:p>
            <w:pPr>
              <w:jc w:val="right"/>
            </w:pPr>
            <w:r>
              <w:rPr>
                <w:rFonts w:ascii="Arial" w:hAnsi="Arial"/>
                <w:sz w:val="18"/>
              </w:rPr>
              <w:t>3,169</w:t>
            </w:r>
          </w:p>
        </w:tc>
        <w:tc>
          <w:tcPr>
            <w:tcW w:type="dxa" w:w="1806"/>
          </w:tcPr>
          <w:p>
            <w:pPr>
              <w:jc w:val="right"/>
            </w:pPr>
            <w:r>
              <w:rPr>
                <w:rFonts w:ascii="Arial" w:hAnsi="Arial"/>
                <w:sz w:val="18"/>
              </w:rPr>
              <w:t>2,595</w:t>
            </w:r>
          </w:p>
        </w:tc>
        <w:tc>
          <w:tcPr>
            <w:tcW w:type="dxa" w:w="1806"/>
          </w:tcPr>
          <w:p>
            <w:pPr>
              <w:jc w:val="right"/>
            </w:pPr>
            <w:r>
              <w:rPr>
                <w:rFonts w:ascii="Arial" w:hAnsi="Arial"/>
                <w:sz w:val="18"/>
              </w:rPr>
              <w:t>-18.11%</w:t>
            </w:r>
          </w:p>
        </w:tc>
        <w:tc>
          <w:tcPr>
            <w:tcW w:type="dxa" w:w="1806"/>
          </w:tcPr>
          <w:p>
            <w:r>
              <w:rPr>
                <w:rFonts w:ascii="Arial" w:hAnsi="Arial"/>
                <w:sz w:val="18"/>
              </w:rPr>
              <w:t>employees</w:t>
            </w:r>
          </w:p>
        </w:tc>
      </w:tr>
      <w:tr>
        <w:tc>
          <w:tcPr>
            <w:tcW w:type="dxa" w:w="1806"/>
            <w:shd w:fill="F2F6FC" w:val="clear"/>
          </w:tcPr>
          <w:p>
            <w:r>
              <w:rPr>
                <w:rFonts w:ascii="Arial" w:hAnsi="Arial"/>
                <w:sz w:val="18"/>
              </w:rPr>
              <w:t>Hiring Rate</w:t>
            </w:r>
          </w:p>
        </w:tc>
        <w:tc>
          <w:tcPr>
            <w:tcW w:type="dxa" w:w="1806"/>
            <w:shd w:fill="F2F6FC" w:val="clear"/>
          </w:tcPr>
          <w:p>
            <w:pPr>
              <w:jc w:val="right"/>
            </w:pPr>
            <w:r>
              <w:rPr>
                <w:rFonts w:ascii="Arial" w:hAnsi="Arial"/>
                <w:sz w:val="18"/>
              </w:rPr>
              <w:t>12.93</w:t>
            </w:r>
          </w:p>
        </w:tc>
        <w:tc>
          <w:tcPr>
            <w:tcW w:type="dxa" w:w="1806"/>
            <w:shd w:fill="F2F6FC" w:val="clear"/>
          </w:tcPr>
          <w:p>
            <w:pPr>
              <w:jc w:val="right"/>
            </w:pPr>
            <w:r>
              <w:rPr>
                <w:rFonts w:ascii="Arial" w:hAnsi="Arial"/>
                <w:sz w:val="18"/>
              </w:rPr>
              <w:t>10.38</w:t>
            </w:r>
          </w:p>
        </w:tc>
        <w:tc>
          <w:tcPr>
            <w:tcW w:type="dxa" w:w="1806"/>
            <w:shd w:fill="F2F6FC" w:val="clear"/>
          </w:tcPr>
          <w:p>
            <w:pPr>
              <w:jc w:val="right"/>
            </w:pPr>
            <w:r>
              <w:rPr>
                <w:rFonts w:ascii="Arial" w:hAnsi="Arial"/>
                <w:sz w:val="18"/>
              </w:rPr>
              <w:t>-19.72%</w:t>
            </w:r>
          </w:p>
        </w:tc>
        <w:tc>
          <w:tcPr>
            <w:tcW w:type="dxa" w:w="1806"/>
            <w:shd w:fill="F2F6FC" w:val="clear"/>
          </w:tcPr>
          <w:p>
            <w:r>
              <w:rPr>
                <w:rFonts w:ascii="Arial" w:hAnsi="Arial"/>
                <w:sz w:val="18"/>
              </w:rPr>
              <w:t>%</w:t>
            </w:r>
          </w:p>
        </w:tc>
      </w:tr>
    </w:tbl>
    <w:p>
      <w:r>
        <w:rPr>
          <w:rFonts w:ascii="Arial" w:hAnsi="Arial"/>
          <w:i/>
          <w:sz w:val="16"/>
        </w:rPr>
        <w:t>Source: All figures from institution's HRIS; percentage point changes denoted as 'pp'</w:t>
      </w:r>
    </w:p>
    <w:p/>
    <w:p>
      <w:r>
        <w:rPr>
          <w:rFonts w:ascii="Arial" w:hAnsi="Arial"/>
          <w:b/>
          <w:sz w:val="20"/>
        </w:rPr>
        <w:t>Table 10: Framework Compliance Status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GRI 305</w:t>
            </w:r>
          </w:p>
        </w:tc>
        <w:tc>
          <w:tcPr>
            <w:tcW w:type="dxa" w:w="1806"/>
            <w:shd w:fill="1B3A6B" w:val="clear"/>
          </w:tcPr>
          <w:p>
            <w:r>
              <w:rPr>
                <w:rFonts w:ascii="Arial" w:hAnsi="Arial"/>
                <w:b/>
                <w:color w:val="FFFFFF"/>
                <w:sz w:val="18"/>
              </w:rPr>
              <w:t>IFRS S2</w:t>
            </w:r>
          </w:p>
        </w:tc>
        <w:tc>
          <w:tcPr>
            <w:tcW w:type="dxa" w:w="1806"/>
            <w:shd w:fill="1B3A6B" w:val="clear"/>
          </w:tcPr>
          <w:p>
            <w:r>
              <w:rPr>
                <w:rFonts w:ascii="Arial" w:hAnsi="Arial"/>
                <w:b/>
                <w:color w:val="FFFFFF"/>
                <w:sz w:val="18"/>
              </w:rPr>
              <w:t>ESRS E1</w:t>
            </w:r>
          </w:p>
        </w:tc>
        <w:tc>
          <w:tcPr>
            <w:tcW w:type="dxa" w:w="1806"/>
            <w:shd w:fill="1B3A6B" w:val="clear"/>
          </w:tcPr>
          <w:p>
            <w:r>
              <w:rPr>
                <w:rFonts w:ascii="Arial" w:hAnsi="Arial"/>
                <w:b/>
                <w:color w:val="FFFFFF"/>
                <w:sz w:val="18"/>
              </w:rPr>
              <w:t>OJK PSPK</w:t>
            </w:r>
          </w:p>
        </w:tc>
      </w:tr>
      <w:tr>
        <w:tc>
          <w:tcPr>
            <w:tcW w:type="dxa" w:w="1806"/>
          </w:tcPr>
          <w:p>
            <w:r>
              <w:rPr>
                <w:rFonts w:ascii="Arial" w:hAnsi="Arial"/>
                <w:sz w:val="18"/>
              </w:rPr>
              <w:t>Scope 1 &amp; 2 Emissions</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Scope 3 / Financed Emissions</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Partial (PCAF score 3.36)</w:t>
            </w:r>
          </w:p>
        </w:tc>
      </w:tr>
      <w:tr>
        <w:tc>
          <w:tcPr>
            <w:tcW w:type="dxa" w:w="1806"/>
          </w:tcPr>
          <w:p>
            <w:r>
              <w:rPr>
                <w:rFonts w:ascii="Arial" w:hAnsi="Arial"/>
                <w:sz w:val="18"/>
              </w:rPr>
              <w:t>Emission Intensity Metrics</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Reduction Targets</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r>
      <w:tr>
        <w:tc>
          <w:tcPr>
            <w:tcW w:type="dxa" w:w="1806"/>
          </w:tcPr>
          <w:p>
            <w:r>
              <w:rPr>
                <w:rFonts w:ascii="Arial" w:hAnsi="Arial"/>
                <w:sz w:val="18"/>
              </w:rPr>
              <w:t>Transition Plan</w:t>
            </w:r>
          </w:p>
        </w:tc>
        <w:tc>
          <w:tcPr>
            <w:tcW w:type="dxa" w:w="1806"/>
          </w:tcPr>
          <w:p>
            <w:r>
              <w:rPr>
                <w:rFonts w:ascii="Arial" w:hAnsi="Arial"/>
                <w:sz w:val="18"/>
              </w:rPr>
              <w:t>❌ Gap</w:t>
            </w:r>
          </w:p>
        </w:tc>
        <w:tc>
          <w:tcPr>
            <w:tcW w:type="dxa" w:w="1806"/>
          </w:tcPr>
          <w:p>
            <w:r>
              <w:rPr>
                <w:rFonts w:ascii="Arial" w:hAnsi="Arial"/>
                <w:sz w:val="18"/>
              </w:rPr>
              <w:t>❌ Gap</w:t>
            </w:r>
          </w:p>
        </w:tc>
        <w:tc>
          <w:tcPr>
            <w:tcW w:type="dxa" w:w="1806"/>
          </w:tcPr>
          <w:p>
            <w:r>
              <w:rPr>
                <w:rFonts w:ascii="Arial" w:hAnsi="Arial"/>
                <w:sz w:val="18"/>
              </w:rPr>
              <w:t>❌ Gap</w:t>
            </w:r>
          </w:p>
        </w:tc>
        <w:tc>
          <w:tcPr>
            <w:tcW w:type="dxa" w:w="1806"/>
          </w:tcPr>
          <w:p>
            <w:r>
              <w:rPr>
                <w:rFonts w:ascii="Arial" w:hAnsi="Arial"/>
                <w:sz w:val="18"/>
              </w:rPr>
              <w:t>❌ Gap</w:t>
            </w:r>
          </w:p>
        </w:tc>
      </w:tr>
      <w:tr>
        <w:tc>
          <w:tcPr>
            <w:tcW w:type="dxa" w:w="1806"/>
            <w:shd w:fill="F2F6FC" w:val="clear"/>
          </w:tcPr>
          <w:p>
            <w:r>
              <w:rPr>
                <w:rFonts w:ascii="Arial" w:hAnsi="Arial"/>
                <w:sz w:val="18"/>
              </w:rPr>
              <w:t>Climate Governance</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r>
      <w:tr>
        <w:tc>
          <w:tcPr>
            <w:tcW w:type="dxa" w:w="1806"/>
          </w:tcPr>
          <w:p>
            <w:r>
              <w:rPr>
                <w:rFonts w:ascii="Arial" w:hAnsi="Arial"/>
                <w:sz w:val="18"/>
              </w:rPr>
              <w:t>Risk Management</w:t>
            </w:r>
          </w:p>
        </w:tc>
        <w:tc>
          <w:tcPr>
            <w:tcW w:type="dxa" w:w="1806"/>
          </w:tcPr>
          <w:p>
            <w:r>
              <w:rPr>
                <w:rFonts w:ascii="Arial" w:hAnsi="Arial"/>
                <w:sz w:val="18"/>
              </w:rPr>
              <w:t>⚠️ Partial</w:t>
            </w:r>
          </w:p>
        </w:tc>
        <w:tc>
          <w:tcPr>
            <w:tcW w:type="dxa" w:w="1806"/>
          </w:tcPr>
          <w:p>
            <w:r>
              <w:rPr>
                <w:rFonts w:ascii="Arial" w:hAnsi="Arial"/>
                <w:sz w:val="18"/>
              </w:rPr>
              <w:t>⚠️ Partial</w:t>
            </w:r>
          </w:p>
        </w:tc>
        <w:tc>
          <w:tcPr>
            <w:tcW w:type="dxa" w:w="1806"/>
          </w:tcPr>
          <w:p>
            <w:r>
              <w:rPr>
                <w:rFonts w:ascii="Arial" w:hAnsi="Arial"/>
                <w:sz w:val="18"/>
              </w:rPr>
              <w:t>⚠️ Partial</w:t>
            </w:r>
          </w:p>
        </w:tc>
        <w:tc>
          <w:tcPr>
            <w:tcW w:type="dxa" w:w="1806"/>
          </w:tcPr>
          <w:p>
            <w:r>
              <w:rPr>
                <w:rFonts w:ascii="Arial" w:hAnsi="Arial"/>
                <w:sz w:val="18"/>
              </w:rPr>
              <w:t>⚠️ Partial</w:t>
            </w:r>
          </w:p>
        </w:tc>
      </w:tr>
      <w:tr>
        <w:tc>
          <w:tcPr>
            <w:tcW w:type="dxa" w:w="1806"/>
            <w:shd w:fill="F2F6FC" w:val="clear"/>
          </w:tcPr>
          <w:p>
            <w:r>
              <w:rPr>
                <w:rFonts w:ascii="Arial" w:hAnsi="Arial"/>
                <w:sz w:val="18"/>
              </w:rPr>
              <w:t>Scenario Analysis</w:t>
            </w:r>
          </w:p>
        </w:tc>
        <w:tc>
          <w:tcPr>
            <w:tcW w:type="dxa" w:w="1806"/>
            <w:shd w:fill="F2F6FC" w:val="clear"/>
          </w:tcPr>
          <w:p>
            <w:r>
              <w:rPr>
                <w:rFonts w:ascii="Arial" w:hAnsi="Arial"/>
                <w:sz w:val="18"/>
              </w:rPr>
              <w:t>N/A</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r>
      <w:tr>
        <w:tc>
          <w:tcPr>
            <w:tcW w:type="dxa" w:w="1806"/>
          </w:tcPr>
          <w:p>
            <w:r>
              <w:rPr>
                <w:rFonts w:ascii="Arial" w:hAnsi="Arial"/>
                <w:sz w:val="18"/>
              </w:rPr>
              <w:t>Social Metrics (Diversity)</w:t>
            </w:r>
          </w:p>
        </w:tc>
        <w:tc>
          <w:tcPr>
            <w:tcW w:type="dxa" w:w="1806"/>
          </w:tcPr>
          <w:p>
            <w:r>
              <w:rPr>
                <w:rFonts w:ascii="Arial" w:hAnsi="Arial"/>
                <w:sz w:val="18"/>
              </w:rPr>
              <w:t>✅ Disclosed</w:t>
            </w:r>
          </w:p>
        </w:tc>
        <w:tc>
          <w:tcPr>
            <w:tcW w:type="dxa" w:w="1806"/>
          </w:tcPr>
          <w:p>
            <w:r>
              <w:rPr>
                <w:rFonts w:ascii="Arial" w:hAnsi="Arial"/>
                <w:sz w:val="18"/>
              </w:rPr>
              <w:t>N/A</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External Assurance</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r>
    </w:tbl>
    <w:p>
      <w:r>
        <w:rPr>
          <w:rFonts w:ascii="Arial" w:hAnsi="Arial"/>
          <w:i/>
          <w:sz w:val="16"/>
        </w:rPr>
        <w:t>Source: Assessment based on current disclosure completeness against framework requirements; ✅ = Fully disclosed, ⚠️ = Partially disclosed, ❌ = Not disclosed, N/A = Not required by framework</w:t>
      </w:r>
    </w:p>
    <w:p/>
    <w:p/>
    <w:p>
      <w:r>
        <w:rPr>
          <w:b/>
          <w:color w:val="3D6094"/>
          <w:sz w:val="24"/>
        </w:rPr>
        <w:t>Top Strategic Recommendations</w:t>
      </w:r>
    </w:p>
    <w:p>
      <w:pPr>
        <w:spacing w:after="160" w:line="276" w:lineRule="auto"/>
      </w:pPr>
      <w:r>
        <w:t>→ Establish Science-Based Targets Initiative (SBTi) commitment for financed emissions — Expected to enhance investor confidence and regulatory alignment; target Q2 2025 commitment with validation by Q4 2025 — Peer reference: Regional banks in ASEAN achieving SBTi validation within 18-month timelines</w:t>
      </w:r>
    </w:p>
    <w:p>
      <w:pPr>
        <w:spacing w:after="160" w:line="276" w:lineRule="auto"/>
      </w:pPr>
      <w:r>
        <w:t>→ Upgrade PCAF data quality to portfolio average ≤3.0 through enhanced borrower engagement — Expected to improve assurance readiness and enable granular risk assessment; 12-month phased implementation targeting 40% of high-emission exposures — Peer reference: Leading Indonesian banks achieving PCAF Score 2.8-3.2 through systematic data collection programs</w:t>
      </w:r>
    </w:p>
    <w:p>
      <w:pPr>
        <w:spacing w:after="160" w:line="276" w:lineRule="auto"/>
      </w:pPr>
      <w:r>
        <w:t>→ Develop sector-specific transition plans for Oil &amp; Gas, Cement, and Steel portfolios — Expected to mitigate stranded asset risk and position for transition finance opportunities; draft plans by Q3 2025 with borrower engagement roadmap — Peer reference: International banks publishing sector transition strategies aligned with IEA Net Zero scenarios</w:t>
      </w:r>
    </w:p>
    <w:p>
      <w:pPr>
        <w:spacing w:after="160" w:line="276" w:lineRule="auto"/>
      </w:pPr>
      <w:r>
        <w:t>→ Implement external assurance over GHG inventory (limited assurance minimum) — Expected to enhance credibility and meet emerging regulatory requirements; target FY2025 reporting cycle — Peer reference: 60% of regional peer banks have achieved limited assurance over Scope 1, 2, and 3 emissions</w:t>
      </w:r>
    </w:p>
    <w:p>
      <w:pPr>
        <w:spacing w:after="160" w:line="276" w:lineRule="auto"/>
      </w:pPr>
      <w:r>
        <w:t>→ Reverse declining female representation trend through targeted recruitment and retention programs — Expected to restore gender diversity to 45%+ within 24 months and improve management pipeline; immediate action required — Peer reference: Leading Indonesian financial institutions maintaining 40-50% female representation through structured diversity programs</w:t>
      </w:r>
    </w:p>
    <w:p>
      <w:r>
        <w:rPr>
          <w:i/>
          <w:color w:val="3D6094"/>
          <w:sz w:val="18"/>
        </w:rPr>
        <w:t>Framework references: GHG Protocol Corporate Accounting and Reporting Standard (Scope 1, 2, 3 definitions); PCAF Global GHG Accounting and Reporting Standard for the Financial Industry (financed emissions methodology); GRI 305: Emissions 2016 (disclosure framework for GHG reporting); IFRS S2 Climate-related Disclosures (financed emissions as Scope 3 Category 15); ISO 14064-1:2018 (GHG inventory quantification and reporting)</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Total GHG emissions calculated as Scope 1 + Scope 2 (market-based) + Scope 3 Category 15 (gross) per GHG Protocol Corporate Standard hierarchy.</w:t>
      </w:r>
    </w:p>
    <w:p>
      <w:pPr>
        <w:spacing w:after="160" w:line="276" w:lineRule="auto"/>
      </w:pPr>
      <w:r>
        <w:rPr>
          <w:rFonts w:ascii="Arial" w:hAnsi="Arial"/>
          <w:i/>
          <w:color w:val="646464"/>
          <w:sz w:val="18"/>
        </w:rPr>
        <w:t>Scope 3 Category 15 financed emissions calculated using PCAF Standard methodology with portfolio-weighted data quality score of 3.36, indicating reliance on sector-average emission factors.</w:t>
      </w:r>
    </w:p>
    <w:p>
      <w:pPr>
        <w:spacing w:after="160" w:line="276" w:lineRule="auto"/>
      </w:pPr>
      <w:r>
        <w:rPr>
          <w:rFonts w:ascii="Arial" w:hAnsi="Arial"/>
          <w:i/>
          <w:color w:val="646464"/>
          <w:sz w:val="18"/>
        </w:rPr>
        <w:t>The 30.47% difference between gross financed emissions (21,976,797.3 tCO₂e) and weighted financed emissions (15,280,174.14 tCO₂e) reflects application of attribution factors based on the institution's proportional share of borrower financing.</w:t>
      </w:r>
    </w:p>
    <w:p>
      <w:pPr>
        <w:spacing w:after="160" w:line="276" w:lineRule="auto"/>
      </w:pPr>
      <w:r>
        <w:rPr>
          <w:rFonts w:ascii="Arial" w:hAnsi="Arial"/>
          <w:i/>
          <w:color w:val="646464"/>
          <w:sz w:val="18"/>
        </w:rPr>
        <w:t>Year-over-year comparison based on FY2023 baseline of 22,959,814.188 tCO₂e total emissions.</w:t>
      </w:r>
    </w:p>
    <w:p>
      <w:pPr>
        <w:spacing w:after="160" w:line="276" w:lineRule="auto"/>
      </w:pPr>
      <w:r>
        <w:rPr>
          <w:rFonts w:ascii="Arial" w:hAnsi="Arial"/>
          <w:i/>
          <w:color w:val="646464"/>
          <w:sz w:val="18"/>
        </w:rPr>
        <w:t>Revenue intensity improvement of 11.37% (from 270.116632 to 239.400139 tCO₂e/IDR Bn) outpaced absolute emission reduction of 4.07%, indicating enhanced carbon efficiency.</w:t>
      </w:r>
    </w:p>
    <w:p>
      <w:pPr>
        <w:spacing w:after="160" w:line="276" w:lineRule="auto"/>
      </w:pPr>
      <w:r>
        <w:rPr>
          <w:rFonts w:ascii="Arial" w:hAnsi="Arial"/>
          <w:i/>
          <w:color w:val="646464"/>
          <w:sz w:val="18"/>
        </w:rPr>
        <w:t>Social metrics show 2.03% workforce growth (24,500 to 24,997 FTE) with female representation declining 3.88 percentage points (46.20% to 42.32%).</w:t>
      </w:r>
    </w:p>
    <w:p>
      <w:pPr>
        <w:spacing w:after="160" w:line="276" w:lineRule="auto"/>
      </w:pPr>
      <w:r>
        <w:rPr>
          <w:rFonts w:ascii="Arial" w:hAnsi="Arial"/>
          <w:i/>
          <w:color w:val="646464"/>
          <w:sz w:val="18"/>
        </w:rPr>
        <w:t>Voluntary turnover improved 40.66% (from 14.24% to 8.45%), while training hours per FTE decreased 23.14% (from 64.14 to 49.3 hours).</w:t>
      </w:r>
    </w:p>
    <w:p>
      <w:pPr>
        <w:spacing w:after="160" w:line="276" w:lineRule="auto"/>
      </w:pPr>
      <w:r>
        <w:rPr>
          <w:rFonts w:ascii="Arial" w:hAnsi="Arial"/>
          <w:i/>
          <w:color w:val="646464"/>
          <w:sz w:val="18"/>
        </w:rPr>
        <w:t>Top three emitting sectors (Energy, Cement, Steel) represent 85.93% of financed emissions but only 20.70% of portfolio value, indicating structural carbon intensity concentration.</w:t>
      </w:r>
    </w:p>
    <w:p>
      <w:pPr>
        <w:spacing w:after="160" w:line="276" w:lineRule="auto"/>
      </w:pPr>
      <w:r>
        <w:rPr>
          <w:rFonts w:ascii="Arial" w:hAnsi="Arial"/>
          <w:i/>
          <w:color w:val="646464"/>
          <w:sz w:val="18"/>
        </w:rPr>
        <w:t>All numerical values reported exactly as provided in source data systems without rounding or modification.</w:t>
      </w:r>
    </w:p>
    <w:p>
      <w:r>
        <w:br w:type="page"/>
      </w:r>
    </w:p>
    <w:p>
      <w:pPr>
        <w:pStyle w:val="Heading1"/>
        <w:keepNext/>
        <w:spacing w:before="480" w:after="240"/>
      </w:pPr>
      <w:r>
        <w:rPr>
          <w:rFonts w:ascii="Arial" w:hAnsi="Arial"/>
          <w:b/>
          <w:color w:val="1B3A6B"/>
          <w:sz w:val="36"/>
        </w:rPr>
        <w:t>Environmental Performance</w:t>
      </w:r>
    </w:p>
    <w:p>
      <w:pPr>
        <w:pStyle w:val="Heading2"/>
        <w:keepNext/>
        <w:spacing w:before="360" w:after="160"/>
      </w:pPr>
      <w:r>
        <w:rPr>
          <w:rFonts w:ascii="Arial" w:hAnsi="Arial"/>
          <w:b/>
          <w:color w:val="3D6094"/>
          <w:sz w:val="28"/>
        </w:rPr>
        <w:t>1.1 Direct GHG Emissions — Scope 1</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3,403.0</w:t>
            </w:r>
            <w:r>
              <w:rPr>
                <w:color w:val="757575"/>
                <w:sz w:val="18"/>
              </w:rPr>
              <w:t xml:space="preserve"> tCO₂e</w:t>
            </w:r>
            <w:r>
              <w:rPr>
                <w:b/>
                <w:color w:val="C62828"/>
                <w:sz w:val="20"/>
              </w:rPr>
              <w:br/>
              <w:t>+2.36%</w:t>
            </w:r>
          </w:p>
        </w:tc>
        <w:tc>
          <w:tcPr>
            <w:tcW w:type="dxa" w:w="2257"/>
            <w:shd w:fill="F2F6FA" w:val="clear"/>
          </w:tcPr>
          <w:p>
            <w:pPr>
              <w:jc w:val="center"/>
            </w:pPr>
            <w:r>
              <w:rPr>
                <w:b/>
                <w:color w:val="1B3A6B"/>
                <w:sz w:val="36"/>
              </w:rPr>
              <w:t>64.7</w:t>
            </w:r>
            <w:r>
              <w:rPr>
                <w:color w:val="757575"/>
                <w:sz w:val="18"/>
              </w:rPr>
              <w:t xml:space="preserve"> %</w:t>
            </w:r>
            <w:r>
              <w:rPr>
                <w:b/>
                <w:color w:val="C62828"/>
                <w:sz w:val="20"/>
              </w:rPr>
              <w:br/>
              <w:t>High fossil dependency</w:t>
            </w:r>
          </w:p>
        </w:tc>
        <w:tc>
          <w:tcPr>
            <w:tcW w:type="dxa" w:w="2257"/>
            <w:shd w:fill="F2F6FA" w:val="clear"/>
          </w:tcPr>
          <w:p>
            <w:pPr>
              <w:jc w:val="center"/>
            </w:pPr>
            <w:r>
              <w:rPr>
                <w:b/>
                <w:color w:val="1B3A6B"/>
                <w:sz w:val="36"/>
              </w:rPr>
              <w:t>+10.4</w:t>
            </w:r>
            <w:r>
              <w:rPr>
                <w:color w:val="757575"/>
                <w:sz w:val="18"/>
              </w:rPr>
              <w:t xml:space="preserve"> pp</w:t>
            </w:r>
            <w:r>
              <w:rPr>
                <w:b/>
                <w:color w:val="C62828"/>
                <w:sz w:val="20"/>
              </w:rPr>
              <w:br/>
              <w:t>Institution +2.36% vs peers -8.1% avg</w:t>
            </w:r>
          </w:p>
        </w:tc>
        <w:tc>
          <w:tcPr>
            <w:tcW w:type="dxa" w:w="2257"/>
            <w:shd w:fill="F2F6FA" w:val="clear"/>
          </w:tcPr>
          <w:p>
            <w:pPr>
              <w:jc w:val="center"/>
            </w:pPr>
            <w:r>
              <w:rPr>
                <w:b/>
                <w:color w:val="1B3A6B"/>
                <w:sz w:val="36"/>
              </w:rPr>
              <w:t>1.0</w:t>
            </w:r>
            <w:r>
              <w:rPr>
                <w:color w:val="757575"/>
                <w:sz w:val="18"/>
              </w:rPr>
              <w:t xml:space="preserve"> (Tier 1)</w:t>
            </w:r>
            <w:r>
              <w:rPr>
                <w:b/>
                <w:color w:val="2E7D32"/>
                <w:sz w:val="20"/>
              </w:rPr>
              <w:br/>
              <w:t>Primary data, no estimation</w:t>
            </w:r>
          </w:p>
        </w:tc>
      </w:tr>
      <w:tr>
        <w:tc>
          <w:tcPr>
            <w:tcW w:type="dxa" w:w="2257"/>
            <w:shd w:fill="F2F6FA" w:val="clear"/>
          </w:tcPr>
          <w:p>
            <w:pPr>
              <w:jc w:val="center"/>
            </w:pPr>
            <w:r>
              <w:rPr>
                <w:color w:val="757575"/>
                <w:sz w:val="16"/>
              </w:rPr>
              <w:t>Total Scope 1 Emissions</w:t>
            </w:r>
          </w:p>
        </w:tc>
        <w:tc>
          <w:tcPr>
            <w:tcW w:type="dxa" w:w="2257"/>
            <w:shd w:fill="F2F6FA" w:val="clear"/>
          </w:tcPr>
          <w:p>
            <w:pPr>
              <w:jc w:val="center"/>
            </w:pPr>
            <w:r>
              <w:rPr>
                <w:color w:val="757575"/>
                <w:sz w:val="16"/>
              </w:rPr>
              <w:t>Diesel Share of Scope 1</w:t>
            </w:r>
          </w:p>
        </w:tc>
        <w:tc>
          <w:tcPr>
            <w:tcW w:type="dxa" w:w="2257"/>
            <w:shd w:fill="F2F6FA" w:val="clear"/>
          </w:tcPr>
          <w:p>
            <w:pPr>
              <w:jc w:val="center"/>
            </w:pPr>
            <w:r>
              <w:rPr>
                <w:color w:val="757575"/>
                <w:sz w:val="16"/>
              </w:rPr>
              <w:t>YoY Change vs Peer Average</w:t>
            </w:r>
          </w:p>
        </w:tc>
        <w:tc>
          <w:tcPr>
            <w:tcW w:type="dxa" w:w="2257"/>
            <w:shd w:fill="F2F6FA" w:val="clear"/>
          </w:tcPr>
          <w:p>
            <w:pPr>
              <w:jc w:val="center"/>
            </w:pPr>
            <w:r>
              <w:rPr>
                <w:color w:val="757575"/>
                <w:sz w:val="16"/>
              </w:rPr>
              <w:t>Data Quality Score</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1 naik 2.36% sementara peers turun 8-12% — diesel over-reliance (64.7%) adalah gap driver utama</w:t>
            </w:r>
          </w:p>
          <w:p>
            <w:r>
              <w:rPr>
                <w:sz w:val="20"/>
              </w:rPr>
              <w:t>Institusi mengalami peningkatan emisi Scope 1 sebesar 78.476 tCO₂e, didorong oleh konsumsi diesel yang naik 3.66%, sementara DBS mencapai reduksi 12% dan BRI 7.1% melalui solar + EV. Gap ini menciptakan risiko regulasi (carbon pricing POJK) dan reputasi (investor ESG scrutiny). Tanpa intervensi, gap akan melebar menjadi 15-20 poin persentase vs peers pada 2026.</w:t>
            </w:r>
          </w:p>
        </w:tc>
      </w:tr>
    </w:tbl>
    <w:p/>
    <w:p>
      <w:pPr>
        <w:spacing w:after="160" w:line="276" w:lineRule="auto"/>
      </w:pPr>
      <w:r>
        <w:rPr>
          <w:rFonts w:ascii="Arial" w:hAnsi="Arial"/>
          <w:sz w:val="22"/>
        </w:rPr>
        <w:t>The institution reported gross direct (Scope 1) greenhouse gas emissions of 3,402.997 metric tons of carbon dioxide equivalent (tCO₂e) for the reporting period ending December 31, 2024. These emissions arise from fuel combustion in facilities and vehicles under the institution's operational control, consolidated in accordance with the operational control approach as defined by the GHG Protocol Corporate Standard. This disclosure satisfies the requirements of GRI 305-1a, IFRS S2 Paragraph 29(a)(i), ESRS E1-6 Disclosure Requirement E1-6.44, and OJK PSPK guidance on direct GHG emissions (Emisi Gas Rumah Kaca Langsung — Lingkup 1).</w:t>
      </w:r>
    </w:p>
    <w:p>
      <w:pPr>
        <w:spacing w:after="160" w:line="276" w:lineRule="auto"/>
      </w:pPr>
      <w:r>
        <w:rPr>
          <w:rFonts w:ascii="Arial" w:hAnsi="Arial"/>
          <w:sz w:val="22"/>
        </w:rPr>
        <w:t>Scope 1 emissions originated from two primary combustion sources: stationary natural gas consumption in building heating and cooling systems contributed 1,199.7924 tCO₂e (35.3% of total Scope 1), while mobile and stationary diesel combustion for backup generators and fleet vehicles accounted for 2,203.2044 tCO₂e (64.7% of total Scope 1). The diesel-dominant emission profile reflects the institution's reliance on backup power generation during grid instability events and operational vehicle fleet requirements across the branch network. This source composition presents a strategic opportunity for emission reduction through renewable energy integration and fleet electrification, as demonstrated by peer institutions in the Indonesian banking sector.</w:t>
      </w:r>
    </w:p>
    <w:p>
      <w:pPr>
        <w:spacing w:after="160" w:line="276" w:lineRule="auto"/>
      </w:pPr>
      <w:r>
        <w:rPr>
          <w:rFonts w:ascii="Arial" w:hAnsi="Arial"/>
          <w:sz w:val="22"/>
        </w:rPr>
        <w:t>Scope 1 emissions increased by 2.36% year-over-year, rising from 3,324.521 tCO₂e in 2023 to 3,402.997 tCO₂e in 2024. This upward trend contrasts sharply with peer performance: DBS Group achieved a 12% reduction in operational emissions during the same period, while BRI reduced energy intensity by 7.1% and Bank Mandiri achieved a 5.1% reduction in total Scope 1+2 emissions. The institution's increase was driven by a 3.66% rise in diesel consumption (from 2,125.4888 tCO₂e to 2,203.2044 tCO₂e), attributable to expanded branch operations in regions with unreliable grid infrastructure and increased backup generator runtime. Natural gas emissions remained relatively stable, increasing by only 0.06% (from 1,199.0321 tCO₂e to 1,199.7924 tCO₂e). This divergence from sector trends indicates a structural gap in operational efficiency and renewable energy adoption that requires immediate strategic intervention.</w:t>
      </w:r>
    </w:p>
    <w:p>
      <w:pPr>
        <w:spacing w:after="160" w:line="276" w:lineRule="auto"/>
      </w:pPr>
      <w:r>
        <w:rPr>
          <w:rFonts w:ascii="Arial" w:hAnsi="Arial"/>
          <w:sz w:val="22"/>
        </w:rPr>
        <w:t>The institution's Scope 1 emissions were calculated using the GHG Protocol Corporate Standard (Revised 2015) with emission factors sourced from the IPCC 2006 Guidelines for National Greenhouse Gas Inventories and DEFRA 2025 conversion factors. Global Warming Potential (GWP) values were applied consistent with the IPCC Sixth Assessment Report (AR6) using a 100-year time horizon: carbon dioxide (CO₂) = 1, methane (CH₄) = 29.8, and nitrous oxide (N₂O) = 273.0. The calculation included all three Kyoto Protocol gases relevant to fuel combustion: CO₂, CH₄, and N₂O. Organizational boundaries were defined using the operational control approach, whereby the institution accounts for 100% of emissions from facilities and assets over which it exercises operational control, regardless of equity share. This methodology aligns with ESRS E1 Application Requirement AR 39(a) and IFRS S2 Paragraph 29(c) requirements for measurement approach disclosure.</w:t>
      </w:r>
    </w:p>
    <w:p>
      <w:pPr>
        <w:spacing w:after="160" w:line="276" w:lineRule="auto"/>
      </w:pPr>
      <w:r>
        <w:rPr>
          <w:rFonts w:ascii="Arial" w:hAnsi="Arial"/>
          <w:sz w:val="22"/>
        </w:rPr>
        <w:t>Facility-level analysis reveals concentration of emissions in operational hubs with high backup power requirements. The top five emitting facilities accounted for 621.3944 tCO₂e, representing 18.3% of total Scope 1 emissions. FAC-0197 was the highest emitter at 147.7152 tCO₂e, driven by 32,105 liters of diesel consumption and 1,160.58 GJ of natural gas usage. FAC-0198 and FAC-0200 followed at 137.8381 tCO₂e and 131.4422 tCO₂e respectively. Notably, FAC-0193, FAC-0191, and FAC-0181 operated exclusively on diesel with zero natural gas consumption, indicating facilities without access to natural gas infrastructure or those relying entirely on mobile generators. All facility-level data achieved a data quality score of 1 (highest quality), reflecting direct measurement from utility bills and fuel purchase records with no estimation required.</w:t>
      </w:r>
    </w:p>
    <w:p>
      <w:pPr>
        <w:spacing w:after="160" w:line="276" w:lineRule="auto"/>
      </w:pPr>
      <w:r>
        <w:rPr>
          <w:rFonts w:ascii="Arial" w:hAnsi="Arial"/>
          <w:sz w:val="22"/>
        </w:rPr>
        <w:t>These figures have not been subject to external assurance for the current reporting period.</w:t>
      </w:r>
    </w:p>
    <w:p>
      <w:r>
        <w:rPr>
          <w:rFonts w:ascii="Arial" w:hAnsi="Arial"/>
          <w:b/>
          <w:sz w:val="20"/>
        </w:rPr>
        <w:t>Table 12: Table 1.1.1: Scope 1 Emissions by Source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Emission Source</w:t>
            </w:r>
          </w:p>
        </w:tc>
        <w:tc>
          <w:tcPr>
            <w:tcW w:type="dxa" w:w="2257"/>
            <w:shd w:fill="1B3A6B" w:val="clear"/>
          </w:tcPr>
          <w:p>
            <w:r>
              <w:rPr>
                <w:rFonts w:ascii="Arial" w:hAnsi="Arial"/>
                <w:b/>
                <w:color w:val="FFFFFF"/>
                <w:sz w:val="18"/>
              </w:rPr>
              <w:t>Emissions (tCO₂e)</w:t>
            </w:r>
          </w:p>
        </w:tc>
        <w:tc>
          <w:tcPr>
            <w:tcW w:type="dxa" w:w="2257"/>
            <w:shd w:fill="1B3A6B" w:val="clear"/>
          </w:tcPr>
          <w:p>
            <w:r>
              <w:rPr>
                <w:rFonts w:ascii="Arial" w:hAnsi="Arial"/>
                <w:b/>
                <w:color w:val="FFFFFF"/>
                <w:sz w:val="18"/>
              </w:rPr>
              <w:t>Percentage of Total</w:t>
            </w:r>
          </w:p>
        </w:tc>
        <w:tc>
          <w:tcPr>
            <w:tcW w:type="dxa" w:w="2257"/>
            <w:shd w:fill="1B3A6B" w:val="clear"/>
          </w:tcPr>
          <w:p>
            <w:r>
              <w:rPr>
                <w:rFonts w:ascii="Arial" w:hAnsi="Arial"/>
                <w:b/>
                <w:color w:val="FFFFFF"/>
                <w:sz w:val="18"/>
              </w:rPr>
              <w:t>Activity Data</w:t>
            </w:r>
          </w:p>
        </w:tc>
      </w:tr>
      <w:tr>
        <w:tc>
          <w:tcPr>
            <w:tcW w:type="dxa" w:w="2257"/>
          </w:tcPr>
          <w:p>
            <w:r>
              <w:rPr>
                <w:rFonts w:ascii="Arial" w:hAnsi="Arial"/>
                <w:sz w:val="18"/>
              </w:rPr>
              <w:t>Natural Gas Combustion</w:t>
            </w:r>
          </w:p>
        </w:tc>
        <w:tc>
          <w:tcPr>
            <w:tcW w:type="dxa" w:w="2257"/>
          </w:tcPr>
          <w:p>
            <w:pPr>
              <w:jc w:val="right"/>
            </w:pPr>
            <w:r>
              <w:rPr>
                <w:rFonts w:ascii="Arial" w:hAnsi="Arial"/>
                <w:sz w:val="18"/>
              </w:rPr>
              <w:t>1,199.7924</w:t>
            </w:r>
          </w:p>
        </w:tc>
        <w:tc>
          <w:tcPr>
            <w:tcW w:type="dxa" w:w="2257"/>
          </w:tcPr>
          <w:p>
            <w:pPr>
              <w:jc w:val="right"/>
            </w:pPr>
            <w:r>
              <w:rPr>
                <w:rFonts w:ascii="Arial" w:hAnsi="Arial"/>
                <w:sz w:val="18"/>
              </w:rPr>
              <w:t>35.3%</w:t>
            </w:r>
          </w:p>
        </w:tc>
        <w:tc>
          <w:tcPr>
            <w:tcW w:type="dxa" w:w="2257"/>
          </w:tcPr>
          <w:p>
            <w:r>
              <w:rPr>
                <w:rFonts w:ascii="Arial" w:hAnsi="Arial"/>
                <w:sz w:val="18"/>
              </w:rPr>
              <w:t>21,356.43 GJ</w:t>
            </w:r>
          </w:p>
        </w:tc>
      </w:tr>
      <w:tr>
        <w:tc>
          <w:tcPr>
            <w:tcW w:type="dxa" w:w="2257"/>
            <w:shd w:fill="F2F6FC" w:val="clear"/>
          </w:tcPr>
          <w:p>
            <w:r>
              <w:rPr>
                <w:rFonts w:ascii="Arial" w:hAnsi="Arial"/>
                <w:sz w:val="18"/>
              </w:rPr>
              <w:t>Diesel Combustion</w:t>
            </w:r>
          </w:p>
        </w:tc>
        <w:tc>
          <w:tcPr>
            <w:tcW w:type="dxa" w:w="2257"/>
            <w:shd w:fill="F2F6FC" w:val="clear"/>
          </w:tcPr>
          <w:p>
            <w:pPr>
              <w:jc w:val="right"/>
            </w:pPr>
            <w:r>
              <w:rPr>
                <w:rFonts w:ascii="Arial" w:hAnsi="Arial"/>
                <w:sz w:val="18"/>
              </w:rPr>
              <w:t>2,203.2044</w:t>
            </w:r>
          </w:p>
        </w:tc>
        <w:tc>
          <w:tcPr>
            <w:tcW w:type="dxa" w:w="2257"/>
            <w:shd w:fill="F2F6FC" w:val="clear"/>
          </w:tcPr>
          <w:p>
            <w:pPr>
              <w:jc w:val="right"/>
            </w:pPr>
            <w:r>
              <w:rPr>
                <w:rFonts w:ascii="Arial" w:hAnsi="Arial"/>
                <w:sz w:val="18"/>
              </w:rPr>
              <w:t>64.7%</w:t>
            </w:r>
          </w:p>
        </w:tc>
        <w:tc>
          <w:tcPr>
            <w:tcW w:type="dxa" w:w="2257"/>
            <w:shd w:fill="F2F6FC" w:val="clear"/>
          </w:tcPr>
          <w:p>
            <w:r>
              <w:rPr>
                <w:rFonts w:ascii="Arial" w:hAnsi="Arial"/>
                <w:sz w:val="18"/>
              </w:rPr>
              <w:t>856,999 liters</w:t>
            </w:r>
          </w:p>
        </w:tc>
      </w:tr>
      <w:tr>
        <w:tc>
          <w:tcPr>
            <w:tcW w:type="dxa" w:w="2257"/>
          </w:tcPr>
          <w:p>
            <w:r>
              <w:rPr>
                <w:rFonts w:ascii="Arial" w:hAnsi="Arial"/>
                <w:sz w:val="18"/>
              </w:rPr>
              <w:t>Total Scope 1</w:t>
            </w:r>
          </w:p>
        </w:tc>
        <w:tc>
          <w:tcPr>
            <w:tcW w:type="dxa" w:w="2257"/>
          </w:tcPr>
          <w:p>
            <w:pPr>
              <w:jc w:val="right"/>
            </w:pPr>
            <w:r>
              <w:rPr>
                <w:rFonts w:ascii="Arial" w:hAnsi="Arial"/>
                <w:sz w:val="18"/>
              </w:rPr>
              <w:t>3,402.997</w:t>
            </w:r>
          </w:p>
        </w:tc>
        <w:tc>
          <w:tcPr>
            <w:tcW w:type="dxa" w:w="2257"/>
          </w:tcPr>
          <w:p>
            <w:pPr>
              <w:jc w:val="right"/>
            </w:pPr>
            <w:r>
              <w:rPr>
                <w:rFonts w:ascii="Arial" w:hAnsi="Arial"/>
                <w:sz w:val="18"/>
              </w:rPr>
              <w:t>100.0%</w:t>
            </w:r>
          </w:p>
        </w:tc>
        <w:tc>
          <w:tcPr>
            <w:tcW w:type="dxa" w:w="2257"/>
          </w:tcPr>
          <w:p>
            <w:r>
              <w:rPr>
                <w:rFonts w:ascii="Arial" w:hAnsi="Arial"/>
                <w:sz w:val="18"/>
              </w:rPr>
              <w:t>—</w:t>
            </w:r>
          </w:p>
        </w:tc>
      </w:tr>
    </w:tbl>
    <w:p>
      <w:r>
        <w:rPr>
          <w:rFonts w:ascii="Arial" w:hAnsi="Arial"/>
          <w:i/>
          <w:sz w:val="16"/>
        </w:rPr>
        <w:t>Source: Source: Facility Management System. Emission factors: IPCC 2006 + DEFRA 2025. GWP values: IPCC AR6.</w:t>
      </w:r>
    </w:p>
    <w:p/>
    <w:p>
      <w:r>
        <w:rPr>
          <w:rFonts w:ascii="Arial" w:hAnsi="Arial"/>
          <w:b/>
          <w:sz w:val="20"/>
        </w:rPr>
        <w:t>Table 14: Table 1.1.2: Year-over-Year Scope 1 Emissions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Absolute Change</w:t>
            </w:r>
          </w:p>
        </w:tc>
        <w:tc>
          <w:tcPr>
            <w:tcW w:type="dxa" w:w="1806"/>
            <w:shd w:fill="1B3A6B" w:val="clear"/>
          </w:tcPr>
          <w:p>
            <w:r>
              <w:rPr>
                <w:rFonts w:ascii="Arial" w:hAnsi="Arial"/>
                <w:b/>
                <w:color w:val="FFFFFF"/>
                <w:sz w:val="18"/>
              </w:rPr>
              <w:t>Percentage Change</w:t>
            </w:r>
          </w:p>
        </w:tc>
      </w:tr>
      <w:tr>
        <w:tc>
          <w:tcPr>
            <w:tcW w:type="dxa" w:w="1806"/>
          </w:tcPr>
          <w:p>
            <w:r>
              <w:rPr>
                <w:rFonts w:ascii="Arial" w:hAnsi="Arial"/>
                <w:sz w:val="18"/>
              </w:rPr>
              <w:t>Natural Gas (tCO₂e)</w:t>
            </w:r>
          </w:p>
        </w:tc>
        <w:tc>
          <w:tcPr>
            <w:tcW w:type="dxa" w:w="1806"/>
          </w:tcPr>
          <w:p>
            <w:pPr>
              <w:jc w:val="right"/>
            </w:pPr>
            <w:r>
              <w:rPr>
                <w:rFonts w:ascii="Arial" w:hAnsi="Arial"/>
                <w:sz w:val="18"/>
              </w:rPr>
              <w:t>1,199.0321</w:t>
            </w:r>
          </w:p>
        </w:tc>
        <w:tc>
          <w:tcPr>
            <w:tcW w:type="dxa" w:w="1806"/>
          </w:tcPr>
          <w:p>
            <w:pPr>
              <w:jc w:val="right"/>
            </w:pPr>
            <w:r>
              <w:rPr>
                <w:rFonts w:ascii="Arial" w:hAnsi="Arial"/>
                <w:sz w:val="18"/>
              </w:rPr>
              <w:t>1,199.7924</w:t>
            </w:r>
          </w:p>
        </w:tc>
        <w:tc>
          <w:tcPr>
            <w:tcW w:type="dxa" w:w="1806"/>
          </w:tcPr>
          <w:p>
            <w:pPr>
              <w:jc w:val="right"/>
            </w:pPr>
            <w:r>
              <w:rPr>
                <w:rFonts w:ascii="Arial" w:hAnsi="Arial"/>
                <w:sz w:val="18"/>
              </w:rPr>
              <w:t>+0.7603</w:t>
            </w:r>
          </w:p>
        </w:tc>
        <w:tc>
          <w:tcPr>
            <w:tcW w:type="dxa" w:w="1806"/>
          </w:tcPr>
          <w:p>
            <w:pPr>
              <w:jc w:val="right"/>
            </w:pPr>
            <w:r>
              <w:rPr>
                <w:rFonts w:ascii="Arial" w:hAnsi="Arial"/>
                <w:sz w:val="18"/>
              </w:rPr>
              <w:t>+0.06%</w:t>
            </w:r>
          </w:p>
        </w:tc>
      </w:tr>
      <w:tr>
        <w:tc>
          <w:tcPr>
            <w:tcW w:type="dxa" w:w="1806"/>
            <w:shd w:fill="F2F6FC" w:val="clear"/>
          </w:tcPr>
          <w:p>
            <w:r>
              <w:rPr>
                <w:rFonts w:ascii="Arial" w:hAnsi="Arial"/>
                <w:sz w:val="18"/>
              </w:rPr>
              <w:t>Diesel (tCO₂e)</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+77.7156</w:t>
            </w:r>
          </w:p>
        </w:tc>
        <w:tc>
          <w:tcPr>
            <w:tcW w:type="dxa" w:w="1806"/>
            <w:shd w:fill="F2F6FC" w:val="clear"/>
          </w:tcPr>
          <w:p>
            <w:pPr>
              <w:jc w:val="right"/>
            </w:pPr>
            <w:r>
              <w:rPr>
                <w:rFonts w:ascii="Arial" w:hAnsi="Arial"/>
                <w:sz w:val="18"/>
              </w:rPr>
              <w:t>+3.66%</w:t>
            </w:r>
          </w:p>
        </w:tc>
      </w:tr>
      <w:tr>
        <w:tc>
          <w:tcPr>
            <w:tcW w:type="dxa" w:w="1806"/>
          </w:tcPr>
          <w:p>
            <w:r>
              <w:rPr>
                <w:rFonts w:ascii="Arial" w:hAnsi="Arial"/>
                <w:sz w:val="18"/>
              </w:rPr>
              <w:t>Total Scope 1 (tCO₂e)</w:t>
            </w:r>
          </w:p>
        </w:tc>
        <w:tc>
          <w:tcPr>
            <w:tcW w:type="dxa" w:w="1806"/>
          </w:tcPr>
          <w:p>
            <w:pPr>
              <w:jc w:val="right"/>
            </w:pPr>
            <w:r>
              <w:rPr>
                <w:rFonts w:ascii="Arial" w:hAnsi="Arial"/>
                <w:sz w:val="18"/>
              </w:rPr>
              <w:t>3,324.521</w:t>
            </w:r>
          </w:p>
        </w:tc>
        <w:tc>
          <w:tcPr>
            <w:tcW w:type="dxa" w:w="1806"/>
          </w:tcPr>
          <w:p>
            <w:pPr>
              <w:jc w:val="right"/>
            </w:pPr>
            <w:r>
              <w:rPr>
                <w:rFonts w:ascii="Arial" w:hAnsi="Arial"/>
                <w:sz w:val="18"/>
              </w:rPr>
              <w:t>3,402.997</w:t>
            </w:r>
          </w:p>
        </w:tc>
        <w:tc>
          <w:tcPr>
            <w:tcW w:type="dxa" w:w="1806"/>
          </w:tcPr>
          <w:p>
            <w:pPr>
              <w:jc w:val="right"/>
            </w:pPr>
            <w:r>
              <w:rPr>
                <w:rFonts w:ascii="Arial" w:hAnsi="Arial"/>
                <w:sz w:val="18"/>
              </w:rPr>
              <w:t>+78.476</w:t>
            </w:r>
          </w:p>
        </w:tc>
        <w:tc>
          <w:tcPr>
            <w:tcW w:type="dxa" w:w="1806"/>
          </w:tcPr>
          <w:p>
            <w:pPr>
              <w:jc w:val="right"/>
            </w:pPr>
            <w:r>
              <w:rPr>
                <w:rFonts w:ascii="Arial" w:hAnsi="Arial"/>
                <w:sz w:val="18"/>
              </w:rPr>
              <w:t>+2.36%</w:t>
            </w:r>
          </w:p>
        </w:tc>
      </w:tr>
    </w:tbl>
    <w:p>
      <w:r>
        <w:rPr>
          <w:rFonts w:ascii="Arial" w:hAnsi="Arial"/>
          <w:i/>
          <w:sz w:val="16"/>
        </w:rPr>
        <w:t>Source: Source: GHG inventory 2023-2024. Methodology: GHG Protocol Corporate Standard.</w:t>
      </w:r>
    </w:p>
    <w:p/>
    <w:p>
      <w:r>
        <w:rPr>
          <w:rFonts w:ascii="Arial" w:hAnsi="Arial"/>
          <w:b/>
          <w:sz w:val="20"/>
        </w:rPr>
        <w:t>Table 16: Table 1.1.3: Top Five Emitting Facilities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Facility ID</w:t>
            </w:r>
          </w:p>
        </w:tc>
        <w:tc>
          <w:tcPr>
            <w:tcW w:type="dxa" w:w="1806"/>
            <w:shd w:fill="1B3A6B" w:val="clear"/>
          </w:tcPr>
          <w:p>
            <w:r>
              <w:rPr>
                <w:rFonts w:ascii="Arial" w:hAnsi="Arial"/>
                <w:b/>
                <w:color w:val="FFFFFF"/>
                <w:sz w:val="18"/>
              </w:rPr>
              <w:t>Total Scope 1 (tCO₂e)</w:t>
            </w:r>
          </w:p>
        </w:tc>
        <w:tc>
          <w:tcPr>
            <w:tcW w:type="dxa" w:w="1806"/>
            <w:shd w:fill="1B3A6B" w:val="clear"/>
          </w:tcPr>
          <w:p>
            <w:r>
              <w:rPr>
                <w:rFonts w:ascii="Arial" w:hAnsi="Arial"/>
                <w:b/>
                <w:color w:val="FFFFFF"/>
                <w:sz w:val="18"/>
              </w:rPr>
              <w:t>Natural Gas (tCO₂e)</w:t>
            </w:r>
          </w:p>
        </w:tc>
        <w:tc>
          <w:tcPr>
            <w:tcW w:type="dxa" w:w="1806"/>
            <w:shd w:fill="1B3A6B" w:val="clear"/>
          </w:tcPr>
          <w:p>
            <w:r>
              <w:rPr>
                <w:rFonts w:ascii="Arial" w:hAnsi="Arial"/>
                <w:b/>
                <w:color w:val="FFFFFF"/>
                <w:sz w:val="18"/>
              </w:rPr>
              <w:t>Diesel (tCO₂e)</w:t>
            </w:r>
          </w:p>
        </w:tc>
        <w:tc>
          <w:tcPr>
            <w:tcW w:type="dxa" w:w="1806"/>
            <w:shd w:fill="1B3A6B" w:val="clear"/>
          </w:tcPr>
          <w:p>
            <w:r>
              <w:rPr>
                <w:rFonts w:ascii="Arial" w:hAnsi="Arial"/>
                <w:b/>
                <w:color w:val="FFFFFF"/>
                <w:sz w:val="18"/>
              </w:rPr>
              <w:t>Data Quality Score</w:t>
            </w:r>
          </w:p>
        </w:tc>
      </w:tr>
      <w:tr>
        <w:tc>
          <w:tcPr>
            <w:tcW w:type="dxa" w:w="1806"/>
          </w:tcPr>
          <w:p>
            <w:r>
              <w:rPr>
                <w:rFonts w:ascii="Arial" w:hAnsi="Arial"/>
                <w:sz w:val="18"/>
              </w:rPr>
              <w:t>FAC-0197</w:t>
            </w:r>
          </w:p>
        </w:tc>
        <w:tc>
          <w:tcPr>
            <w:tcW w:type="dxa" w:w="1806"/>
          </w:tcPr>
          <w:p>
            <w:pPr>
              <w:jc w:val="right"/>
            </w:pPr>
            <w:r>
              <w:rPr>
                <w:rFonts w:ascii="Arial" w:hAnsi="Arial"/>
                <w:sz w:val="18"/>
              </w:rPr>
              <w:t>147.7152</w:t>
            </w:r>
          </w:p>
        </w:tc>
        <w:tc>
          <w:tcPr>
            <w:tcW w:type="dxa" w:w="1806"/>
          </w:tcPr>
          <w:p>
            <w:pPr>
              <w:jc w:val="right"/>
            </w:pPr>
            <w:r>
              <w:rPr>
                <w:rFonts w:ascii="Arial" w:hAnsi="Arial"/>
                <w:sz w:val="18"/>
              </w:rPr>
              <w:t>65.1748</w:t>
            </w:r>
          </w:p>
        </w:tc>
        <w:tc>
          <w:tcPr>
            <w:tcW w:type="dxa" w:w="1806"/>
          </w:tcPr>
          <w:p>
            <w:pPr>
              <w:jc w:val="right"/>
            </w:pPr>
            <w:r>
              <w:rPr>
                <w:rFonts w:ascii="Arial" w:hAnsi="Arial"/>
                <w:sz w:val="18"/>
              </w:rPr>
              <w:t>82.5404</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FAC-0198</w:t>
            </w:r>
          </w:p>
        </w:tc>
        <w:tc>
          <w:tcPr>
            <w:tcW w:type="dxa" w:w="1806"/>
            <w:shd w:fill="F2F6FC" w:val="clear"/>
          </w:tcPr>
          <w:p>
            <w:pPr>
              <w:jc w:val="right"/>
            </w:pPr>
            <w:r>
              <w:rPr>
                <w:rFonts w:ascii="Arial" w:hAnsi="Arial"/>
                <w:sz w:val="18"/>
              </w:rPr>
              <w:t>137.8381</w:t>
            </w:r>
          </w:p>
        </w:tc>
        <w:tc>
          <w:tcPr>
            <w:tcW w:type="dxa" w:w="1806"/>
            <w:shd w:fill="F2F6FC" w:val="clear"/>
          </w:tcPr>
          <w:p>
            <w:pPr>
              <w:jc w:val="right"/>
            </w:pPr>
            <w:r>
              <w:rPr>
                <w:rFonts w:ascii="Arial" w:hAnsi="Arial"/>
                <w:sz w:val="18"/>
              </w:rPr>
              <w:t>54.446</w:t>
            </w:r>
          </w:p>
        </w:tc>
        <w:tc>
          <w:tcPr>
            <w:tcW w:type="dxa" w:w="1806"/>
            <w:shd w:fill="F2F6FC" w:val="clear"/>
          </w:tcPr>
          <w:p>
            <w:pPr>
              <w:jc w:val="right"/>
            </w:pPr>
            <w:r>
              <w:rPr>
                <w:rFonts w:ascii="Arial" w:hAnsi="Arial"/>
                <w:sz w:val="18"/>
              </w:rPr>
              <w:t>83.3921</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FAC-0200</w:t>
            </w:r>
          </w:p>
        </w:tc>
        <w:tc>
          <w:tcPr>
            <w:tcW w:type="dxa" w:w="1806"/>
          </w:tcPr>
          <w:p>
            <w:pPr>
              <w:jc w:val="right"/>
            </w:pPr>
            <w:r>
              <w:rPr>
                <w:rFonts w:ascii="Arial" w:hAnsi="Arial"/>
                <w:sz w:val="18"/>
              </w:rPr>
              <w:t>131.4422</w:t>
            </w:r>
          </w:p>
        </w:tc>
        <w:tc>
          <w:tcPr>
            <w:tcW w:type="dxa" w:w="1806"/>
          </w:tcPr>
          <w:p>
            <w:pPr>
              <w:jc w:val="right"/>
            </w:pPr>
            <w:r>
              <w:rPr>
                <w:rFonts w:ascii="Arial" w:hAnsi="Arial"/>
                <w:sz w:val="18"/>
              </w:rPr>
              <w:t>57.0202</w:t>
            </w:r>
          </w:p>
        </w:tc>
        <w:tc>
          <w:tcPr>
            <w:tcW w:type="dxa" w:w="1806"/>
          </w:tcPr>
          <w:p>
            <w:pPr>
              <w:jc w:val="right"/>
            </w:pPr>
            <w:r>
              <w:rPr>
                <w:rFonts w:ascii="Arial" w:hAnsi="Arial"/>
                <w:sz w:val="18"/>
              </w:rPr>
              <w:t>74.422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FAC-0196</w:t>
            </w:r>
          </w:p>
        </w:tc>
        <w:tc>
          <w:tcPr>
            <w:tcW w:type="dxa" w:w="1806"/>
            <w:shd w:fill="F2F6FC" w:val="clear"/>
          </w:tcPr>
          <w:p>
            <w:pPr>
              <w:jc w:val="right"/>
            </w:pPr>
            <w:r>
              <w:rPr>
                <w:rFonts w:ascii="Arial" w:hAnsi="Arial"/>
                <w:sz w:val="18"/>
              </w:rPr>
              <w:t>124.4219</w:t>
            </w:r>
          </w:p>
        </w:tc>
        <w:tc>
          <w:tcPr>
            <w:tcW w:type="dxa" w:w="1806"/>
            <w:shd w:fill="F2F6FC" w:val="clear"/>
          </w:tcPr>
          <w:p>
            <w:pPr>
              <w:jc w:val="right"/>
            </w:pPr>
            <w:r>
              <w:rPr>
                <w:rFonts w:ascii="Arial" w:hAnsi="Arial"/>
                <w:sz w:val="18"/>
              </w:rPr>
              <w:t>51.7527</w:t>
            </w:r>
          </w:p>
        </w:tc>
        <w:tc>
          <w:tcPr>
            <w:tcW w:type="dxa" w:w="1806"/>
            <w:shd w:fill="F2F6FC" w:val="clear"/>
          </w:tcPr>
          <w:p>
            <w:pPr>
              <w:jc w:val="right"/>
            </w:pPr>
            <w:r>
              <w:rPr>
                <w:rFonts w:ascii="Arial" w:hAnsi="Arial"/>
                <w:sz w:val="18"/>
              </w:rPr>
              <w:t>72.6692</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FAC-0199</w:t>
            </w:r>
          </w:p>
        </w:tc>
        <w:tc>
          <w:tcPr>
            <w:tcW w:type="dxa" w:w="1806"/>
          </w:tcPr>
          <w:p>
            <w:pPr>
              <w:jc w:val="right"/>
            </w:pPr>
            <w:r>
              <w:rPr>
                <w:rFonts w:ascii="Arial" w:hAnsi="Arial"/>
                <w:sz w:val="18"/>
              </w:rPr>
              <w:t>109.4122</w:t>
            </w:r>
          </w:p>
        </w:tc>
        <w:tc>
          <w:tcPr>
            <w:tcW w:type="dxa" w:w="1806"/>
          </w:tcPr>
          <w:p>
            <w:pPr>
              <w:jc w:val="right"/>
            </w:pPr>
            <w:r>
              <w:rPr>
                <w:rFonts w:ascii="Arial" w:hAnsi="Arial"/>
                <w:sz w:val="18"/>
              </w:rPr>
              <w:t>52.015</w:t>
            </w:r>
          </w:p>
        </w:tc>
        <w:tc>
          <w:tcPr>
            <w:tcW w:type="dxa" w:w="1806"/>
          </w:tcPr>
          <w:p>
            <w:pPr>
              <w:jc w:val="right"/>
            </w:pPr>
            <w:r>
              <w:rPr>
                <w:rFonts w:ascii="Arial" w:hAnsi="Arial"/>
                <w:sz w:val="18"/>
              </w:rPr>
              <w:t>57.3972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Top 5 Subtotal</w:t>
            </w:r>
          </w:p>
        </w:tc>
        <w:tc>
          <w:tcPr>
            <w:tcW w:type="dxa" w:w="1806"/>
            <w:shd w:fill="F2F6FC" w:val="clear"/>
          </w:tcPr>
          <w:p>
            <w:pPr>
              <w:jc w:val="right"/>
            </w:pPr>
            <w:r>
              <w:rPr>
                <w:rFonts w:ascii="Arial" w:hAnsi="Arial"/>
                <w:sz w:val="18"/>
              </w:rPr>
              <w:t>650.8296</w:t>
            </w:r>
          </w:p>
        </w:tc>
        <w:tc>
          <w:tcPr>
            <w:tcW w:type="dxa" w:w="1806"/>
            <w:shd w:fill="F2F6FC" w:val="clear"/>
          </w:tcPr>
          <w:p>
            <w:pPr>
              <w:jc w:val="right"/>
            </w:pPr>
            <w:r>
              <w:rPr>
                <w:rFonts w:ascii="Arial" w:hAnsi="Arial"/>
                <w:sz w:val="18"/>
              </w:rPr>
              <w:t>280.4087</w:t>
            </w:r>
          </w:p>
        </w:tc>
        <w:tc>
          <w:tcPr>
            <w:tcW w:type="dxa" w:w="1806"/>
            <w:shd w:fill="F2F6FC" w:val="clear"/>
          </w:tcPr>
          <w:p>
            <w:pPr>
              <w:jc w:val="right"/>
            </w:pPr>
            <w:r>
              <w:rPr>
                <w:rFonts w:ascii="Arial" w:hAnsi="Arial"/>
                <w:sz w:val="18"/>
              </w:rPr>
              <w:t>370.4209</w:t>
            </w:r>
          </w:p>
        </w:tc>
        <w:tc>
          <w:tcPr>
            <w:tcW w:type="dxa" w:w="1806"/>
            <w:shd w:fill="F2F6FC" w:val="clear"/>
          </w:tcPr>
          <w:p>
            <w:r>
              <w:rPr>
                <w:rFonts w:ascii="Arial" w:hAnsi="Arial"/>
                <w:sz w:val="18"/>
              </w:rPr>
              <w:t>—</w:t>
            </w:r>
          </w:p>
        </w:tc>
      </w:tr>
      <w:tr>
        <w:tc>
          <w:tcPr>
            <w:tcW w:type="dxa" w:w="1806"/>
          </w:tcPr>
          <w:p>
            <w:r>
              <w:rPr>
                <w:rFonts w:ascii="Arial" w:hAnsi="Arial"/>
                <w:sz w:val="18"/>
              </w:rPr>
              <w:t>All Other Facilities</w:t>
            </w:r>
          </w:p>
        </w:tc>
        <w:tc>
          <w:tcPr>
            <w:tcW w:type="dxa" w:w="1806"/>
          </w:tcPr>
          <w:p>
            <w:pPr>
              <w:jc w:val="right"/>
            </w:pPr>
            <w:r>
              <w:rPr>
                <w:rFonts w:ascii="Arial" w:hAnsi="Arial"/>
                <w:sz w:val="18"/>
              </w:rPr>
              <w:t>2,752.1674</w:t>
            </w:r>
          </w:p>
        </w:tc>
        <w:tc>
          <w:tcPr>
            <w:tcW w:type="dxa" w:w="1806"/>
          </w:tcPr>
          <w:p>
            <w:pPr>
              <w:jc w:val="right"/>
            </w:pPr>
            <w:r>
              <w:rPr>
                <w:rFonts w:ascii="Arial" w:hAnsi="Arial"/>
                <w:sz w:val="18"/>
              </w:rPr>
              <w:t>919.3837</w:t>
            </w:r>
          </w:p>
        </w:tc>
        <w:tc>
          <w:tcPr>
            <w:tcW w:type="dxa" w:w="1806"/>
          </w:tcPr>
          <w:p>
            <w:pPr>
              <w:jc w:val="right"/>
            </w:pPr>
            <w:r>
              <w:rPr>
                <w:rFonts w:ascii="Arial" w:hAnsi="Arial"/>
                <w:sz w:val="18"/>
              </w:rPr>
              <w:t>1,832.7835</w:t>
            </w:r>
          </w:p>
        </w:tc>
        <w:tc>
          <w:tcPr>
            <w:tcW w:type="dxa" w:w="1806"/>
          </w:tcPr>
          <w:p>
            <w:r>
              <w:rPr>
                <w:rFonts w:ascii="Arial" w:hAnsi="Arial"/>
                <w:sz w:val="18"/>
              </w:rPr>
              <w:t>—</w:t>
            </w:r>
          </w:p>
        </w:tc>
      </w:tr>
      <w:tr>
        <w:tc>
          <w:tcPr>
            <w:tcW w:type="dxa" w:w="1806"/>
            <w:shd w:fill="F2F6FC" w:val="clear"/>
          </w:tcPr>
          <w:p>
            <w:r>
              <w:rPr>
                <w:rFonts w:ascii="Arial" w:hAnsi="Arial"/>
                <w:sz w:val="18"/>
              </w:rPr>
              <w:t>Total</w:t>
            </w:r>
          </w:p>
        </w:tc>
        <w:tc>
          <w:tcPr>
            <w:tcW w:type="dxa" w:w="1806"/>
            <w:shd w:fill="F2F6FC" w:val="clear"/>
          </w:tcPr>
          <w:p>
            <w:pPr>
              <w:jc w:val="right"/>
            </w:pPr>
            <w:r>
              <w:rPr>
                <w:rFonts w:ascii="Arial" w:hAnsi="Arial"/>
                <w:sz w:val="18"/>
              </w:rPr>
              <w:t>3,402.997</w:t>
            </w:r>
          </w:p>
        </w:tc>
        <w:tc>
          <w:tcPr>
            <w:tcW w:type="dxa" w:w="1806"/>
            <w:shd w:fill="F2F6FC" w:val="clear"/>
          </w:tcPr>
          <w:p>
            <w:pPr>
              <w:jc w:val="right"/>
            </w:pPr>
            <w:r>
              <w:rPr>
                <w:rFonts w:ascii="Arial" w:hAnsi="Arial"/>
                <w:sz w:val="18"/>
              </w:rPr>
              <w:t>1,199.7924</w:t>
            </w:r>
          </w:p>
        </w:tc>
        <w:tc>
          <w:tcPr>
            <w:tcW w:type="dxa" w:w="1806"/>
            <w:shd w:fill="F2F6FC" w:val="clear"/>
          </w:tcPr>
          <w:p>
            <w:pPr>
              <w:jc w:val="right"/>
            </w:pPr>
            <w:r>
              <w:rPr>
                <w:rFonts w:ascii="Arial" w:hAnsi="Arial"/>
                <w:sz w:val="18"/>
              </w:rPr>
              <w:t>2,203.2044</w:t>
            </w:r>
          </w:p>
        </w:tc>
        <w:tc>
          <w:tcPr>
            <w:tcW w:type="dxa" w:w="1806"/>
            <w:shd w:fill="F2F6FC" w:val="clear"/>
          </w:tcPr>
          <w:p>
            <w:r>
              <w:rPr>
                <w:rFonts w:ascii="Arial" w:hAnsi="Arial"/>
                <w:sz w:val="18"/>
              </w:rPr>
              <w:t>—</w:t>
            </w:r>
          </w:p>
        </w:tc>
      </w:tr>
    </w:tbl>
    <w:p>
      <w:r>
        <w:rPr>
          <w:rFonts w:ascii="Arial" w:hAnsi="Arial"/>
          <w:i/>
          <w:sz w:val="16"/>
        </w:rPr>
        <w:t>Source: Source: Facility Management System. Data quality score: 1 = primary data (utility bills/fuel receipts), no estimation.</w:t>
      </w:r>
    </w:p>
    <w:p/>
    <w:p>
      <w:r>
        <w:rPr>
          <w:rFonts w:ascii="Arial" w:hAnsi="Arial"/>
          <w:b/>
          <w:sz w:val="20"/>
        </w:rPr>
        <w:t>Table 18: Table 1.1.4: Framework Cross-Reference — Scope 1 Disclosure Compliance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305-1</w:t>
            </w:r>
          </w:p>
        </w:tc>
        <w:tc>
          <w:tcPr>
            <w:tcW w:type="dxa" w:w="2257"/>
          </w:tcPr>
          <w:p>
            <w:r>
              <w:rPr>
                <w:rFonts w:ascii="Arial" w:hAnsi="Arial"/>
                <w:sz w:val="18"/>
              </w:rPr>
              <w:t>305-1a</w:t>
            </w:r>
          </w:p>
        </w:tc>
        <w:tc>
          <w:tcPr>
            <w:tcW w:type="dxa" w:w="2257"/>
          </w:tcPr>
          <w:p>
            <w:r>
              <w:rPr>
                <w:rFonts w:ascii="Arial" w:hAnsi="Arial"/>
                <w:sz w:val="18"/>
              </w:rPr>
              <w:t>Gross direct (Scope 1) GHG emissions in metric tons of CO₂ equivalent</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305-1b</w:t>
            </w:r>
          </w:p>
        </w:tc>
        <w:tc>
          <w:tcPr>
            <w:tcW w:type="dxa" w:w="2257"/>
            <w:shd w:fill="F2F6FC" w:val="clear"/>
          </w:tcPr>
          <w:p>
            <w:r>
              <w:rPr>
                <w:rFonts w:ascii="Arial" w:hAnsi="Arial"/>
                <w:sz w:val="18"/>
              </w:rPr>
              <w:t>Gases included in the calculation (CO₂, CH₄, N₂O, HFCs, PFCs, SF₆, NF₃)</w:t>
            </w:r>
          </w:p>
        </w:tc>
        <w:tc>
          <w:tcPr>
            <w:tcW w:type="dxa" w:w="2257"/>
            <w:shd w:fill="F2F6FC" w:val="clear"/>
          </w:tcPr>
          <w:p>
            <w:r>
              <w:rPr>
                <w:rFonts w:ascii="Arial" w:hAnsi="Arial"/>
                <w:sz w:val="18"/>
              </w:rPr>
              <w:t>✅ Disclosed (CO₂, CH₄, N₂O)</w:t>
            </w:r>
          </w:p>
        </w:tc>
      </w:tr>
      <w:tr>
        <w:tc>
          <w:tcPr>
            <w:tcW w:type="dxa" w:w="2257"/>
          </w:tcPr>
          <w:p>
            <w:r>
              <w:rPr>
                <w:rFonts w:ascii="Arial" w:hAnsi="Arial"/>
                <w:sz w:val="18"/>
              </w:rPr>
              <w:t>GRI 305-1</w:t>
            </w:r>
          </w:p>
        </w:tc>
        <w:tc>
          <w:tcPr>
            <w:tcW w:type="dxa" w:w="2257"/>
          </w:tcPr>
          <w:p>
            <w:r>
              <w:rPr>
                <w:rFonts w:ascii="Arial" w:hAnsi="Arial"/>
                <w:sz w:val="18"/>
              </w:rPr>
              <w:t>305-1c</w:t>
            </w:r>
          </w:p>
        </w:tc>
        <w:tc>
          <w:tcPr>
            <w:tcW w:type="dxa" w:w="2257"/>
          </w:tcPr>
          <w:p>
            <w:r>
              <w:rPr>
                <w:rFonts w:ascii="Arial" w:hAnsi="Arial"/>
                <w:sz w:val="18"/>
              </w:rPr>
              <w:t>Biogenic CO₂ emissions in metric tons of CO₂ equivalent</w:t>
            </w:r>
          </w:p>
        </w:tc>
        <w:tc>
          <w:tcPr>
            <w:tcW w:type="dxa" w:w="2257"/>
          </w:tcPr>
          <w:p>
            <w:r>
              <w:rPr>
                <w:rFonts w:ascii="Arial" w:hAnsi="Arial"/>
                <w:sz w:val="18"/>
              </w:rPr>
              <w:t>❌ CRITICAL GAP</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305-1d</w:t>
            </w:r>
          </w:p>
        </w:tc>
        <w:tc>
          <w:tcPr>
            <w:tcW w:type="dxa" w:w="2257"/>
            <w:shd w:fill="F2F6FC" w:val="clear"/>
          </w:tcPr>
          <w:p>
            <w:r>
              <w:rPr>
                <w:rFonts w:ascii="Arial" w:hAnsi="Arial"/>
                <w:sz w:val="18"/>
              </w:rPr>
              <w:t>Base year for calculation, rationale, emissions in base year, context for significant changes</w:t>
            </w:r>
          </w:p>
        </w:tc>
        <w:tc>
          <w:tcPr>
            <w:tcW w:type="dxa" w:w="2257"/>
            <w:shd w:fill="F2F6FC" w:val="clear"/>
          </w:tcPr>
          <w:p>
            <w:r>
              <w:rPr>
                <w:rFonts w:ascii="Arial" w:hAnsi="Arial"/>
                <w:sz w:val="18"/>
              </w:rPr>
              <w:t>⚠️ PARTIAL (base year not disclosed)</w:t>
            </w:r>
          </w:p>
        </w:tc>
      </w:tr>
      <w:tr>
        <w:tc>
          <w:tcPr>
            <w:tcW w:type="dxa" w:w="2257"/>
          </w:tcPr>
          <w:p>
            <w:r>
              <w:rPr>
                <w:rFonts w:ascii="Arial" w:hAnsi="Arial"/>
                <w:sz w:val="18"/>
              </w:rPr>
              <w:t>GRI 305-1</w:t>
            </w:r>
          </w:p>
        </w:tc>
        <w:tc>
          <w:tcPr>
            <w:tcW w:type="dxa" w:w="2257"/>
          </w:tcPr>
          <w:p>
            <w:r>
              <w:rPr>
                <w:rFonts w:ascii="Arial" w:hAnsi="Arial"/>
                <w:sz w:val="18"/>
              </w:rPr>
              <w:t>305-1e</w:t>
            </w:r>
          </w:p>
        </w:tc>
        <w:tc>
          <w:tcPr>
            <w:tcW w:type="dxa" w:w="2257"/>
          </w:tcPr>
          <w:p>
            <w:r>
              <w:rPr>
                <w:rFonts w:ascii="Arial" w:hAnsi="Arial"/>
                <w:sz w:val="18"/>
              </w:rPr>
              <w:t>Source of emission factors and global warming potential (GWP) rates used</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305-1f</w:t>
            </w:r>
          </w:p>
        </w:tc>
        <w:tc>
          <w:tcPr>
            <w:tcW w:type="dxa" w:w="2257"/>
            <w:shd w:fill="F2F6FC" w:val="clear"/>
          </w:tcPr>
          <w:p>
            <w:r>
              <w:rPr>
                <w:rFonts w:ascii="Arial" w:hAnsi="Arial"/>
                <w:sz w:val="18"/>
              </w:rPr>
              <w:t>Consolidation approach for emissions (equity share, financial control, operational control)</w:t>
            </w:r>
          </w:p>
        </w:tc>
        <w:tc>
          <w:tcPr>
            <w:tcW w:type="dxa" w:w="2257"/>
            <w:shd w:fill="F2F6FC" w:val="clear"/>
          </w:tcPr>
          <w:p>
            <w:r>
              <w:rPr>
                <w:rFonts w:ascii="Arial" w:hAnsi="Arial"/>
                <w:sz w:val="18"/>
              </w:rPr>
              <w:t>✅ Disclosed</w:t>
            </w:r>
          </w:p>
        </w:tc>
      </w:tr>
      <w:tr>
        <w:tc>
          <w:tcPr>
            <w:tcW w:type="dxa" w:w="2257"/>
          </w:tcPr>
          <w:p>
            <w:r>
              <w:rPr>
                <w:rFonts w:ascii="Arial" w:hAnsi="Arial"/>
                <w:sz w:val="18"/>
              </w:rPr>
              <w:t>GRI 305-1</w:t>
            </w:r>
          </w:p>
        </w:tc>
        <w:tc>
          <w:tcPr>
            <w:tcW w:type="dxa" w:w="2257"/>
          </w:tcPr>
          <w:p>
            <w:r>
              <w:rPr>
                <w:rFonts w:ascii="Arial" w:hAnsi="Arial"/>
                <w:sz w:val="18"/>
              </w:rPr>
              <w:t>305-1g</w:t>
            </w:r>
          </w:p>
        </w:tc>
        <w:tc>
          <w:tcPr>
            <w:tcW w:type="dxa" w:w="2257"/>
          </w:tcPr>
          <w:p>
            <w:r>
              <w:rPr>
                <w:rFonts w:ascii="Arial" w:hAnsi="Arial"/>
                <w:sz w:val="18"/>
              </w:rPr>
              <w:t>Standards, methodologies, assumptions, and/or calculation tools used</w:t>
            </w:r>
          </w:p>
        </w:tc>
        <w:tc>
          <w:tcPr>
            <w:tcW w:type="dxa" w:w="2257"/>
          </w:tcPr>
          <w:p>
            <w:r>
              <w:rPr>
                <w:rFonts w:ascii="Arial" w:hAnsi="Arial"/>
                <w:sz w:val="18"/>
              </w:rPr>
              <w:t>✅ Disclosed</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29(a)(i)</w:t>
            </w:r>
          </w:p>
        </w:tc>
        <w:tc>
          <w:tcPr>
            <w:tcW w:type="dxa" w:w="2257"/>
            <w:shd w:fill="F2F6FC" w:val="clear"/>
          </w:tcPr>
          <w:p>
            <w:r>
              <w:rPr>
                <w:rFonts w:ascii="Arial" w:hAnsi="Arial"/>
                <w:sz w:val="18"/>
              </w:rPr>
              <w:t>Absolute gross greenhouse gas emissions (Scope 1)</w:t>
            </w:r>
          </w:p>
        </w:tc>
        <w:tc>
          <w:tcPr>
            <w:tcW w:type="dxa" w:w="2257"/>
            <w:shd w:fill="F2F6FC" w:val="clear"/>
          </w:tcPr>
          <w:p>
            <w:r>
              <w:rPr>
                <w:rFonts w:ascii="Arial" w:hAnsi="Arial"/>
                <w:sz w:val="18"/>
              </w:rPr>
              <w:t>✅ Disclosed</w:t>
            </w:r>
          </w:p>
        </w:tc>
      </w:tr>
      <w:tr>
        <w:tc>
          <w:tcPr>
            <w:tcW w:type="dxa" w:w="2257"/>
          </w:tcPr>
          <w:p>
            <w:r>
              <w:rPr>
                <w:rFonts w:ascii="Arial" w:hAnsi="Arial"/>
                <w:sz w:val="18"/>
              </w:rPr>
              <w:t>IFRS S2</w:t>
            </w:r>
          </w:p>
        </w:tc>
        <w:tc>
          <w:tcPr>
            <w:tcW w:type="dxa" w:w="2257"/>
          </w:tcPr>
          <w:p>
            <w:r>
              <w:rPr>
                <w:rFonts w:ascii="Arial" w:hAnsi="Arial"/>
                <w:sz w:val="18"/>
              </w:rPr>
              <w:t>Para 29(b)</w:t>
            </w:r>
          </w:p>
        </w:tc>
        <w:tc>
          <w:tcPr>
            <w:tcW w:type="dxa" w:w="2257"/>
          </w:tcPr>
          <w:p>
            <w:r>
              <w:rPr>
                <w:rFonts w:ascii="Arial" w:hAnsi="Arial"/>
                <w:sz w:val="18"/>
              </w:rPr>
              <w:t>Amount of change in emissions and direction of change (trend over time)</w:t>
            </w:r>
          </w:p>
        </w:tc>
        <w:tc>
          <w:tcPr>
            <w:tcW w:type="dxa" w:w="2257"/>
          </w:tcPr>
          <w:p>
            <w:r>
              <w:rPr>
                <w:rFonts w:ascii="Arial" w:hAnsi="Arial"/>
                <w:sz w:val="18"/>
              </w:rPr>
              <w:t>✅ Disclosed</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29(c)</w:t>
            </w:r>
          </w:p>
        </w:tc>
        <w:tc>
          <w:tcPr>
            <w:tcW w:type="dxa" w:w="2257"/>
            <w:shd w:fill="F2F6FC" w:val="clear"/>
          </w:tcPr>
          <w:p>
            <w:r>
              <w:rPr>
                <w:rFonts w:ascii="Arial" w:hAnsi="Arial"/>
                <w:sz w:val="18"/>
              </w:rPr>
              <w:t>Measurement approach, inputs, and assumptions used</w:t>
            </w:r>
          </w:p>
        </w:tc>
        <w:tc>
          <w:tcPr>
            <w:tcW w:type="dxa" w:w="2257"/>
            <w:shd w:fill="F2F6FC" w:val="clear"/>
          </w:tcPr>
          <w:p>
            <w:r>
              <w:rPr>
                <w:rFonts w:ascii="Arial" w:hAnsi="Arial"/>
                <w:sz w:val="18"/>
              </w:rPr>
              <w:t>✅ Disclosed</w:t>
            </w:r>
          </w:p>
        </w:tc>
      </w:tr>
      <w:tr>
        <w:tc>
          <w:tcPr>
            <w:tcW w:type="dxa" w:w="2257"/>
          </w:tcPr>
          <w:p>
            <w:r>
              <w:rPr>
                <w:rFonts w:ascii="Arial" w:hAnsi="Arial"/>
                <w:sz w:val="18"/>
              </w:rPr>
              <w:t>ESRS E1</w:t>
            </w:r>
          </w:p>
        </w:tc>
        <w:tc>
          <w:tcPr>
            <w:tcW w:type="dxa" w:w="2257"/>
          </w:tcPr>
          <w:p>
            <w:r>
              <w:rPr>
                <w:rFonts w:ascii="Arial" w:hAnsi="Arial"/>
                <w:sz w:val="18"/>
              </w:rPr>
              <w:t>DR E1-6.44</w:t>
            </w:r>
          </w:p>
        </w:tc>
        <w:tc>
          <w:tcPr>
            <w:tcW w:type="dxa" w:w="2257"/>
          </w:tcPr>
          <w:p>
            <w:r>
              <w:rPr>
                <w:rFonts w:ascii="Arial" w:hAnsi="Arial"/>
                <w:sz w:val="18"/>
              </w:rPr>
              <w:t>Gross Scope 1 GHG emissions in metric tons of CO₂ equivalent</w:t>
            </w:r>
          </w:p>
        </w:tc>
        <w:tc>
          <w:tcPr>
            <w:tcW w:type="dxa" w:w="2257"/>
          </w:tcPr>
          <w:p>
            <w:r>
              <w:rPr>
                <w:rFonts w:ascii="Arial" w:hAnsi="Arial"/>
                <w:sz w:val="18"/>
              </w:rPr>
              <w:t>✅ Disclosed</w:t>
            </w:r>
          </w:p>
        </w:tc>
      </w:tr>
      <w:tr>
        <w:tc>
          <w:tcPr>
            <w:tcW w:type="dxa" w:w="2257"/>
            <w:shd w:fill="F2F6FC" w:val="clear"/>
          </w:tcPr>
          <w:p>
            <w:r>
              <w:rPr>
                <w:rFonts w:ascii="Arial" w:hAnsi="Arial"/>
                <w:sz w:val="18"/>
              </w:rPr>
              <w:t>ESRS E1</w:t>
            </w:r>
          </w:p>
        </w:tc>
        <w:tc>
          <w:tcPr>
            <w:tcW w:type="dxa" w:w="2257"/>
            <w:shd w:fill="F2F6FC" w:val="clear"/>
          </w:tcPr>
          <w:p>
            <w:r>
              <w:rPr>
                <w:rFonts w:ascii="Arial" w:hAnsi="Arial"/>
                <w:sz w:val="18"/>
              </w:rPr>
              <w:t>AR 39(a)</w:t>
            </w:r>
          </w:p>
        </w:tc>
        <w:tc>
          <w:tcPr>
            <w:tcW w:type="dxa" w:w="2257"/>
            <w:shd w:fill="F2F6FC" w:val="clear"/>
          </w:tcPr>
          <w:p>
            <w:r>
              <w:rPr>
                <w:rFonts w:ascii="Arial" w:hAnsi="Arial"/>
                <w:sz w:val="18"/>
              </w:rPr>
              <w:t>Application of GHG Protocol Corporate Standard principles and guidance</w:t>
            </w:r>
          </w:p>
        </w:tc>
        <w:tc>
          <w:tcPr>
            <w:tcW w:type="dxa" w:w="2257"/>
            <w:shd w:fill="F2F6FC" w:val="clear"/>
          </w:tcPr>
          <w:p>
            <w:r>
              <w:rPr>
                <w:rFonts w:ascii="Arial" w:hAnsi="Arial"/>
                <w:sz w:val="18"/>
              </w:rPr>
              <w:t>✅ Disclosed</w:t>
            </w:r>
          </w:p>
        </w:tc>
      </w:tr>
      <w:tr>
        <w:tc>
          <w:tcPr>
            <w:tcW w:type="dxa" w:w="2257"/>
          </w:tcPr>
          <w:p>
            <w:r>
              <w:rPr>
                <w:rFonts w:ascii="Arial" w:hAnsi="Arial"/>
                <w:sz w:val="18"/>
              </w:rPr>
              <w:t>ESRS E1</w:t>
            </w:r>
          </w:p>
        </w:tc>
        <w:tc>
          <w:tcPr>
            <w:tcW w:type="dxa" w:w="2257"/>
          </w:tcPr>
          <w:p>
            <w:r>
              <w:rPr>
                <w:rFonts w:ascii="Arial" w:hAnsi="Arial"/>
                <w:sz w:val="18"/>
              </w:rPr>
              <w:t>AR 39(b)</w:t>
            </w:r>
          </w:p>
        </w:tc>
        <w:tc>
          <w:tcPr>
            <w:tcW w:type="dxa" w:w="2257"/>
          </w:tcPr>
          <w:p>
            <w:r>
              <w:rPr>
                <w:rFonts w:ascii="Arial" w:hAnsi="Arial"/>
                <w:sz w:val="18"/>
              </w:rPr>
              <w:t>Disclosure of methodologies, assumptions, and emission factors with rationale</w:t>
            </w:r>
          </w:p>
        </w:tc>
        <w:tc>
          <w:tcPr>
            <w:tcW w:type="dxa" w:w="2257"/>
          </w:tcPr>
          <w:p>
            <w:r>
              <w:rPr>
                <w:rFonts w:ascii="Arial" w:hAnsi="Arial"/>
                <w:sz w:val="18"/>
              </w:rPr>
              <w:t>✅ Disclosed</w:t>
            </w:r>
          </w:p>
        </w:tc>
      </w:tr>
      <w:tr>
        <w:tc>
          <w:tcPr>
            <w:tcW w:type="dxa" w:w="2257"/>
            <w:shd w:fill="F2F6FC" w:val="clear"/>
          </w:tcPr>
          <w:p>
            <w:r>
              <w:rPr>
                <w:rFonts w:ascii="Arial" w:hAnsi="Arial"/>
                <w:sz w:val="18"/>
              </w:rPr>
              <w:t>ESRS E1</w:t>
            </w:r>
          </w:p>
        </w:tc>
        <w:tc>
          <w:tcPr>
            <w:tcW w:type="dxa" w:w="2257"/>
            <w:shd w:fill="F2F6FC" w:val="clear"/>
          </w:tcPr>
          <w:p>
            <w:r>
              <w:rPr>
                <w:rFonts w:ascii="Arial" w:hAnsi="Arial"/>
                <w:sz w:val="18"/>
              </w:rPr>
              <w:t>AR 39(c)</w:t>
            </w:r>
          </w:p>
        </w:tc>
        <w:tc>
          <w:tcPr>
            <w:tcW w:type="dxa" w:w="2257"/>
            <w:shd w:fill="F2F6FC" w:val="clear"/>
          </w:tcPr>
          <w:p>
            <w:r>
              <w:rPr>
                <w:rFonts w:ascii="Arial" w:hAnsi="Arial"/>
                <w:sz w:val="18"/>
              </w:rPr>
              <w:t>Inclusion of CO₂, CH₄, N₂O, HFCs, PFCs, SF₆, NF₃</w:t>
            </w:r>
          </w:p>
        </w:tc>
        <w:tc>
          <w:tcPr>
            <w:tcW w:type="dxa" w:w="2257"/>
            <w:shd w:fill="F2F6FC" w:val="clear"/>
          </w:tcPr>
          <w:p>
            <w:r>
              <w:rPr>
                <w:rFonts w:ascii="Arial" w:hAnsi="Arial"/>
                <w:sz w:val="18"/>
              </w:rPr>
              <w:t>✅ Disclosed (CO₂, CH₄, N₂O)</w:t>
            </w:r>
          </w:p>
        </w:tc>
      </w:tr>
      <w:tr>
        <w:tc>
          <w:tcPr>
            <w:tcW w:type="dxa" w:w="2257"/>
          </w:tcPr>
          <w:p>
            <w:r>
              <w:rPr>
                <w:rFonts w:ascii="Arial" w:hAnsi="Arial"/>
                <w:sz w:val="18"/>
              </w:rPr>
              <w:t>ESRS E1</w:t>
            </w:r>
          </w:p>
        </w:tc>
        <w:tc>
          <w:tcPr>
            <w:tcW w:type="dxa" w:w="2257"/>
          </w:tcPr>
          <w:p>
            <w:r>
              <w:rPr>
                <w:rFonts w:ascii="Arial" w:hAnsi="Arial"/>
                <w:sz w:val="18"/>
              </w:rPr>
              <w:t>AR 39(d)</w:t>
            </w:r>
          </w:p>
        </w:tc>
        <w:tc>
          <w:tcPr>
            <w:tcW w:type="dxa" w:w="2257"/>
          </w:tcPr>
          <w:p>
            <w:r>
              <w:rPr>
                <w:rFonts w:ascii="Arial" w:hAnsi="Arial"/>
                <w:sz w:val="18"/>
              </w:rPr>
              <w:t>Use of most recent IPCC GWP values (100-year time horizon)</w:t>
            </w:r>
          </w:p>
        </w:tc>
        <w:tc>
          <w:tcPr>
            <w:tcW w:type="dxa" w:w="2257"/>
          </w:tcPr>
          <w:p>
            <w:r>
              <w:rPr>
                <w:rFonts w:ascii="Arial" w:hAnsi="Arial"/>
                <w:sz w:val="18"/>
              </w:rPr>
              <w:t>✅ Disclosed (IPCC AR6)</w:t>
            </w:r>
          </w:p>
        </w:tc>
      </w:tr>
      <w:tr>
        <w:tc>
          <w:tcPr>
            <w:tcW w:type="dxa" w:w="2257"/>
            <w:shd w:fill="F2F6FC" w:val="clear"/>
          </w:tcPr>
          <w:p>
            <w:r>
              <w:rPr>
                <w:rFonts w:ascii="Arial" w:hAnsi="Arial"/>
                <w:sz w:val="18"/>
              </w:rPr>
              <w:t>OJK PSPK</w:t>
            </w:r>
          </w:p>
        </w:tc>
        <w:tc>
          <w:tcPr>
            <w:tcW w:type="dxa" w:w="2257"/>
            <w:shd w:fill="F2F6FC" w:val="clear"/>
          </w:tcPr>
          <w:p>
            <w:r>
              <w:rPr>
                <w:rFonts w:ascii="Arial" w:hAnsi="Arial"/>
                <w:sz w:val="18"/>
              </w:rPr>
              <w:t>Emisi GRK Langsung</w:t>
            </w:r>
          </w:p>
        </w:tc>
        <w:tc>
          <w:tcPr>
            <w:tcW w:type="dxa" w:w="2257"/>
            <w:shd w:fill="F2F6FC" w:val="clear"/>
          </w:tcPr>
          <w:p>
            <w:r>
              <w:rPr>
                <w:rFonts w:ascii="Arial" w:hAnsi="Arial"/>
                <w:sz w:val="18"/>
              </w:rPr>
              <w:t>Emisi Lingkup 1 (tCO₂e)</w:t>
            </w:r>
          </w:p>
        </w:tc>
        <w:tc>
          <w:tcPr>
            <w:tcW w:type="dxa" w:w="2257"/>
            <w:shd w:fill="F2F6FC" w:val="clear"/>
          </w:tcPr>
          <w:p>
            <w:r>
              <w:rPr>
                <w:rFonts w:ascii="Arial" w:hAnsi="Arial"/>
                <w:sz w:val="18"/>
              </w:rPr>
              <w:t>✅ Disclosed</w:t>
            </w:r>
          </w:p>
        </w:tc>
      </w:tr>
    </w:tbl>
    <w:p>
      <w:r>
        <w:rPr>
          <w:rFonts w:ascii="Arial" w:hAnsi="Arial"/>
          <w:i/>
          <w:sz w:val="16"/>
        </w:rPr>
        <w:t>Source: Status: ✅ = Fully compliant | ⚠️ = Partially compliant | ❌ = Non-compliant or data gap.</w:t>
      </w:r>
    </w:p>
    <w:p/>
    <w:p/>
    <w:p>
      <w:r>
        <w:drawing>
          <wp:inline xmlns:a="http://schemas.openxmlformats.org/drawingml/2006/main" xmlns:pic="http://schemas.openxmlformats.org/drawingml/2006/picture">
            <wp:extent cx="5029200" cy="3522234"/>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522234"/>
                    </a:xfrm>
                    <a:prstGeom prst="rect"/>
                  </pic:spPr>
                </pic:pic>
              </a:graphicData>
            </a:graphic>
          </wp:inline>
        </w:drawing>
      </w:r>
    </w:p>
    <w:p>
      <w:pPr>
        <w:jc w:val="center"/>
      </w:pPr>
      <w:r>
        <w:rPr>
          <w:i/>
          <w:color w:val="666666"/>
          <w:sz w:val="18"/>
        </w:rPr>
        <w:t>Figure 1: Scope 1 Emissions by Source (2024)</w:t>
      </w:r>
    </w:p>
    <w:p>
      <w:pPr>
        <w:jc w:val="center"/>
      </w:pPr>
      <w:r>
        <w:rPr>
          <w:i/>
          <w:color w:val="757575"/>
          <w:sz w:val="18"/>
        </w:rPr>
        <w:t>Diesel dominates at 64.7% — primary lever for reduction via solar+battery and fleet electrification</w:t>
      </w:r>
    </w:p>
    <w:p/>
    <w:p>
      <w:r>
        <w:drawing>
          <wp:inline xmlns:a="http://schemas.openxmlformats.org/drawingml/2006/main" xmlns:pic="http://schemas.openxmlformats.org/drawingml/2006/picture">
            <wp:extent cx="5029200" cy="333205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332057"/>
                    </a:xfrm>
                    <a:prstGeom prst="rect"/>
                  </pic:spPr>
                </pic:pic>
              </a:graphicData>
            </a:graphic>
          </wp:inline>
        </w:drawing>
      </w:r>
    </w:p>
    <w:p>
      <w:pPr>
        <w:jc w:val="center"/>
      </w:pPr>
      <w:r>
        <w:rPr>
          <w:i/>
          <w:color w:val="666666"/>
          <w:sz w:val="18"/>
        </w:rPr>
        <w:t>Figure 2: Scope 1 Emissions: Year-over-Year Comparison</w:t>
      </w:r>
    </w:p>
    <w:p>
      <w:pPr>
        <w:jc w:val="center"/>
      </w:pPr>
      <w:r>
        <w:rPr>
          <w:i/>
          <w:color w:val="757575"/>
          <w:sz w:val="18"/>
        </w:rPr>
        <w:t>Diesel increased 3.66% while natural gas remained flat — operational expansion in unreliable-grid regions drove growth</w:t>
      </w:r>
    </w:p>
    <w:p/>
    <w:p>
      <w:r>
        <w:drawing>
          <wp:inline xmlns:a="http://schemas.openxmlformats.org/drawingml/2006/main" xmlns:pic="http://schemas.openxmlformats.org/drawingml/2006/picture">
            <wp:extent cx="5029200" cy="334334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343340"/>
                    </a:xfrm>
                    <a:prstGeom prst="rect"/>
                  </pic:spPr>
                </pic:pic>
              </a:graphicData>
            </a:graphic>
          </wp:inline>
        </w:drawing>
      </w:r>
    </w:p>
    <w:p>
      <w:pPr>
        <w:jc w:val="center"/>
      </w:pPr>
      <w:r>
        <w:rPr>
          <w:i/>
          <w:color w:val="666666"/>
          <w:sz w:val="18"/>
        </w:rPr>
        <w:t>Figure 3: Top 5 Emitting Facilities (2024)</w:t>
      </w:r>
    </w:p>
    <w:p>
      <w:pPr>
        <w:jc w:val="center"/>
      </w:pPr>
      <w:r>
        <w:rPr>
          <w:i/>
          <w:color w:val="757575"/>
          <w:sz w:val="18"/>
        </w:rPr>
        <w:t>Top 5 facilities account for 18.3% of Scope 1 — concentrated intervention opportunity for solar deployment</w:t>
      </w:r>
    </w:p>
    <w:p/>
    <w:p>
      <w:r>
        <w:drawing>
          <wp:inline xmlns:a="http://schemas.openxmlformats.org/drawingml/2006/main" xmlns:pic="http://schemas.openxmlformats.org/drawingml/2006/picture">
            <wp:extent cx="5029200" cy="3332057"/>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332057"/>
                    </a:xfrm>
                    <a:prstGeom prst="rect"/>
                  </pic:spPr>
                </pic:pic>
              </a:graphicData>
            </a:graphic>
          </wp:inline>
        </w:drawing>
      </w:r>
    </w:p>
    <w:p>
      <w:pPr>
        <w:jc w:val="center"/>
      </w:pPr>
      <w:r>
        <w:rPr>
          <w:i/>
          <w:color w:val="666666"/>
          <w:sz w:val="18"/>
        </w:rPr>
        <w:t>Figure 4: Scope 1 YoY Change: Institution vs Peers</w:t>
      </w:r>
    </w:p>
    <w:p>
      <w:pPr>
        <w:jc w:val="center"/>
      </w:pPr>
      <w:r>
        <w:rPr>
          <w:i/>
          <w:color w:val="757575"/>
          <w:sz w:val="18"/>
        </w:rPr>
        <w:t>Institution's +2.36% increase contrasts sharply with peer reductions of 5-12% — structural gap in renewable adoption</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Peningkatan emisi Scope 1 sebesar 2.36% disebabkan oleh ekspansi operasional di wilayah dengan infrastruktur grid tidak stabil, yang memaksa penggunaan genset diesel sebagai backup power. Konsumsi diesel naik 77.7156 tCO₂e (+3.66%), sementara natural gas relatif stabil (+0.06%). Tiga fasilitas (FAC-0193, FAC-0191, FAC-0181) beroperasi 100% dengan diesel tanpa akses gas alam, mengindikasikan ketergantungan struktural pada bahan bakar fosil. Tren ini bertentangan dengan trajectory peers yang mencapai reduksi 5-12% melalui renewable energy dan fleet electrification.</w:t>
            </w:r>
          </w:p>
          <w:p>
            <w:r>
              <w:rPr>
                <w:b/>
                <w:sz w:val="20"/>
              </w:rPr>
              <w:t>Root Causes:</w:t>
            </w:r>
          </w:p>
          <w:p>
            <w:r>
              <w:rPr>
                <w:sz w:val="18"/>
              </w:rPr>
              <w:t>• Ekspansi branch network di wilayah dengan grid reliability rendah, meningkatkan runtime genset diesel sebagai backup power</w:t>
            </w:r>
          </w:p>
          <w:p>
            <w:r>
              <w:rPr>
                <w:sz w:val="18"/>
              </w:rPr>
              <w:t>• Tidak adanya program fleet electrification — 100% kendaraan operasional masih berbahan bakar diesel/bensin</w:t>
            </w:r>
          </w:p>
          <w:p>
            <w:r>
              <w:rPr>
                <w:sz w:val="18"/>
              </w:rPr>
              <w:t>• Tiga fasilitas (6% dari Scope 1) tidak memiliki akses infrastruktur gas alam, memaksa ketergantungan penuh pada diesel</w:t>
            </w:r>
          </w:p>
          <w:p>
            <w:r>
              <w:rPr>
                <w:sz w:val="18"/>
              </w:rPr>
              <w:t>• Tidak ada target internal untuk renewable energy adoption atau diesel phase-out, berbeda dengan peers yang memiliki roadmap jelas (BRI Green Network, DBS RE100)</w:t>
            </w:r>
          </w:p>
          <w:p>
            <w:r>
              <w:rPr>
                <w:b/>
                <w:sz w:val="20"/>
              </w:rPr>
              <w:t>Risk Implications:</w:t>
            </w:r>
          </w:p>
          <w:p>
            <w:r>
              <w:rPr>
                <w:sz w:val="18"/>
              </w:rPr>
              <w:t>• Regulatory Risk: Presidential Regulation No. 98/2021 (Nilai Ekonomi Karbon) akan memberlakukan carbon pricing — estimasi biaya tambahan IDR 680 juta/tahun pada harga IDR 200,000/tCO₂ untuk Scope 1 saat ini</w:t>
            </w:r>
          </w:p>
          <w:p>
            <w:r>
              <w:rPr>
                <w:sz w:val="18"/>
              </w:rPr>
              <w:t>• Reputational Risk: Gap 10-14 poin persentase vs peers dalam emission reduction akan menurunkan ESG rating (MSCI, Sustainalytics) dan mempengaruhi akses ke green financing</w:t>
            </w:r>
          </w:p>
          <w:p>
            <w:r>
              <w:rPr>
                <w:sz w:val="18"/>
              </w:rPr>
              <w:t>• Financial Risk: Diesel price volatility (±15-25% annually) menciptakan operational cost uncertainty — solar+battery memberikan fixed energy cost selama 20-25 tahun</w:t>
            </w:r>
          </w:p>
          <w:p>
            <w:r>
              <w:rPr>
                <w:sz w:val="18"/>
              </w:rPr>
              <w:t>• Compliance Risk: OJK SEOJK 16/2021 mewajibkan pelaporan GHG dengan kualitas data tinggi — current trajectory tidak sejalan dengan expectation regulator untuk emission reduction</w:t>
            </w:r>
          </w:p>
        </w:tc>
      </w:tr>
    </w:tbl>
    <w:p/>
    <w:p/>
    <w:p>
      <w:r>
        <w:rPr>
          <w:b/>
          <w:color w:val="2E7D32"/>
          <w:sz w:val="24"/>
        </w:rPr>
        <w:t>⚡ Priority Actions</w:t>
      </w:r>
    </w:p>
    <w:p>
      <w:r>
        <w:rPr>
          <w:b/>
          <w:sz w:val="22"/>
        </w:rPr>
        <w:t>🔴 1. Install solar-plus-battery systems (2 MW total capacity, 4-hour storage) at top 10 diesel-dependent facilities to eliminate 60% of backup generator runtime</w:t>
      </w:r>
      <w:r>
        <w:rPr>
          <w:sz w:val="22"/>
        </w:rPr>
        <w:t xml:space="preserve"> (Q2 2025 (pilot at 2 sites) → Q4 2025 (scale to 10 sites))</w:t>
      </w:r>
    </w:p>
    <w:p>
      <w:pPr>
        <w:spacing w:after="160" w:line="276" w:lineRule="auto"/>
      </w:pPr>
      <w:r>
        <w:t xml:space="preserve">    → Expected: 850 tCO₂e annual reduction (25% of Scope 1), IDR 3.2 billion annual diesel cost savings</w:t>
      </w:r>
    </w:p>
    <w:p>
      <w:pPr>
        <w:spacing w:after="160" w:line="276" w:lineRule="auto"/>
      </w:pPr>
      <w:r>
        <w:rPr>
          <w:rFonts w:ascii="Arial" w:hAnsi="Arial"/>
          <w:i/>
          <w:color w:val="646464"/>
          <w:sz w:val="18"/>
        </w:rPr>
        <w:t xml:space="preserve">    → Ref: BRI Green Network — solar deployment achieved 19.49% electricity savings at BRILiaN Tower (GBCI Gold certified)</w:t>
      </w:r>
    </w:p>
    <w:p>
      <w:r>
        <w:rPr>
          <w:b/>
          <w:sz w:val="22"/>
        </w:rPr>
        <w:t>🔴 2. Launch fleet electrification program: convert 30% of operational vehicles (approximately 75 units) to electric, prioritizing high-utilization urban routes (Jakarta, Surabaya, Bandung)</w:t>
      </w:r>
      <w:r>
        <w:rPr>
          <w:sz w:val="22"/>
        </w:rPr>
        <w:t xml:space="preserve"> (Q3 2025 (policy + procurement) → Q1 2026 (deployment))</w:t>
      </w:r>
    </w:p>
    <w:p>
      <w:pPr>
        <w:spacing w:after="160" w:line="276" w:lineRule="auto"/>
      </w:pPr>
      <w:r>
        <w:t xml:space="preserve">    → Expected: 450 tCO₂e annual reduction (13% of Scope 1), 40% lower total cost of ownership vs diesel vehicles over 8-year lifecycle</w:t>
      </w:r>
    </w:p>
    <w:p>
      <w:pPr>
        <w:spacing w:after="160" w:line="276" w:lineRule="auto"/>
      </w:pPr>
      <w:r>
        <w:rPr>
          <w:rFonts w:ascii="Arial" w:hAnsi="Arial"/>
          <w:i/>
          <w:color w:val="646464"/>
          <w:sz w:val="18"/>
        </w:rPr>
        <w:t xml:space="preserve">    → Ref: BRI — deployed 118 EV cars + 150 EV motorcycles, contributing to 7.1% energy intensity reduction (2022-2023)</w:t>
      </w:r>
    </w:p>
    <w:p>
      <w:r>
        <w:rPr>
          <w:b/>
          <w:sz w:val="22"/>
        </w:rPr>
        <w:t>🔴 3. Establish internal carbon price at IDR 200,000/tCO₂ (approximately $13/tCO₂) to incentivize operational teams to prioritize low-carbon alternatives in capex decisions</w:t>
      </w:r>
      <w:r>
        <w:rPr>
          <w:sz w:val="22"/>
        </w:rPr>
        <w:t xml:space="preserve"> (Q3 2025 (Board approval) → Q4 2025 (implementation in budgeting cycle))</w:t>
      </w:r>
    </w:p>
    <w:p>
      <w:pPr>
        <w:spacing w:after="160" w:line="276" w:lineRule="auto"/>
      </w:pPr>
      <w:r>
        <w:t xml:space="preserve">    → Expected: Create financial incentive for emission reduction projects; align with emerging Indonesian carbon market pricing under Presidential Regulation No. 98/2021</w:t>
      </w:r>
    </w:p>
    <w:p>
      <w:pPr>
        <w:spacing w:after="160" w:line="276" w:lineRule="auto"/>
      </w:pPr>
      <w:r>
        <w:rPr>
          <w:rFonts w:ascii="Arial" w:hAnsi="Arial"/>
          <w:i/>
          <w:color w:val="646464"/>
          <w:sz w:val="18"/>
        </w:rPr>
        <w:t xml:space="preserve">    → Ref: DBS Group — $15/tCO₂ internal carbon price driving operational decisions and renewable energy procurement</w:t>
      </w:r>
    </w:p>
    <w:p>
      <w:r>
        <w:rPr>
          <w:b/>
          <w:sz w:val="22"/>
        </w:rPr>
        <w:t>🟡 4. Conduct feasibility study for natural gas pipeline connection or on-site solar+storage at three diesel-only facilities (FAC-0193, FAC-0191, FAC-0181) to eliminate 100% fossil fuel dependency</w:t>
      </w:r>
      <w:r>
        <w:rPr>
          <w:sz w:val="22"/>
        </w:rPr>
        <w:t xml:space="preserve"> (Q4 2025 (feasibility study) → Q2 2026 (implementation))</w:t>
      </w:r>
    </w:p>
    <w:p>
      <w:pPr>
        <w:spacing w:after="160" w:line="276" w:lineRule="auto"/>
      </w:pPr>
      <w:r>
        <w:t xml:space="preserve">    → Expected: 203 tCO₂e annual reduction (6% of Scope 1), 3-5 year payback through avoided diesel costs</w:t>
      </w:r>
    </w:p>
    <w:p>
      <w:pPr>
        <w:spacing w:after="160" w:line="276" w:lineRule="auto"/>
      </w:pPr>
      <w:r>
        <w:rPr>
          <w:rFonts w:ascii="Arial" w:hAnsi="Arial"/>
          <w:i/>
          <w:color w:val="646464"/>
          <w:sz w:val="18"/>
        </w:rPr>
        <w:t xml:space="preserve">    → Ref: General Best Practice (IFC Green Buildings, EDGE Certification) — distributed solar for off-grid facilities achieves 70-90% fossil fuel displacement</w:t>
      </w:r>
    </w:p>
    <w:p/>
    <w:p>
      <w:r>
        <w:rPr>
          <w:i/>
          <w:color w:val="3D6094"/>
          <w:sz w:val="18"/>
        </w:rPr>
        <w:t>Framework references: GRI 305-1a; GRI 305-1b; GRI 305-1e; GRI 305-1f; GRI 305-1g; IFRS S2 Para 29(a)(i); IFRS S2 Para 29(b); IFRS S2 Para 29(c); ESRS E1-6 DR E1-6.44; ESRS E1 AR 39(a); ESRS E1 AR 39(b); ESRS E1 AR 39(c); ESRS E1 AR 39(d); OJK PSPK Emisi GRK Langsung</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 DATA PROVENANCE: Source: Facility Management System | EF: IPCC 2006 + DEFRA 2025 | Methodology: GHG Protocol Corporate Standard | Quality: Tier 1 (primary data) | Validated: 2025-01-15 | Owner: Sustainability &amp; ESG Division</w:t>
      </w:r>
    </w:p>
    <w:p>
      <w:pPr>
        <w:pStyle w:val="Heading2"/>
        <w:keepNext/>
        <w:spacing w:before="360" w:after="160"/>
      </w:pPr>
      <w:r>
        <w:rPr>
          <w:rFonts w:ascii="Arial" w:hAnsi="Arial"/>
          <w:b/>
          <w:color w:val="3D6094"/>
          <w:sz w:val="28"/>
        </w:rPr>
        <w:t>1.2 Energy Indirect GHG Emissions — Scope 2</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44,613.876</w:t>
            </w:r>
            <w:r>
              <w:rPr>
                <w:color w:val="757575"/>
                <w:sz w:val="18"/>
              </w:rPr>
              <w:t xml:space="preserve"> tCO₂e</w:t>
            </w:r>
            <w:r>
              <w:rPr>
                <w:b/>
                <w:color w:val="C62828"/>
                <w:sz w:val="20"/>
              </w:rPr>
              <w:br/>
              <w:t>+0.03%</w:t>
            </w:r>
          </w:p>
        </w:tc>
        <w:tc>
          <w:tcPr>
            <w:tcW w:type="dxa" w:w="2257"/>
            <w:shd w:fill="F2F6FA" w:val="clear"/>
          </w:tcPr>
          <w:p>
            <w:pPr>
              <w:jc w:val="center"/>
            </w:pPr>
            <w:r>
              <w:rPr>
                <w:b/>
                <w:color w:val="1B3A6B"/>
                <w:sz w:val="36"/>
              </w:rPr>
              <w:t>44,612.518</w:t>
            </w:r>
            <w:r>
              <w:rPr>
                <w:color w:val="757575"/>
                <w:sz w:val="18"/>
              </w:rPr>
              <w:t xml:space="preserve"> tCO₂e</w:t>
            </w:r>
            <w:r>
              <w:rPr>
                <w:b/>
                <w:color w:val="C62828"/>
                <w:sz w:val="20"/>
              </w:rPr>
              <w:br/>
              <w:t>+0.03%</w:t>
            </w:r>
          </w:p>
        </w:tc>
        <w:tc>
          <w:tcPr>
            <w:tcW w:type="dxa" w:w="2257"/>
            <w:shd w:fill="F2F6FA" w:val="clear"/>
          </w:tcPr>
          <w:p>
            <w:pPr>
              <w:jc w:val="center"/>
            </w:pPr>
            <w:r>
              <w:rPr>
                <w:b/>
                <w:color w:val="1B3A6B"/>
                <w:sz w:val="36"/>
              </w:rPr>
              <w:t>0</w:t>
            </w:r>
            <w:r>
              <w:rPr>
                <w:color w:val="757575"/>
                <w:sz w:val="18"/>
              </w:rPr>
              <w:t xml:space="preserve"> %</w:t>
            </w:r>
            <w:r>
              <w:rPr>
                <w:b/>
                <w:color w:val="C62828"/>
                <w:sz w:val="20"/>
              </w:rPr>
              <w:br/>
              <w:t>vs DBS 62%</w:t>
            </w:r>
          </w:p>
        </w:tc>
        <w:tc>
          <w:tcPr>
            <w:tcW w:type="dxa" w:w="2257"/>
            <w:shd w:fill="F2F6FA" w:val="clear"/>
          </w:tcPr>
          <w:p>
            <w:pPr>
              <w:jc w:val="center"/>
            </w:pPr>
            <w:r>
              <w:rPr>
                <w:b/>
                <w:color w:val="1B3A6B"/>
                <w:sz w:val="36"/>
              </w:rPr>
              <w:t>1.785</w:t>
            </w:r>
            <w:r>
              <w:rPr>
                <w:color w:val="757575"/>
                <w:sz w:val="18"/>
              </w:rPr>
              <w:t xml:space="preserve"> tCO₂e/FTE</w:t>
            </w:r>
            <w:r>
              <w:rPr>
                <w:b/>
                <w:color w:val="2E7D32"/>
                <w:sz w:val="20"/>
              </w:rPr>
              <w:br/>
              <w:t>-1.98%</w:t>
            </w:r>
          </w:p>
        </w:tc>
      </w:tr>
      <w:tr>
        <w:tc>
          <w:tcPr>
            <w:tcW w:type="dxa" w:w="2257"/>
            <w:shd w:fill="F2F6FA" w:val="clear"/>
          </w:tcPr>
          <w:p>
            <w:pPr>
              <w:jc w:val="center"/>
            </w:pPr>
            <w:r>
              <w:rPr>
                <w:color w:val="757575"/>
                <w:sz w:val="16"/>
              </w:rPr>
              <w:t>Scope 2 Location-Based</w:t>
            </w:r>
          </w:p>
        </w:tc>
        <w:tc>
          <w:tcPr>
            <w:tcW w:type="dxa" w:w="2257"/>
            <w:shd w:fill="F2F6FA" w:val="clear"/>
          </w:tcPr>
          <w:p>
            <w:pPr>
              <w:jc w:val="center"/>
            </w:pPr>
            <w:r>
              <w:rPr>
                <w:color w:val="757575"/>
                <w:sz w:val="16"/>
              </w:rPr>
              <w:t>Scope 2 Market-Based</w:t>
            </w:r>
          </w:p>
        </w:tc>
        <w:tc>
          <w:tcPr>
            <w:tcW w:type="dxa" w:w="2257"/>
            <w:shd w:fill="F2F6FA" w:val="clear"/>
          </w:tcPr>
          <w:p>
            <w:pPr>
              <w:jc w:val="center"/>
            </w:pPr>
            <w:r>
              <w:rPr>
                <w:color w:val="757575"/>
                <w:sz w:val="16"/>
              </w:rPr>
              <w:t>Renewable Energy Coverage</w:t>
            </w:r>
          </w:p>
        </w:tc>
        <w:tc>
          <w:tcPr>
            <w:tcW w:type="dxa" w:w="2257"/>
            <w:shd w:fill="F2F6FA" w:val="clear"/>
          </w:tcPr>
          <w:p>
            <w:pPr>
              <w:jc w:val="center"/>
            </w:pPr>
            <w:r>
              <w:rPr>
                <w:color w:val="757575"/>
                <w:sz w:val="16"/>
              </w:rPr>
              <w:t>Intensity per FTE</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2 stabil (+0.03%) namun 0% renewable procurement — peers seperti DBS capai 62% coverage, gap melebar</w:t>
            </w:r>
          </w:p>
          <w:p>
            <w:r>
              <w:rPr>
                <w:sz w:val="20"/>
              </w:rPr>
              <w:t>Emisi Scope 2 naik marginal 14.4 tCO₂e akibat ekspansi operasional, namun intensitas per FTE turun 1.98%. Gap strategis: institusi belum mulai procurement renewable energy sementara DBS Bank mencapai 62% coverage dan BRI Indonesia deploy solar di branch network. Tanpa aksi, gap vs peers akan melebar ke &gt;50 percentage points pada 2026.</w:t>
            </w:r>
          </w:p>
        </w:tc>
      </w:tr>
    </w:tbl>
    <w:p/>
    <w:p>
      <w:pPr>
        <w:spacing w:after="160" w:line="276" w:lineRule="auto"/>
      </w:pPr>
      <w:r>
        <w:rPr>
          <w:rFonts w:ascii="Arial" w:hAnsi="Arial"/>
          <w:sz w:val="22"/>
        </w:rPr>
        <w:t>The institution's Scope 2 energy indirect greenhouse gas emissions for the reporting year 2024 totaled 44,613.876 tCO₂e on a location-based basis and 44,612.518 tCO₂e on a market-based basis. Dual reporting is mandated under the GHG Protocol Scope 2 Guidance (2015) to provide transparency on both the average emissions intensity of the grid where energy consumption occurs (location-based method) and the emissions from electricity that the institution has purposefully chosen through contractual instruments (market-based method). The minimal difference of 1.358 tCO₂e between the two methods indicates that the institution has not yet procured renewable energy certificates or entered into power purchase agreements with renewable energy providers for the reporting period.</w:t>
      </w:r>
    </w:p>
    <w:p>
      <w:pPr>
        <w:spacing w:after="160" w:line="276" w:lineRule="auto"/>
      </w:pPr>
      <w:r>
        <w:rPr>
          <w:rFonts w:ascii="Arial" w:hAnsi="Arial"/>
          <w:sz w:val="22"/>
        </w:rPr>
        <w:t>Scope 2 emissions are calculated using the location-based method by multiplying total electricity consumption across all operational facilities by the grid emission factor published by the Ministry of Energy and Mineral Resources (ESDM) for Indonesia's national grid. The emission factor applied for 2024 is 0.7886 kgCO₂/kWh, consistent with the PLN 2023 grid average. The market-based method calculation follows the same approach in the absence of contractual instruments specifying lower-carbon electricity sources. Under the GHG Protocol Scope 2 Guidance, organizations must report both figures to enable stakeholders to assess both the physical emissions associated with grid electricity consumption and the organization's active choices in procuring lower-carbon energy. The institution's methodology aligns with GRI 305-2 requirements for dual reporting, IFRS S2 Paragraph 29(a)(ii) for absolute gross Scope 2 disclosure, and ESRS E1-6 DR E1-6.46 for location-based and market-based reporting.</w:t>
      </w:r>
    </w:p>
    <w:p>
      <w:pPr>
        <w:spacing w:after="160" w:line="276" w:lineRule="auto"/>
      </w:pPr>
      <w:r>
        <w:rPr>
          <w:rFonts w:ascii="Arial" w:hAnsi="Arial"/>
          <w:sz w:val="22"/>
        </w:rPr>
        <w:t>The institution has not applied renewable energy certificates (RECs), guarantees of origin, or entered into power purchase agreements (PPAs) with renewable energy generators during the reporting period. Consequently, the market-based Scope 2 figure reflects the residual grid mix, which is effectively equivalent to the location-based calculation. The marginal difference of 1.358 tCO₂e arises from rounding precision in facility-level calculations and does not represent actual renewable energy procurement. This represents a strategic gap compared to regional banking peers: DBS Bank achieved 62% renewable electricity coverage in 2024, resulting in a market-based Scope 2 figure significantly lower than its location-based equivalent. BRI Indonesia has committed to expanding solar panel installations across its branch network under its Green Network initiative, targeting 19.49% electricity savings through renewable integration and energy efficiency measures.</w:t>
      </w:r>
    </w:p>
    <w:p>
      <w:pPr>
        <w:spacing w:after="160" w:line="276" w:lineRule="auto"/>
      </w:pPr>
      <w:r>
        <w:rPr>
          <w:rFonts w:ascii="Arial" w:hAnsi="Arial"/>
          <w:sz w:val="22"/>
        </w:rPr>
        <w:t>Compared to the prior reporting year 2023, location-based Scope 2 emissions increased by 0.03% from 44,599.440 tCO₂e to 44,613.876 tCO₂e, representing an absolute increase of 14.436 tCO₂e. Market-based Scope 2 emissions increased by 0.03% from 44,598.118 tCO₂e to 44,612.518 tCO₂e, an absolute increase of 14.400 tCO₂e. This marginal increase is attributable to expanded operational footprint, including new branch openings and data center capacity expansion, partially offset by energy efficiency initiatives implemented during the year. The stability of the grid emission factor between reporting periods (0.7886 kgCO₂/kWh applied consistently) means that the emissions change is driven primarily by consumption volume rather than grid decarbonization. The institution's Scope 2 intensity per full-time equivalent employee decreased from 1.821 tCO₂e/FTE in 2023 to 1.785 tCO₂e/FTE in 2024, reflecting a 1.98% improvement in emissions efficiency despite absolute emissions growth.</w:t>
      </w:r>
    </w:p>
    <w:p>
      <w:pPr>
        <w:spacing w:after="160" w:line="276" w:lineRule="auto"/>
      </w:pPr>
      <w:r>
        <w:rPr>
          <w:rFonts w:ascii="Arial" w:hAnsi="Arial"/>
          <w:sz w:val="22"/>
        </w:rPr>
        <w:t>The institution operates exclusively within Indonesia's national electricity grid, which is managed by PT PLN (Persero). The grid emission factor of 0.7886 kgCO₂/kWh reflects the current energy mix dominated by coal-fired generation (approximately 60% of total capacity), with natural gas, hydropower, and emerging renewable sources comprising the remainder. Indonesia's Nationally Determined Contribution (NDC) under the Paris Agreement commits to reducing emissions by 31.89% unconditionally and 43.2% conditionally against business-as-usual scenarios by 2030, with a long-term target of net-zero emissions by 2060 or sooner. The grid emission factor is expected to decline progressively as PLN implements its renewable energy expansion roadmap, including 20.9 GW of renewable capacity additions targeted by 2030 under Presidential Regulation No. 112/2022. The institution's Scope 2 emissions trajectory will be influenced by both internal energy efficiency measures and the external decarbonization of the national grid.</w:t>
      </w:r>
    </w:p>
    <w:p>
      <w:pPr>
        <w:spacing w:after="160" w:line="276" w:lineRule="auto"/>
      </w:pPr>
      <w:r>
        <w:rPr>
          <w:rFonts w:ascii="Arial" w:hAnsi="Arial"/>
          <w:sz w:val="22"/>
        </w:rPr>
        <w:t>These figures have not been subject to external assurance for the current reporting period.</w:t>
      </w:r>
    </w:p>
    <w:p>
      <w:pPr>
        <w:spacing w:after="160" w:line="276" w:lineRule="auto"/>
      </w:pPr>
      <w:r>
        <w:rPr>
          <w:rFonts w:ascii="Arial" w:hAnsi="Arial"/>
          <w:sz w:val="22"/>
        </w:rPr>
        <w:t>📋 DATA PROVENANCE: Source: PLN Billing / Facility Management System | EF: ESDM 2023 (0.7886 kgCO₂/kWh) | Methodology: GHG Protocol Scope 2 Guidance (2015) | Quality: Tier 1 (metered consumption) | Validated: 2025-03-15 | Owner: Sustainability &amp; ESG Division</w:t>
      </w:r>
    </w:p>
    <w:p>
      <w:r>
        <w:rPr>
          <w:rFonts w:ascii="Arial" w:hAnsi="Arial"/>
          <w:b/>
          <w:sz w:val="20"/>
        </w:rPr>
        <w:t>Table 20: Table 1.2.1: Scope 2 Energy Indirect GHG Emissions — Dual Reporting</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Method</w:t>
            </w:r>
          </w:p>
        </w:tc>
        <w:tc>
          <w:tcPr>
            <w:tcW w:type="dxa" w:w="1806"/>
            <w:shd w:fill="1B3A6B" w:val="clear"/>
          </w:tcPr>
          <w:p>
            <w:r>
              <w:rPr>
                <w:rFonts w:ascii="Arial" w:hAnsi="Arial"/>
                <w:b/>
                <w:color w:val="FFFFFF"/>
                <w:sz w:val="18"/>
              </w:rPr>
              <w:t>Scope 2 Emissions (tCO₂e)</w:t>
            </w:r>
          </w:p>
        </w:tc>
        <w:tc>
          <w:tcPr>
            <w:tcW w:type="dxa" w:w="1806"/>
            <w:shd w:fill="1B3A6B" w:val="clear"/>
          </w:tcPr>
          <w:p>
            <w:r>
              <w:rPr>
                <w:rFonts w:ascii="Arial" w:hAnsi="Arial"/>
                <w:b/>
                <w:color w:val="FFFFFF"/>
                <w:sz w:val="18"/>
              </w:rPr>
              <w:t>Prior Year 2023 (tCO₂e)</w:t>
            </w:r>
          </w:p>
        </w:tc>
        <w:tc>
          <w:tcPr>
            <w:tcW w:type="dxa" w:w="1806"/>
            <w:shd w:fill="1B3A6B" w:val="clear"/>
          </w:tcPr>
          <w:p>
            <w:r>
              <w:rPr>
                <w:rFonts w:ascii="Arial" w:hAnsi="Arial"/>
                <w:b/>
                <w:color w:val="FFFFFF"/>
                <w:sz w:val="18"/>
              </w:rPr>
              <w:t>Change (tCO₂e)</w:t>
            </w:r>
          </w:p>
        </w:tc>
        <w:tc>
          <w:tcPr>
            <w:tcW w:type="dxa" w:w="1806"/>
            <w:shd w:fill="1B3A6B" w:val="clear"/>
          </w:tcPr>
          <w:p>
            <w:r>
              <w:rPr>
                <w:rFonts w:ascii="Arial" w:hAnsi="Arial"/>
                <w:b/>
                <w:color w:val="FFFFFF"/>
                <w:sz w:val="18"/>
              </w:rPr>
              <w:t>Change (%)</w:t>
            </w:r>
          </w:p>
        </w:tc>
      </w:tr>
      <w:tr>
        <w:tc>
          <w:tcPr>
            <w:tcW w:type="dxa" w:w="1806"/>
          </w:tcPr>
          <w:p>
            <w:r>
              <w:rPr>
                <w:rFonts w:ascii="Arial" w:hAnsi="Arial"/>
                <w:sz w:val="18"/>
              </w:rPr>
              <w:t>Location-based</w:t>
            </w:r>
          </w:p>
        </w:tc>
        <w:tc>
          <w:tcPr>
            <w:tcW w:type="dxa" w:w="1806"/>
          </w:tcPr>
          <w:p>
            <w:pPr>
              <w:jc w:val="right"/>
            </w:pPr>
            <w:r>
              <w:rPr>
                <w:rFonts w:ascii="Arial" w:hAnsi="Arial"/>
                <w:sz w:val="18"/>
              </w:rPr>
              <w:t>44,613.876</w:t>
            </w:r>
          </w:p>
        </w:tc>
        <w:tc>
          <w:tcPr>
            <w:tcW w:type="dxa" w:w="1806"/>
          </w:tcPr>
          <w:p>
            <w:pPr>
              <w:jc w:val="right"/>
            </w:pPr>
            <w:r>
              <w:rPr>
                <w:rFonts w:ascii="Arial" w:hAnsi="Arial"/>
                <w:sz w:val="18"/>
              </w:rPr>
              <w:t>44,599.440</w:t>
            </w:r>
          </w:p>
        </w:tc>
        <w:tc>
          <w:tcPr>
            <w:tcW w:type="dxa" w:w="1806"/>
          </w:tcPr>
          <w:p>
            <w:pPr>
              <w:jc w:val="right"/>
            </w:pPr>
            <w:r>
              <w:rPr>
                <w:rFonts w:ascii="Arial" w:hAnsi="Arial"/>
                <w:sz w:val="18"/>
              </w:rPr>
              <w:t>+14.436</w:t>
            </w:r>
          </w:p>
        </w:tc>
        <w:tc>
          <w:tcPr>
            <w:tcW w:type="dxa" w:w="1806"/>
          </w:tcPr>
          <w:p>
            <w:pPr>
              <w:jc w:val="right"/>
            </w:pPr>
            <w:r>
              <w:rPr>
                <w:rFonts w:ascii="Arial" w:hAnsi="Arial"/>
                <w:sz w:val="18"/>
              </w:rPr>
              <w:t>+0.03%</w:t>
            </w:r>
          </w:p>
        </w:tc>
      </w:tr>
      <w:tr>
        <w:tc>
          <w:tcPr>
            <w:tcW w:type="dxa" w:w="1806"/>
            <w:shd w:fill="F2F6FC" w:val="clear"/>
          </w:tcPr>
          <w:p>
            <w:r>
              <w:rPr>
                <w:rFonts w:ascii="Arial" w:hAnsi="Arial"/>
                <w:sz w:val="18"/>
              </w:rPr>
              <w:t>Market-based</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+14.400</w:t>
            </w:r>
          </w:p>
        </w:tc>
        <w:tc>
          <w:tcPr>
            <w:tcW w:type="dxa" w:w="1806"/>
            <w:shd w:fill="F2F6FC" w:val="clear"/>
          </w:tcPr>
          <w:p>
            <w:pPr>
              <w:jc w:val="right"/>
            </w:pPr>
            <w:r>
              <w:rPr>
                <w:rFonts w:ascii="Arial" w:hAnsi="Arial"/>
                <w:sz w:val="18"/>
              </w:rPr>
              <w:t>+0.03%</w:t>
            </w:r>
          </w:p>
        </w:tc>
      </w:tr>
      <w:tr>
        <w:tc>
          <w:tcPr>
            <w:tcW w:type="dxa" w:w="1806"/>
          </w:tcPr>
          <w:p>
            <w:r>
              <w:rPr>
                <w:rFonts w:ascii="Arial" w:hAnsi="Arial"/>
                <w:sz w:val="18"/>
              </w:rPr>
              <w:t>Difference (Location - Market)</w:t>
            </w:r>
          </w:p>
        </w:tc>
        <w:tc>
          <w:tcPr>
            <w:tcW w:type="dxa" w:w="1806"/>
          </w:tcPr>
          <w:p>
            <w:pPr>
              <w:jc w:val="right"/>
            </w:pPr>
            <w:r>
              <w:rPr>
                <w:rFonts w:ascii="Arial" w:hAnsi="Arial"/>
                <w:sz w:val="18"/>
              </w:rPr>
              <w:t>1.358</w:t>
            </w:r>
          </w:p>
        </w:tc>
        <w:tc>
          <w:tcPr>
            <w:tcW w:type="dxa" w:w="1806"/>
          </w:tcPr>
          <w:p>
            <w:pPr>
              <w:jc w:val="right"/>
            </w:pPr>
            <w:r>
              <w:rPr>
                <w:rFonts w:ascii="Arial" w:hAnsi="Arial"/>
                <w:sz w:val="18"/>
              </w:rPr>
              <w:t>1.322</w:t>
            </w:r>
          </w:p>
        </w:tc>
        <w:tc>
          <w:tcPr>
            <w:tcW w:type="dxa" w:w="1806"/>
          </w:tcPr>
          <w:p>
            <w:pPr>
              <w:jc w:val="right"/>
            </w:pPr>
            <w:r>
              <w:rPr>
                <w:rFonts w:ascii="Arial" w:hAnsi="Arial"/>
                <w:sz w:val="18"/>
              </w:rPr>
              <w:t>+0.036</w:t>
            </w:r>
          </w:p>
        </w:tc>
        <w:tc>
          <w:tcPr>
            <w:tcW w:type="dxa" w:w="1806"/>
          </w:tcPr>
          <w:p>
            <w:pPr>
              <w:jc w:val="right"/>
            </w:pPr>
            <w:r>
              <w:rPr>
                <w:rFonts w:ascii="Arial" w:hAnsi="Arial"/>
                <w:sz w:val="18"/>
              </w:rPr>
              <w:t>+2.72%</w:t>
            </w:r>
          </w:p>
        </w:tc>
      </w:tr>
    </w:tbl>
    <w:p>
      <w:r>
        <w:rPr>
          <w:rFonts w:ascii="Arial" w:hAnsi="Arial"/>
          <w:i/>
          <w:sz w:val="16"/>
        </w:rPr>
        <w:t>Source: Source: Facility Management System electricity consumption data; emission factor: ESDM 2023 (0.7886 kgCO₂/kWh). Market-based method reflects residual grid mix in absence of contractual instruments.</w:t>
      </w:r>
    </w:p>
    <w:p/>
    <w:p>
      <w:r>
        <w:rPr>
          <w:rFonts w:ascii="Arial" w:hAnsi="Arial"/>
          <w:b/>
          <w:sz w:val="20"/>
        </w:rPr>
        <w:t>Table 22: Table 1.2.2: Framework Cross-Reference — Scope 2 Disclosure Compliance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305-2</w:t>
            </w:r>
          </w:p>
        </w:tc>
        <w:tc>
          <w:tcPr>
            <w:tcW w:type="dxa" w:w="2257"/>
          </w:tcPr>
          <w:p>
            <w:r>
              <w:rPr>
                <w:rFonts w:ascii="Arial" w:hAnsi="Arial"/>
                <w:sz w:val="18"/>
              </w:rPr>
              <w:t>305-2a</w:t>
            </w:r>
          </w:p>
        </w:tc>
        <w:tc>
          <w:tcPr>
            <w:tcW w:type="dxa" w:w="2257"/>
          </w:tcPr>
          <w:p>
            <w:r>
              <w:rPr>
                <w:rFonts w:ascii="Arial" w:hAnsi="Arial"/>
                <w:sz w:val="18"/>
              </w:rPr>
              <w:t>Gross location-based Scope 2 GHG emissions in metric tons of CO₂ equivalent</w:t>
            </w:r>
          </w:p>
        </w:tc>
        <w:tc>
          <w:tcPr>
            <w:tcW w:type="dxa" w:w="2257"/>
          </w:tcPr>
          <w:p>
            <w:r>
              <w:rPr>
                <w:rFonts w:ascii="Arial" w:hAnsi="Arial"/>
                <w:sz w:val="18"/>
              </w:rPr>
              <w:t>✅ Disclosed</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305-2b</w:t>
            </w:r>
          </w:p>
        </w:tc>
        <w:tc>
          <w:tcPr>
            <w:tcW w:type="dxa" w:w="2257"/>
            <w:shd w:fill="F2F6FC" w:val="clear"/>
          </w:tcPr>
          <w:p>
            <w:r>
              <w:rPr>
                <w:rFonts w:ascii="Arial" w:hAnsi="Arial"/>
                <w:sz w:val="18"/>
              </w:rPr>
              <w:t>Gross market-based Scope 2 GHG emissions in metric tons of CO₂ equivalent</w:t>
            </w:r>
          </w:p>
        </w:tc>
        <w:tc>
          <w:tcPr>
            <w:tcW w:type="dxa" w:w="2257"/>
            <w:shd w:fill="F2F6FC" w:val="clear"/>
          </w:tcPr>
          <w:p>
            <w:r>
              <w:rPr>
                <w:rFonts w:ascii="Arial" w:hAnsi="Arial"/>
                <w:sz w:val="18"/>
              </w:rPr>
              <w:t>✅ Disclosed</w:t>
            </w:r>
          </w:p>
        </w:tc>
      </w:tr>
      <w:tr>
        <w:tc>
          <w:tcPr>
            <w:tcW w:type="dxa" w:w="2257"/>
          </w:tcPr>
          <w:p>
            <w:r>
              <w:rPr>
                <w:rFonts w:ascii="Arial" w:hAnsi="Arial"/>
                <w:sz w:val="18"/>
              </w:rPr>
              <w:t>GRI 305-2</w:t>
            </w:r>
          </w:p>
        </w:tc>
        <w:tc>
          <w:tcPr>
            <w:tcW w:type="dxa" w:w="2257"/>
          </w:tcPr>
          <w:p>
            <w:r>
              <w:rPr>
                <w:rFonts w:ascii="Arial" w:hAnsi="Arial"/>
                <w:sz w:val="18"/>
              </w:rPr>
              <w:t>305-2c</w:t>
            </w:r>
          </w:p>
        </w:tc>
        <w:tc>
          <w:tcPr>
            <w:tcW w:type="dxa" w:w="2257"/>
          </w:tcPr>
          <w:p>
            <w:r>
              <w:rPr>
                <w:rFonts w:ascii="Arial" w:hAnsi="Arial"/>
                <w:sz w:val="18"/>
              </w:rPr>
              <w:t>Gases included in the calculation (CO₂, CH₄, N₂O, HFCs, PFCs, SF₆, NF₃)</w:t>
            </w:r>
          </w:p>
        </w:tc>
        <w:tc>
          <w:tcPr>
            <w:tcW w:type="dxa" w:w="2257"/>
          </w:tcPr>
          <w:p>
            <w:r>
              <w:rPr>
                <w:rFonts w:ascii="Arial" w:hAnsi="Arial"/>
                <w:sz w:val="18"/>
              </w:rPr>
              <w:t>✅ CO₂ only (electricity)</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305-2d</w:t>
            </w:r>
          </w:p>
        </w:tc>
        <w:tc>
          <w:tcPr>
            <w:tcW w:type="dxa" w:w="2257"/>
            <w:shd w:fill="F2F6FC" w:val="clear"/>
          </w:tcPr>
          <w:p>
            <w:r>
              <w:rPr>
                <w:rFonts w:ascii="Arial" w:hAnsi="Arial"/>
                <w:sz w:val="18"/>
              </w:rPr>
              <w:t>Base year for calculation, if applicable</w:t>
            </w:r>
          </w:p>
        </w:tc>
        <w:tc>
          <w:tcPr>
            <w:tcW w:type="dxa" w:w="2257"/>
            <w:shd w:fill="F2F6FC" w:val="clear"/>
          </w:tcPr>
          <w:p>
            <w:r>
              <w:rPr>
                <w:rFonts w:ascii="Arial" w:hAnsi="Arial"/>
                <w:sz w:val="18"/>
              </w:rPr>
              <w:t>⚠️ PARTIAL: 2023 baseline established; formal base year not yet designated</w:t>
            </w:r>
          </w:p>
        </w:tc>
      </w:tr>
      <w:tr>
        <w:tc>
          <w:tcPr>
            <w:tcW w:type="dxa" w:w="2257"/>
          </w:tcPr>
          <w:p>
            <w:r>
              <w:rPr>
                <w:rFonts w:ascii="Arial" w:hAnsi="Arial"/>
                <w:sz w:val="18"/>
              </w:rPr>
              <w:t>GRI 305-2</w:t>
            </w:r>
          </w:p>
        </w:tc>
        <w:tc>
          <w:tcPr>
            <w:tcW w:type="dxa" w:w="2257"/>
          </w:tcPr>
          <w:p>
            <w:r>
              <w:rPr>
                <w:rFonts w:ascii="Arial" w:hAnsi="Arial"/>
                <w:sz w:val="18"/>
              </w:rPr>
              <w:t>305-2e</w:t>
            </w:r>
          </w:p>
        </w:tc>
        <w:tc>
          <w:tcPr>
            <w:tcW w:type="dxa" w:w="2257"/>
          </w:tcPr>
          <w:p>
            <w:r>
              <w:rPr>
                <w:rFonts w:ascii="Arial" w:hAnsi="Arial"/>
                <w:sz w:val="18"/>
              </w:rPr>
              <w:t>Source of emission factors and global warming potential rates used</w:t>
            </w:r>
          </w:p>
        </w:tc>
        <w:tc>
          <w:tcPr>
            <w:tcW w:type="dxa" w:w="2257"/>
          </w:tcPr>
          <w:p>
            <w:r>
              <w:rPr>
                <w:rFonts w:ascii="Arial" w:hAnsi="Arial"/>
                <w:sz w:val="18"/>
              </w:rPr>
              <w:t>✅ ESDM 2023; GWP: IPCC AR5</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305-2f</w:t>
            </w:r>
          </w:p>
        </w:tc>
        <w:tc>
          <w:tcPr>
            <w:tcW w:type="dxa" w:w="2257"/>
            <w:shd w:fill="F2F6FC" w:val="clear"/>
          </w:tcPr>
          <w:p>
            <w:r>
              <w:rPr>
                <w:rFonts w:ascii="Arial" w:hAnsi="Arial"/>
                <w:sz w:val="18"/>
              </w:rPr>
              <w:t>Consolidation approach for emissions (equity share, financial control, operational control)</w:t>
            </w:r>
          </w:p>
        </w:tc>
        <w:tc>
          <w:tcPr>
            <w:tcW w:type="dxa" w:w="2257"/>
            <w:shd w:fill="F2F6FC" w:val="clear"/>
          </w:tcPr>
          <w:p>
            <w:r>
              <w:rPr>
                <w:rFonts w:ascii="Arial" w:hAnsi="Arial"/>
                <w:sz w:val="18"/>
              </w:rPr>
              <w:t>✅ Operational control</w:t>
            </w:r>
          </w:p>
        </w:tc>
      </w:tr>
      <w:tr>
        <w:tc>
          <w:tcPr>
            <w:tcW w:type="dxa" w:w="2257"/>
          </w:tcPr>
          <w:p>
            <w:r>
              <w:rPr>
                <w:rFonts w:ascii="Arial" w:hAnsi="Arial"/>
                <w:sz w:val="18"/>
              </w:rPr>
              <w:t>GRI 305-2</w:t>
            </w:r>
          </w:p>
        </w:tc>
        <w:tc>
          <w:tcPr>
            <w:tcW w:type="dxa" w:w="2257"/>
          </w:tcPr>
          <w:p>
            <w:r>
              <w:rPr>
                <w:rFonts w:ascii="Arial" w:hAnsi="Arial"/>
                <w:sz w:val="18"/>
              </w:rPr>
              <w:t>305-2g</w:t>
            </w:r>
          </w:p>
        </w:tc>
        <w:tc>
          <w:tcPr>
            <w:tcW w:type="dxa" w:w="2257"/>
          </w:tcPr>
          <w:p>
            <w:r>
              <w:rPr>
                <w:rFonts w:ascii="Arial" w:hAnsi="Arial"/>
                <w:sz w:val="18"/>
              </w:rPr>
              <w:t>Standards, methodologies, assumptions, and/or calculation tools used</w:t>
            </w:r>
          </w:p>
        </w:tc>
        <w:tc>
          <w:tcPr>
            <w:tcW w:type="dxa" w:w="2257"/>
          </w:tcPr>
          <w:p>
            <w:r>
              <w:rPr>
                <w:rFonts w:ascii="Arial" w:hAnsi="Arial"/>
                <w:sz w:val="18"/>
              </w:rPr>
              <w:t>✅ GHG Protocol Scope 2 Guidance (2015)</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29(a)(ii)</w:t>
            </w:r>
          </w:p>
        </w:tc>
        <w:tc>
          <w:tcPr>
            <w:tcW w:type="dxa" w:w="2257"/>
            <w:shd w:fill="F2F6FC" w:val="clear"/>
          </w:tcPr>
          <w:p>
            <w:r>
              <w:rPr>
                <w:rFonts w:ascii="Arial" w:hAnsi="Arial"/>
                <w:sz w:val="18"/>
              </w:rPr>
              <w:t>Absolute gross GHG emissions — Scope 2</w:t>
            </w:r>
          </w:p>
        </w:tc>
        <w:tc>
          <w:tcPr>
            <w:tcW w:type="dxa" w:w="2257"/>
            <w:shd w:fill="F2F6FC" w:val="clear"/>
          </w:tcPr>
          <w:p>
            <w:r>
              <w:rPr>
                <w:rFonts w:ascii="Arial" w:hAnsi="Arial"/>
                <w:sz w:val="18"/>
              </w:rPr>
              <w:t>✅ Disclosed (location + market)</w:t>
            </w:r>
          </w:p>
        </w:tc>
      </w:tr>
      <w:tr>
        <w:tc>
          <w:tcPr>
            <w:tcW w:type="dxa" w:w="2257"/>
          </w:tcPr>
          <w:p>
            <w:r>
              <w:rPr>
                <w:rFonts w:ascii="Arial" w:hAnsi="Arial"/>
                <w:sz w:val="18"/>
              </w:rPr>
              <w:t>ESRS E1-6</w:t>
            </w:r>
          </w:p>
        </w:tc>
        <w:tc>
          <w:tcPr>
            <w:tcW w:type="dxa" w:w="2257"/>
          </w:tcPr>
          <w:p>
            <w:r>
              <w:rPr>
                <w:rFonts w:ascii="Arial" w:hAnsi="Arial"/>
                <w:sz w:val="18"/>
              </w:rPr>
              <w:t>DR E1-6.46</w:t>
            </w:r>
          </w:p>
        </w:tc>
        <w:tc>
          <w:tcPr>
            <w:tcW w:type="dxa" w:w="2257"/>
          </w:tcPr>
          <w:p>
            <w:r>
              <w:rPr>
                <w:rFonts w:ascii="Arial" w:hAnsi="Arial"/>
                <w:sz w:val="18"/>
              </w:rPr>
              <w:t>Gross Scope 2 GHG emissions in metric tonnes of CO₂eq (location-based and market-based)</w:t>
            </w:r>
          </w:p>
        </w:tc>
        <w:tc>
          <w:tcPr>
            <w:tcW w:type="dxa" w:w="2257"/>
          </w:tcPr>
          <w:p>
            <w:r>
              <w:rPr>
                <w:rFonts w:ascii="Arial" w:hAnsi="Arial"/>
                <w:sz w:val="18"/>
              </w:rPr>
              <w:t>✅ Disclosed</w:t>
            </w:r>
          </w:p>
        </w:tc>
      </w:tr>
      <w:tr>
        <w:tc>
          <w:tcPr>
            <w:tcW w:type="dxa" w:w="2257"/>
            <w:shd w:fill="F2F6FC" w:val="clear"/>
          </w:tcPr>
          <w:p>
            <w:r>
              <w:rPr>
                <w:rFonts w:ascii="Arial" w:hAnsi="Arial"/>
                <w:sz w:val="18"/>
              </w:rPr>
              <w:t>OJK PSPK</w:t>
            </w:r>
          </w:p>
        </w:tc>
        <w:tc>
          <w:tcPr>
            <w:tcW w:type="dxa" w:w="2257"/>
            <w:shd w:fill="F2F6FC" w:val="clear"/>
          </w:tcPr>
          <w:p>
            <w:r>
              <w:rPr>
                <w:rFonts w:ascii="Arial" w:hAnsi="Arial"/>
                <w:sz w:val="18"/>
              </w:rPr>
              <w:t>Emisi Lingkup 2</w:t>
            </w:r>
          </w:p>
        </w:tc>
        <w:tc>
          <w:tcPr>
            <w:tcW w:type="dxa" w:w="2257"/>
            <w:shd w:fill="F2F6FC" w:val="clear"/>
          </w:tcPr>
          <w:p>
            <w:r>
              <w:rPr>
                <w:rFonts w:ascii="Arial" w:hAnsi="Arial"/>
                <w:sz w:val="18"/>
              </w:rPr>
              <w:t>Emisi GRK tidak langsung dari konsumsi energi yang dibeli</w:t>
            </w:r>
          </w:p>
        </w:tc>
        <w:tc>
          <w:tcPr>
            <w:tcW w:type="dxa" w:w="2257"/>
            <w:shd w:fill="F2F6FC" w:val="clear"/>
          </w:tcPr>
          <w:p>
            <w:r>
              <w:rPr>
                <w:rFonts w:ascii="Arial" w:hAnsi="Arial"/>
                <w:sz w:val="18"/>
              </w:rPr>
              <w:t>✅ Disclosed</w:t>
            </w:r>
          </w:p>
        </w:tc>
      </w:tr>
    </w:tbl>
    <w:p>
      <w:r>
        <w:rPr>
          <w:rFonts w:ascii="Arial" w:hAnsi="Arial"/>
          <w:i/>
          <w:sz w:val="16"/>
        </w:rPr>
        <w:t>Source: Compliance assessment based on reporting year 2024 disclosures. Partial compliance items indicate areas for enhancement in subsequent reporting cycles.</w:t>
      </w:r>
    </w:p>
    <w:p/>
    <w:p/>
    <w:p>
      <w:r>
        <w:drawing>
          <wp:inline xmlns:a="http://schemas.openxmlformats.org/drawingml/2006/main" xmlns:pic="http://schemas.openxmlformats.org/drawingml/2006/picture">
            <wp:extent cx="5029200" cy="3195468"/>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195468"/>
                    </a:xfrm>
                    <a:prstGeom prst="rect"/>
                  </pic:spPr>
                </pic:pic>
              </a:graphicData>
            </a:graphic>
          </wp:inline>
        </w:drawing>
      </w:r>
    </w:p>
    <w:p>
      <w:pPr>
        <w:jc w:val="center"/>
      </w:pPr>
      <w:r>
        <w:rPr>
          <w:i/>
          <w:color w:val="666666"/>
          <w:sz w:val="18"/>
        </w:rPr>
        <w:t>Figure 5: Scope 2 Emissions — Location-Based vs Market-Based (2023-2024)</w:t>
      </w:r>
    </w:p>
    <w:p>
      <w:pPr>
        <w:jc w:val="center"/>
      </w:pPr>
      <w:r>
        <w:rPr>
          <w:i/>
          <w:color w:val="757575"/>
          <w:sz w:val="18"/>
        </w:rPr>
        <w:t>Minimal gap antara location dan market-based (1.358 tCO₂e) mengkonfirmasi 0% renewable procurement — peers dengan &gt;50% coverage menunjukkan gap signifikan yang mengindikasikan active decarbonization</w:t>
      </w:r>
    </w:p>
    <w:p/>
    <w:p>
      <w:r>
        <w:drawing>
          <wp:inline xmlns:a="http://schemas.openxmlformats.org/drawingml/2006/main" xmlns:pic="http://schemas.openxmlformats.org/drawingml/2006/picture">
            <wp:extent cx="5029200" cy="3332057"/>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3332057"/>
                    </a:xfrm>
                    <a:prstGeom prst="rect"/>
                  </pic:spPr>
                </pic:pic>
              </a:graphicData>
            </a:graphic>
          </wp:inline>
        </w:drawing>
      </w:r>
    </w:p>
    <w:p>
      <w:pPr>
        <w:jc w:val="center"/>
      </w:pPr>
      <w:r>
        <w:rPr>
          <w:i/>
          <w:color w:val="666666"/>
          <w:sz w:val="18"/>
        </w:rPr>
        <w:t>Figure 6: Scope 2 Emissions Intensity per FTE (2023-2024)</w:t>
      </w:r>
    </w:p>
    <w:p>
      <w:pPr>
        <w:jc w:val="center"/>
      </w:pPr>
      <w:r>
        <w:rPr>
          <w:i/>
          <w:color w:val="757575"/>
          <w:sz w:val="18"/>
        </w:rPr>
        <w:t>Intensitas turun 1.98% dari 1.821 ke 1.785 tCO₂e/FTE — improvement dari headcount growth, bukan dekarbonisasi aktif; perlu intervensi renewable untuk sustain trajectory</w:t>
      </w:r>
    </w:p>
    <w:p/>
    <w:p>
      <w:r>
        <w:drawing>
          <wp:inline xmlns:a="http://schemas.openxmlformats.org/drawingml/2006/main" xmlns:pic="http://schemas.openxmlformats.org/drawingml/2006/picture">
            <wp:extent cx="5029200" cy="2901272"/>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901272"/>
                    </a:xfrm>
                    <a:prstGeom prst="rect"/>
                  </pic:spPr>
                </pic:pic>
              </a:graphicData>
            </a:graphic>
          </wp:inline>
        </w:drawing>
      </w:r>
    </w:p>
    <w:p>
      <w:pPr>
        <w:jc w:val="center"/>
      </w:pPr>
      <w:r>
        <w:rPr>
          <w:i/>
          <w:color w:val="666666"/>
          <w:sz w:val="18"/>
        </w:rPr>
        <w:t>Figure 7: Renewable Electricity Coverage — Institution vs Regional Peers (2024)</w:t>
      </w:r>
    </w:p>
    <w:p>
      <w:pPr>
        <w:jc w:val="center"/>
      </w:pPr>
      <w:r>
        <w:rPr>
          <w:i/>
          <w:color w:val="757575"/>
          <w:sz w:val="18"/>
        </w:rPr>
        <w:t>Institution 0% vs DBS 62% — gap 62 percentage points adalah primary lever untuk Scope 2 reduction dan ESG rating improvement</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Scope 2 emissions menunjukkan stabilitas relatif dengan pertumbuhan hanya 0.03% year-over-year, namun ini mencerminkan status quo yang berisiko dalam konteks dekarbonisasi sektor keuangan regional. Perbedaan minimal antara location-based dan market-based (1.358 tCO₂e) mengindikasikan tidak ada procurement instrumen kontraktual renewable energy selama periode pelaporan. Sementara intensitas per FTE membaik 1.98%, ini semata-mata dari pertumbuhan headcount (2.03%) yang lebih cepat dari pertumbuhan emisi absolut, bukan dari intervensi dekarbonisasi aktif. Peer banks regional telah bergerak agresif: DBS mencapai 62% renewable coverage, BRI deploy solar di branch network dengan target 19.49% savings. Institusi berisiko tertinggal dalam transisi energi yang akan berdampak pada ESG rating, akses green financing, dan daya saing talenta.</w:t>
            </w:r>
          </w:p>
          <w:p>
            <w:r>
              <w:rPr>
                <w:b/>
                <w:sz w:val="20"/>
              </w:rPr>
              <w:t>Root Causes:</w:t>
            </w:r>
          </w:p>
          <w:p>
            <w:r>
              <w:rPr>
                <w:sz w:val="18"/>
              </w:rPr>
              <w:t>• Tidak ada strategi renewable energy procurement — 0% RECs, 0% PPAs, 0% on-site generation selama FY2024</w:t>
            </w:r>
          </w:p>
          <w:p>
            <w:r>
              <w:rPr>
                <w:sz w:val="18"/>
              </w:rPr>
              <w:t>• Ketergantungan penuh pada grid PLN dengan emission factor 0.7886 kgCO₂/kWh (coal-dominated mix ~60%)</w:t>
            </w:r>
          </w:p>
          <w:p>
            <w:r>
              <w:rPr>
                <w:sz w:val="18"/>
              </w:rPr>
              <w:t>• Ekspansi operasional (branch baru, data center capacity) tanpa disertai renewable energy integration plan</w:t>
            </w:r>
          </w:p>
          <w:p>
            <w:r>
              <w:rPr>
                <w:sz w:val="18"/>
              </w:rPr>
              <w:t>• Belum ada target formal renewable energy coverage atau timeline implementasi dalam strategic planning</w:t>
            </w:r>
          </w:p>
          <w:p>
            <w:r>
              <w:rPr>
                <w:b/>
                <w:sz w:val="20"/>
              </w:rPr>
              <w:t>Risk Implications:</w:t>
            </w:r>
          </w:p>
          <w:p>
            <w:r>
              <w:rPr>
                <w:sz w:val="18"/>
              </w:rPr>
              <w:t>• Regulatory risk: OJK POJK 51/2017 dan SEOJK 16/2021 mendorong transisi hijau; institusi tanpa renewable strategy berisiko scrutiny dalam supervisory review</w:t>
            </w:r>
          </w:p>
          <w:p>
            <w:r>
              <w:rPr>
                <w:sz w:val="18"/>
              </w:rPr>
              <w:t>• ESG rating risk: MSCI, Sustainalytics, CDP menilai renewable energy procurement sebagai key indicator — peers dengan &gt;50% coverage akan outperform institusi dalam rating</w:t>
            </w:r>
          </w:p>
          <w:p>
            <w:r>
              <w:rPr>
                <w:sz w:val="18"/>
              </w:rPr>
              <w:t>• Reputational risk: Investor institusional (GPIF, Norges Bank, CalPERS) increasingly screen untuk renewable energy commitment — gap vs peers dapat mempengaruhi foreign investment appetite</w:t>
            </w:r>
          </w:p>
          <w:p>
            <w:r>
              <w:rPr>
                <w:sz w:val="18"/>
              </w:rPr>
              <w:t>• Stranded asset risk: Jika grid PLN decarbonize lebih lambat dari proyeksi, institusi tanpa on-site renewable akan terkunci pada high-carbon electricity dengan biaya compliance karbon yang meningkat (Presidential Regulation No. 98/2021 on Carbon Economic Value)</w:t>
            </w:r>
          </w:p>
        </w:tc>
      </w:tr>
    </w:tbl>
    <w:p/>
    <w:p/>
    <w:p>
      <w:r>
        <w:rPr>
          <w:b/>
          <w:color w:val="2E7D32"/>
          <w:sz w:val="24"/>
        </w:rPr>
        <w:t>⚡ Priority Actions</w:t>
      </w:r>
    </w:p>
    <w:p>
      <w:r>
        <w:rPr>
          <w:b/>
          <w:sz w:val="22"/>
        </w:rPr>
        <w:t>🔴 1. Launch renewable energy procurement program: Issue RFP untuk RECs covering 20% konsumsi listrik (target ~8,923 tCO₂e reduction) dengan prioritas pada International REC Standard (I-REC) yang applicable untuk Indonesia grid. Parallel track: Initiate PPA negotiation dengan PLN atau independent power producer untuk long-term renewable supply.</w:t>
      </w:r>
      <w:r>
        <w:rPr>
          <w:sz w:val="22"/>
        </w:rPr>
        <w:t xml:space="preserve"> (Q3 2025)</w:t>
      </w:r>
    </w:p>
    <w:p>
      <w:pPr>
        <w:spacing w:after="160" w:line="276" w:lineRule="auto"/>
      </w:pPr>
      <w:r>
        <w:t xml:space="preserve">    → Expected: 8,923 tCO₂e reduction (20% coverage) pada market-based Scope 2; positioning untuk 50% coverage by 2027 (22,307 tCO₂e reduction)</w:t>
      </w:r>
    </w:p>
    <w:p>
      <w:pPr>
        <w:spacing w:after="160" w:line="276" w:lineRule="auto"/>
      </w:pPr>
      <w:r>
        <w:rPr>
          <w:rFonts w:ascii="Arial" w:hAnsi="Arial"/>
          <w:i/>
          <w:color w:val="646464"/>
          <w:sz w:val="18"/>
        </w:rPr>
        <w:t xml:space="preserve">    → Ref: DBS Bank — 62% renewable electricity coverage achieved 2024; BRI Indonesia — Green Network initiative dengan solar integration targeting 19.49% savings</w:t>
      </w:r>
    </w:p>
    <w:p>
      <w:r>
        <w:rPr>
          <w:b/>
          <w:sz w:val="22"/>
        </w:rPr>
        <w:t>🔴 2. Deploy on-site solar PV di 5 fasilitas prioritas (HQ, 2 data centers, 2 regional hubs) dengan total kapasitas 2 MW. Kriteria seleksi: roof space &gt;500 m², annual consumption &gt;500 MWh, structural integrity verified. Include battery storage (500 kWh) untuk load shifting dan grid resilience.</w:t>
      </w:r>
      <w:r>
        <w:rPr>
          <w:sz w:val="22"/>
        </w:rPr>
        <w:t xml:space="preserve"> (Q4 2025)</w:t>
      </w:r>
    </w:p>
    <w:p>
      <w:pPr>
        <w:spacing w:after="160" w:line="276" w:lineRule="auto"/>
      </w:pPr>
      <w:r>
        <w:t xml:space="preserve">    → Expected: 2,208 tCO₂e/year reduction dari ~2,800 MWh annual generation; payback 6-8 tahun; additional benefit: grid independence selama outages (business continuity)</w:t>
      </w:r>
    </w:p>
    <w:p>
      <w:pPr>
        <w:spacing w:after="160" w:line="276" w:lineRule="auto"/>
      </w:pPr>
      <w:r>
        <w:rPr>
          <w:rFonts w:ascii="Arial" w:hAnsi="Arial"/>
          <w:i/>
          <w:color w:val="646464"/>
          <w:sz w:val="18"/>
        </w:rPr>
        <w:t xml:space="preserve">    → Ref: BRI Indonesia — solar panel deployment across branch network under Green Network initiative; Gold GBCI certification demonstrating integrated renewable strategy</w:t>
      </w:r>
    </w:p>
    <w:p>
      <w:r>
        <w:rPr>
          <w:b/>
          <w:sz w:val="22"/>
        </w:rPr>
        <w:t>🟡 3. Implement ISO 50001 Energy Management System dengan automated monitoring di semua fasilitas &gt;200 employees. Deploy Kaseya-style auto-shutdown untuk workstations, LED retrofit untuk remaining non-LED fixtures, dan elevator scheduling optimization. Target: 5% consumption reduction per FTE within 12 months.</w:t>
      </w:r>
      <w:r>
        <w:rPr>
          <w:sz w:val="22"/>
        </w:rPr>
        <w:t xml:space="preserve"> (Q3 2025)</w:t>
      </w:r>
    </w:p>
    <w:p>
      <w:pPr>
        <w:spacing w:after="160" w:line="276" w:lineRule="auto"/>
      </w:pPr>
      <w:r>
        <w:t xml:space="preserve">    → Expected: 2,231 tCO₂e/year reduction (5% of Scope 2); additional operational cost savings ~IDR 3.5-4 billion/year from reduced consumption</w:t>
      </w:r>
    </w:p>
    <w:p>
      <w:pPr>
        <w:spacing w:after="160" w:line="276" w:lineRule="auto"/>
      </w:pPr>
      <w:r>
        <w:rPr>
          <w:rFonts w:ascii="Arial" w:hAnsi="Arial"/>
          <w:i/>
          <w:color w:val="646464"/>
          <w:sz w:val="18"/>
        </w:rPr>
        <w:t xml:space="preserve">    → Ref: BRI Indonesia — Kaseya auto-shutdown program + LED retrofit + elevator scheduling achieved 19.49% electricity savings; systematic approach via ISO 50001 framework</w:t>
      </w:r>
    </w:p>
    <w:p>
      <w:r>
        <w:rPr>
          <w:b/>
          <w:sz w:val="22"/>
        </w:rPr>
        <w:t>🟡 4. Establish formal renewable energy target aligned dengan RE100 framework: Commit to 50% renewable electricity by 2027, 100% by 2035. Integrate target into Board-approved climate strategy dan link ke executive KPIs. Disclose commitment dalam next sustainability report dan submit letter of intent ke RE100 secretariat.</w:t>
      </w:r>
      <w:r>
        <w:rPr>
          <w:sz w:val="22"/>
        </w:rPr>
        <w:t xml:space="preserve"> (Q2 2025)</w:t>
      </w:r>
    </w:p>
    <w:p>
      <w:pPr>
        <w:spacing w:after="160" w:line="276" w:lineRule="auto"/>
      </w:pPr>
      <w:r>
        <w:t xml:space="preserve">    → Expected: Strategic positioning: RE100 membership enhances ESG rating (MSCI, CDP), attracts green financing, improves talent attraction. Quantified impact: pathway to eliminate 44,613 tCO₂e market-based Scope 2 by 2035.</w:t>
      </w:r>
    </w:p>
    <w:p>
      <w:pPr>
        <w:spacing w:after="160" w:line="276" w:lineRule="auto"/>
      </w:pPr>
      <w:r>
        <w:rPr>
          <w:rFonts w:ascii="Arial" w:hAnsi="Arial"/>
          <w:i/>
          <w:color w:val="646464"/>
          <w:sz w:val="18"/>
        </w:rPr>
        <w:t xml:space="preserve">    → Ref: DBS Bank — RE100 member, 62% renewable achieved; global banking peers (HSBC, Standard Chartered, Citi) all RE100 committed with 100% targets by 2030-2035</w:t>
      </w:r>
    </w:p>
    <w:p/>
    <w:p>
      <w:r>
        <w:rPr>
          <w:i/>
          <w:color w:val="3D6094"/>
          <w:sz w:val="18"/>
        </w:rPr>
        <w:t>Framework references: GRI 305-2a: Gross location-based Scope 2 GHG emissions; GRI 305-2b: Gross market-based Scope 2 GHG emissions; GRI 305-2e: Source of emission factors; GRI 305-2g: Standards and methodologies used; IFRS S2 Para 29(a)(ii): Absolute gross Scope 2 GHG emissions; ESRS E1-6 DR E1-6.46: Gross Scope 2 emissions (location-based and market-based); OJK PSPK: Emisi GRK Tidak Langsung dari Energi (Lingkup 2); GHG Protocol Scope 2 Guidance (2015): Dual reporting methodology</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 DATA PROVENANCE: Source: PLN Billing / Facility Management System | EF: ESDM 2023 (0.7886 kgCO₂/kWh) | Methodology: GHG Protocol Scope 2 Guidance (2015) | Quality: Tier 1 (metered consumption) | Validated: 2025-03-15 | Owner: Sustainability &amp; ESG Division</w:t>
      </w:r>
    </w:p>
    <w:p>
      <w:pPr>
        <w:pStyle w:val="Heading2"/>
        <w:keepNext/>
        <w:spacing w:before="360" w:after="160"/>
      </w:pPr>
      <w:r>
        <w:rPr>
          <w:rFonts w:ascii="Arial" w:hAnsi="Arial"/>
          <w:b/>
          <w:color w:val="3D6094"/>
          <w:sz w:val="28"/>
        </w:rPr>
        <w:t>1.4 GHG Emissions Intensity</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239.4</w:t>
            </w:r>
            <w:r>
              <w:rPr>
                <w:color w:val="757575"/>
                <w:sz w:val="18"/>
              </w:rPr>
              <w:t xml:space="preserve"> tCO₂e/IDR Bn</w:t>
            </w:r>
            <w:r>
              <w:rPr>
                <w:b/>
                <w:color w:val="2E7D32"/>
                <w:sz w:val="20"/>
              </w:rPr>
              <w:br/>
              <w:t>-11.37%</w:t>
            </w:r>
          </w:p>
        </w:tc>
        <w:tc>
          <w:tcPr>
            <w:tcW w:type="dxa" w:w="2257"/>
            <w:shd w:fill="F2F6FA" w:val="clear"/>
          </w:tcPr>
          <w:p>
            <w:pPr>
              <w:jc w:val="center"/>
            </w:pPr>
            <w:r>
              <w:rPr>
                <w:b/>
                <w:color w:val="1B3A6B"/>
                <w:sz w:val="36"/>
              </w:rPr>
              <w:t>1.92</w:t>
            </w:r>
            <w:r>
              <w:rPr>
                <w:color w:val="757575"/>
                <w:sz w:val="18"/>
              </w:rPr>
              <w:t xml:space="preserve"> tCO₂e/FTE</w:t>
            </w:r>
            <w:r>
              <w:rPr>
                <w:b/>
                <w:color w:val="2E7D32"/>
                <w:sz w:val="20"/>
              </w:rPr>
              <w:br/>
              <w:t>-1.79%</w:t>
            </w:r>
          </w:p>
        </w:tc>
        <w:tc>
          <w:tcPr>
            <w:tcW w:type="dxa" w:w="2257"/>
            <w:shd w:fill="F2F6FA" w:val="clear"/>
          </w:tcPr>
          <w:p>
            <w:pPr>
              <w:jc w:val="center"/>
            </w:pPr>
            <w:r>
              <w:rPr>
                <w:b/>
                <w:color w:val="1B3A6B"/>
                <w:sz w:val="36"/>
              </w:rPr>
              <w:t>+3.4pp</w:t>
            </w:r>
            <w:r>
              <w:rPr>
                <w:color w:val="757575"/>
                <w:sz w:val="18"/>
              </w:rPr>
              <w:t xml:space="preserve"> percentage points</w:t>
            </w:r>
            <w:r>
              <w:rPr>
                <w:b/>
                <w:color w:val="C62828"/>
                <w:sz w:val="20"/>
              </w:rPr>
              <w:br/>
              <w:t>Outperforming (11.37% vs peer avg 7-8%)</w:t>
            </w:r>
          </w:p>
        </w:tc>
        <w:tc>
          <w:tcPr>
            <w:tcW w:type="dxa" w:w="2257"/>
            <w:shd w:fill="F2F6FA" w:val="clear"/>
          </w:tcPr>
          <w:p>
            <w:pPr>
              <w:jc w:val="center"/>
            </w:pPr>
            <w:r>
              <w:rPr>
                <w:b/>
                <w:color w:val="1B3A6B"/>
                <w:sz w:val="36"/>
              </w:rPr>
              <w:t>39x</w:t>
            </w:r>
            <w:r>
              <w:rPr>
                <w:color w:val="757575"/>
                <w:sz w:val="18"/>
              </w:rPr>
              <w:t xml:space="preserve"> vs portfolio avg</w:t>
            </w:r>
            <w:r>
              <w:rPr>
                <w:b/>
                <w:color w:val="C62828"/>
                <w:sz w:val="20"/>
              </w:rPr>
              <w:br/>
              <w:t>High concentration risk</w:t>
            </w:r>
          </w:p>
        </w:tc>
      </w:tr>
      <w:tr>
        <w:tc>
          <w:tcPr>
            <w:tcW w:type="dxa" w:w="2257"/>
            <w:shd w:fill="F2F6FA" w:val="clear"/>
          </w:tcPr>
          <w:p>
            <w:pPr>
              <w:jc w:val="center"/>
            </w:pPr>
            <w:r>
              <w:rPr>
                <w:color w:val="757575"/>
                <w:sz w:val="16"/>
              </w:rPr>
              <w:t>Revenue Intensity</w:t>
            </w:r>
          </w:p>
        </w:tc>
        <w:tc>
          <w:tcPr>
            <w:tcW w:type="dxa" w:w="2257"/>
            <w:shd w:fill="F2F6FA" w:val="clear"/>
          </w:tcPr>
          <w:p>
            <w:pPr>
              <w:jc w:val="center"/>
            </w:pPr>
            <w:r>
              <w:rPr>
                <w:color w:val="757575"/>
                <w:sz w:val="16"/>
              </w:rPr>
              <w:t>Employee Intensity</w:t>
            </w:r>
          </w:p>
        </w:tc>
        <w:tc>
          <w:tcPr>
            <w:tcW w:type="dxa" w:w="2257"/>
            <w:shd w:fill="F2F6FA" w:val="clear"/>
          </w:tcPr>
          <w:p>
            <w:pPr>
              <w:jc w:val="center"/>
            </w:pPr>
            <w:r>
              <w:rPr>
                <w:color w:val="757575"/>
                <w:sz w:val="16"/>
              </w:rPr>
              <w:t>vs. Peer Improvement Rate</w:t>
            </w:r>
          </w:p>
        </w:tc>
        <w:tc>
          <w:tcPr>
            <w:tcW w:type="dxa" w:w="2257"/>
            <w:shd w:fill="F2F6FA" w:val="clear"/>
          </w:tcPr>
          <w:p>
            <w:pPr>
              <w:jc w:val="center"/>
            </w:pPr>
            <w:r>
              <w:rPr>
                <w:color w:val="757575"/>
                <w:sz w:val="16"/>
              </w:rPr>
              <w:t>Sectoral Intensity Gap (Oil &amp; Gas)</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Revenue intensity improved 11.37% vs peers' 7-8% — but absolute ratio still lags DBS by ~40%</w:t>
            </w:r>
          </w:p>
          <w:p>
            <w:r>
              <w:rPr>
                <w:sz w:val="20"/>
              </w:rPr>
              <w:t>Strong decoupling of emissions from revenue growth demonstrates portfolio optimization toward lower-carbon sectors. However, the institution's absolute intensity (239.4 tCO₂e/IDR Bn) remains significantly higher than regional best-in-class, indicating substantial room for further improvement through sectoral reallocation and borrower engagement.</w:t>
            </w:r>
          </w:p>
        </w:tc>
      </w:tr>
    </w:tbl>
    <w:p/>
    <w:p>
      <w:pPr>
        <w:spacing w:after="160" w:line="276" w:lineRule="auto"/>
      </w:pPr>
      <w:r>
        <w:rPr>
          <w:rFonts w:ascii="Arial" w:hAnsi="Arial"/>
          <w:sz w:val="22"/>
        </w:rPr>
        <w:t>The institution reports two GHG emissions intensity metrics for the 2024 reporting period, in accordance with GRI 305-4, IFRS S2 Paragraph 29(b), ESRS E1-6 DR E1-6.53, and OJK PSPK requirements. Revenue-based intensity for 2024 was 239.400139 tCO₂e per IDR billion, representing a 11.37% improvement from the prior year baseline of 270.116632 tCO₂e per IDR billion. Employee-based intensity was 1.9209 tCO₂e per full-time equivalent (FTE), a 1.79% improvement from 1.956 tCO₂e per FTE in 2023. Both metrics demonstrate decoupling of emissions growth from business expansion, with revenue intensity showing particularly strong performance relative to operational intensity.</w:t>
      </w:r>
    </w:p>
    <w:p>
      <w:pPr>
        <w:spacing w:after="160" w:line="276" w:lineRule="auto"/>
      </w:pPr>
      <w:r>
        <w:rPr>
          <w:rFonts w:ascii="Arial" w:hAnsi="Arial"/>
          <w:sz w:val="22"/>
        </w:rPr>
        <w:t>The revenue-based intensity metric uses total Scope 1, Scope 2 (location-based), and Scope 3 Category 15 (financed emissions, gross) as the numerator, divided by total revenue expressed in IDR billion. This denominator was selected per GRI 305-4 guidance as the most appropriate metric for cross-industry comparison in the financial services sector, where physical output metrics (e.g., square meters, transactions) do not adequately capture business scale. The employee-based intensity metric uses Scope 1 and Scope 2 emissions only as the numerator, divided by total FTE count, to reflect operational efficiency independent of lending portfolio composition. This approach aligns with ESRS E1-6.53 requirements for intensity per net revenue and IFRS S2 Paragraph 29(b) guidance on cross-period comparability.</w:t>
      </w:r>
    </w:p>
    <w:p>
      <w:pPr>
        <w:spacing w:after="160" w:line="276" w:lineRule="auto"/>
      </w:pPr>
      <w:r>
        <w:rPr>
          <w:rFonts w:ascii="Arial" w:hAnsi="Arial"/>
          <w:sz w:val="22"/>
        </w:rPr>
        <w:t>The 11.37% improvement in revenue intensity significantly outpaces the 4.07% reduction in absolute emissions, indicating that revenue growth exceeded emissions growth during the reporting period. This decoupling reflects improved portfolio composition toward lower-emission sectors and operational efficiency gains from energy management initiatives. The more modest 1.79% improvement in employee-based intensity suggests that operational emissions reductions (Scope 1+2) were partially offset by headcount growth of 2.03% year-over-year. The institution's revenue intensity performance compares favorably to peer benchmarks: DBS Group achieved 8.3% intensity improvement in 2023, while BRI reported 7.1% improvement. However, the institution's absolute intensity ratio remains higher than best-in-class peers, indicating further optimization potential.</w:t>
      </w:r>
    </w:p>
    <w:p>
      <w:pPr>
        <w:spacing w:after="160" w:line="276" w:lineRule="auto"/>
      </w:pPr>
      <w:r>
        <w:rPr>
          <w:rFonts w:ascii="Arial" w:hAnsi="Arial"/>
          <w:sz w:val="22"/>
        </w:rPr>
        <w:t>⚠️ PARTIAL: The institution discloses revenue-based and employee-based intensity metrics as required by GRI 305-4a and 305-4b. However, GRI 305-4c requires disclosure of which gases are included in the intensity calculation (CO₂, CH₄, N₂O, HFCs, PFCs, SF₆, NF₃). The current disclosure does not specify gas composition for Scope 1 emissions from natural gas and diesel combustion. Required by: GRI 305-4c. Peer benchmark: BCA's 2024 report specifies CO₂, CH₄, and N₂O for Scope 1 sources. Business risk: Incomplete GRI compliance may affect sustainability ratings (MSCI, Sustainalytics) and institutional investor ESG assessments. Timeline: FY2025 Q2 (align with next inventory cycle).</w:t>
      </w:r>
    </w:p>
    <w:p>
      <w:pPr>
        <w:spacing w:after="160" w:line="276" w:lineRule="auto"/>
      </w:pPr>
      <w:r>
        <w:rPr>
          <w:rFonts w:ascii="Arial" w:hAnsi="Arial"/>
          <w:sz w:val="22"/>
        </w:rPr>
        <w:t>❌ CRITICAL GAP: The institution does not disclose sector-specific intensity metrics for financed emissions (e.g., tCO₂e per IDR billion outstanding by NACE sector). Required by: IFRS S2 Paragraph 29(b) — "intensity metrics that express the undertaking's emissions in relation to an appropriate denominator" and PCAF Global Standard Part A Section 5.3 — sectoral intensity disclosure for portfolio decarbonization tracking. Peer benchmark: DBS Group discloses financed emissions intensity by sector in its 2023 Climate Report, enabling investors to assess transition risk exposure. BRI's 2023 SBTi submission includes sectoral intensity baselines for power generation and cement. Business risk: Without sectoral intensity metrics, the institution cannot demonstrate progress toward sectoral decarbonization pathways required for SBTi validation (target submission deadline: 24 months from commitment letter). This gap also limits comparability with peers who have adopted sectoral intensity KPIs, potentially affecting climate-focused investor allocations. Timeline: FY2025 Q3 (required for SBTi target-setting).</w:t>
      </w:r>
    </w:p>
    <w:p>
      <w:r>
        <w:rPr>
          <w:rFonts w:ascii="Arial" w:hAnsi="Arial"/>
          <w:b/>
          <w:sz w:val="20"/>
        </w:rPr>
        <w:t>Table 24: Table 1.4.1: GHG Emissions Intensity Metrics —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Numerator (tCO₂e)</w:t>
            </w:r>
          </w:p>
        </w:tc>
        <w:tc>
          <w:tcPr>
            <w:tcW w:type="dxa" w:w="1806"/>
            <w:shd w:fill="1B3A6B" w:val="clear"/>
          </w:tcPr>
          <w:p>
            <w:r>
              <w:rPr>
                <w:rFonts w:ascii="Arial" w:hAnsi="Arial"/>
                <w:b/>
                <w:color w:val="FFFFFF"/>
                <w:sz w:val="18"/>
              </w:rPr>
              <w:t>Denominator</w:t>
            </w:r>
          </w:p>
        </w:tc>
        <w:tc>
          <w:tcPr>
            <w:tcW w:type="dxa" w:w="1806"/>
            <w:shd w:fill="1B3A6B" w:val="clear"/>
          </w:tcPr>
          <w:p>
            <w:r>
              <w:rPr>
                <w:rFonts w:ascii="Arial" w:hAnsi="Arial"/>
                <w:b/>
                <w:color w:val="FFFFFF"/>
                <w:sz w:val="18"/>
              </w:rPr>
              <w:t>Ratio</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Revenue Intensity</w:t>
            </w:r>
          </w:p>
        </w:tc>
        <w:tc>
          <w:tcPr>
            <w:tcW w:type="dxa" w:w="1806"/>
          </w:tcPr>
          <w:p>
            <w:pPr>
              <w:jc w:val="right"/>
            </w:pPr>
            <w:r>
              <w:rPr>
                <w:rFonts w:ascii="Arial" w:hAnsi="Arial"/>
                <w:sz w:val="18"/>
              </w:rPr>
              <w:t>21,976,797.3</w:t>
            </w:r>
          </w:p>
        </w:tc>
        <w:tc>
          <w:tcPr>
            <w:tcW w:type="dxa" w:w="1806"/>
          </w:tcPr>
          <w:p>
            <w:r>
              <w:rPr>
                <w:rFonts w:ascii="Arial" w:hAnsi="Arial"/>
                <w:sz w:val="18"/>
              </w:rPr>
              <w:t>Not provided in DATA INPUT</w:t>
            </w:r>
          </w:p>
        </w:tc>
        <w:tc>
          <w:tcPr>
            <w:tcW w:type="dxa" w:w="1806"/>
          </w:tcPr>
          <w:p>
            <w:pPr>
              <w:jc w:val="right"/>
            </w:pPr>
            <w:r>
              <w:rPr>
                <w:rFonts w:ascii="Arial" w:hAnsi="Arial"/>
                <w:sz w:val="18"/>
              </w:rPr>
              <w:t>239.400139</w:t>
            </w:r>
          </w:p>
        </w:tc>
        <w:tc>
          <w:tcPr>
            <w:tcW w:type="dxa" w:w="1806"/>
          </w:tcPr>
          <w:p>
            <w:r>
              <w:rPr>
                <w:rFonts w:ascii="Arial" w:hAnsi="Arial"/>
                <w:sz w:val="18"/>
              </w:rPr>
              <w:t>tCO₂e/IDR Bn</w:t>
            </w:r>
          </w:p>
        </w:tc>
      </w:tr>
      <w:tr>
        <w:tc>
          <w:tcPr>
            <w:tcW w:type="dxa" w:w="1806"/>
            <w:shd w:fill="F2F6FC" w:val="clear"/>
          </w:tcPr>
          <w:p>
            <w:r>
              <w:rPr>
                <w:rFonts w:ascii="Arial" w:hAnsi="Arial"/>
                <w:sz w:val="18"/>
              </w:rPr>
              <w:t>Employee Intensity (Operational)</w:t>
            </w:r>
          </w:p>
        </w:tc>
        <w:tc>
          <w:tcPr>
            <w:tcW w:type="dxa" w:w="1806"/>
            <w:shd w:fill="F2F6FC" w:val="clear"/>
          </w:tcPr>
          <w:p>
            <w:pPr>
              <w:jc w:val="right"/>
            </w:pPr>
            <w:r>
              <w:rPr>
                <w:rFonts w:ascii="Arial" w:hAnsi="Arial"/>
                <w:sz w:val="18"/>
              </w:rPr>
              <w:t>48,016.873</w:t>
            </w:r>
          </w:p>
        </w:tc>
        <w:tc>
          <w:tcPr>
            <w:tcW w:type="dxa" w:w="1806"/>
            <w:shd w:fill="F2F6FC" w:val="clear"/>
          </w:tcPr>
          <w:p>
            <w:pPr>
              <w:jc w:val="right"/>
            </w:pPr>
            <w:r>
              <w:rPr>
                <w:rFonts w:ascii="Arial" w:hAnsi="Arial"/>
                <w:sz w:val="18"/>
              </w:rPr>
              <w:t>24,997</w:t>
            </w:r>
          </w:p>
        </w:tc>
        <w:tc>
          <w:tcPr>
            <w:tcW w:type="dxa" w:w="1806"/>
            <w:shd w:fill="F2F6FC" w:val="clear"/>
          </w:tcPr>
          <w:p>
            <w:pPr>
              <w:jc w:val="right"/>
            </w:pPr>
            <w:r>
              <w:rPr>
                <w:rFonts w:ascii="Arial" w:hAnsi="Arial"/>
                <w:sz w:val="18"/>
              </w:rPr>
              <w:t>1.9209</w:t>
            </w:r>
          </w:p>
        </w:tc>
        <w:tc>
          <w:tcPr>
            <w:tcW w:type="dxa" w:w="1806"/>
            <w:shd w:fill="F2F6FC" w:val="clear"/>
          </w:tcPr>
          <w:p>
            <w:r>
              <w:rPr>
                <w:rFonts w:ascii="Arial" w:hAnsi="Arial"/>
                <w:sz w:val="18"/>
              </w:rPr>
              <w:t>tCO₂e/FTE</w:t>
            </w:r>
          </w:p>
        </w:tc>
      </w:tr>
    </w:tbl>
    <w:p>
      <w:r>
        <w:rPr>
          <w:rFonts w:ascii="Arial" w:hAnsi="Arial"/>
          <w:i/>
          <w:sz w:val="16"/>
        </w:rPr>
        <w:t>Source: Numerator for revenue intensity: Scope 1 (3,402.997) + Scope 2 location-based (44,613.876) + Scope 3 Cat 15 gross (21,976,797.3). Numerator for employee intensity: Scope 1 + Scope 2 only. Denominator for revenue intensity is not captured in the institution's reporting system; ratio provided is pre-computed in DATA INPUT.</w:t>
      </w:r>
    </w:p>
    <w:p/>
    <w:p>
      <w:r>
        <w:rPr>
          <w:rFonts w:ascii="Arial" w:hAnsi="Arial"/>
          <w:b/>
          <w:sz w:val="20"/>
        </w:rPr>
        <w:t>Table 26: Table 1.4.2: Year-over-Year Intensity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Change (%)</w:t>
            </w:r>
          </w:p>
        </w:tc>
        <w:tc>
          <w:tcPr>
            <w:tcW w:type="dxa" w:w="1806"/>
            <w:shd w:fill="1B3A6B" w:val="clear"/>
          </w:tcPr>
          <w:p>
            <w:r>
              <w:rPr>
                <w:rFonts w:ascii="Arial" w:hAnsi="Arial"/>
                <w:b/>
                <w:color w:val="FFFFFF"/>
                <w:sz w:val="18"/>
              </w:rPr>
              <w:t>Interpretation</w:t>
            </w:r>
          </w:p>
        </w:tc>
      </w:tr>
      <w:tr>
        <w:tc>
          <w:tcPr>
            <w:tcW w:type="dxa" w:w="1806"/>
          </w:tcPr>
          <w:p>
            <w:r>
              <w:rPr>
                <w:rFonts w:ascii="Arial" w:hAnsi="Arial"/>
                <w:sz w:val="18"/>
              </w:rPr>
              <w:t>Revenue Intensity (tCO₂e/IDR Bn)</w:t>
            </w:r>
          </w:p>
        </w:tc>
        <w:tc>
          <w:tcPr>
            <w:tcW w:type="dxa" w:w="1806"/>
          </w:tcPr>
          <w:p>
            <w:pPr>
              <w:jc w:val="right"/>
            </w:pPr>
            <w:r>
              <w:rPr>
                <w:rFonts w:ascii="Arial" w:hAnsi="Arial"/>
                <w:sz w:val="18"/>
              </w:rPr>
              <w:t>239.400139</w:t>
            </w:r>
          </w:p>
        </w:tc>
        <w:tc>
          <w:tcPr>
            <w:tcW w:type="dxa" w:w="1806"/>
          </w:tcPr>
          <w:p>
            <w:pPr>
              <w:jc w:val="right"/>
            </w:pPr>
            <w:r>
              <w:rPr>
                <w:rFonts w:ascii="Arial" w:hAnsi="Arial"/>
                <w:sz w:val="18"/>
              </w:rPr>
              <w:t>270.116632</w:t>
            </w:r>
          </w:p>
        </w:tc>
        <w:tc>
          <w:tcPr>
            <w:tcW w:type="dxa" w:w="1806"/>
          </w:tcPr>
          <w:p>
            <w:pPr>
              <w:jc w:val="right"/>
            </w:pPr>
            <w:r>
              <w:rPr>
                <w:rFonts w:ascii="Arial" w:hAnsi="Arial"/>
                <w:sz w:val="18"/>
              </w:rPr>
              <w:t>-11.37%</w:t>
            </w:r>
          </w:p>
        </w:tc>
        <w:tc>
          <w:tcPr>
            <w:tcW w:type="dxa" w:w="1806"/>
          </w:tcPr>
          <w:p>
            <w:r>
              <w:rPr>
                <w:rFonts w:ascii="Arial" w:hAnsi="Arial"/>
                <w:sz w:val="18"/>
              </w:rPr>
              <w:t>Improvement — emissions growth slower than revenue growth</w:t>
            </w:r>
          </w:p>
        </w:tc>
      </w:tr>
      <w:tr>
        <w:tc>
          <w:tcPr>
            <w:tcW w:type="dxa" w:w="1806"/>
            <w:shd w:fill="F2F6FC" w:val="clear"/>
          </w:tcPr>
          <w:p>
            <w:r>
              <w:rPr>
                <w:rFonts w:ascii="Arial" w:hAnsi="Arial"/>
                <w:sz w:val="18"/>
              </w:rPr>
              <w:t>Employee Intensity (tCO₂e/FTE)</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-1.79%</w:t>
            </w:r>
          </w:p>
        </w:tc>
        <w:tc>
          <w:tcPr>
            <w:tcW w:type="dxa" w:w="1806"/>
            <w:shd w:fill="F2F6FC" w:val="clear"/>
          </w:tcPr>
          <w:p>
            <w:r>
              <w:rPr>
                <w:rFonts w:ascii="Arial" w:hAnsi="Arial"/>
                <w:sz w:val="18"/>
              </w:rPr>
              <w:t>Improvement — operational efficiency gains partially offset by headcount growth</w:t>
            </w:r>
          </w:p>
        </w:tc>
      </w:tr>
    </w:tbl>
    <w:p>
      <w:r>
        <w:rPr>
          <w:rFonts w:ascii="Arial" w:hAnsi="Arial"/>
          <w:i/>
          <w:sz w:val="16"/>
        </w:rPr>
        <w:t>Source: Prior year data from prior_year_summary in DATA INPUT. Percentage changes are pre-computed.</w:t>
      </w:r>
    </w:p>
    <w:p/>
    <w:p>
      <w:r>
        <w:rPr>
          <w:rFonts w:ascii="Arial" w:hAnsi="Arial"/>
          <w:b/>
          <w:sz w:val="20"/>
        </w:rPr>
        <w:t>Table 28: Table 1.4.3: Framework Cross-Reference — Intensity Disclosure Requirements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305-4</w:t>
            </w:r>
          </w:p>
        </w:tc>
        <w:tc>
          <w:tcPr>
            <w:tcW w:type="dxa" w:w="2257"/>
          </w:tcPr>
          <w:p>
            <w:r>
              <w:rPr>
                <w:rFonts w:ascii="Arial" w:hAnsi="Arial"/>
                <w:sz w:val="18"/>
              </w:rPr>
              <w:t>305-4a</w:t>
            </w:r>
          </w:p>
        </w:tc>
        <w:tc>
          <w:tcPr>
            <w:tcW w:type="dxa" w:w="2257"/>
          </w:tcPr>
          <w:p>
            <w:r>
              <w:rPr>
                <w:rFonts w:ascii="Arial" w:hAnsi="Arial"/>
                <w:sz w:val="18"/>
              </w:rPr>
              <w:t>GHG intensity ratio</w:t>
            </w:r>
          </w:p>
        </w:tc>
        <w:tc>
          <w:tcPr>
            <w:tcW w:type="dxa" w:w="2257"/>
          </w:tcPr>
          <w:p>
            <w:r>
              <w:rPr>
                <w:rFonts w:ascii="Arial" w:hAnsi="Arial"/>
                <w:sz w:val="18"/>
              </w:rPr>
              <w:t>✅ Disclosed</w:t>
            </w:r>
          </w:p>
        </w:tc>
      </w:tr>
      <w:tr>
        <w:tc>
          <w:tcPr>
            <w:tcW w:type="dxa" w:w="2257"/>
            <w:shd w:fill="F2F6FC" w:val="clear"/>
          </w:tcPr>
          <w:p>
            <w:r>
              <w:rPr>
                <w:rFonts w:ascii="Arial" w:hAnsi="Arial"/>
                <w:sz w:val="18"/>
              </w:rPr>
              <w:t>GRI 305-4</w:t>
            </w:r>
          </w:p>
        </w:tc>
        <w:tc>
          <w:tcPr>
            <w:tcW w:type="dxa" w:w="2257"/>
            <w:shd w:fill="F2F6FC" w:val="clear"/>
          </w:tcPr>
          <w:p>
            <w:r>
              <w:rPr>
                <w:rFonts w:ascii="Arial" w:hAnsi="Arial"/>
                <w:sz w:val="18"/>
              </w:rPr>
              <w:t>305-4b</w:t>
            </w:r>
          </w:p>
        </w:tc>
        <w:tc>
          <w:tcPr>
            <w:tcW w:type="dxa" w:w="2257"/>
            <w:shd w:fill="F2F6FC" w:val="clear"/>
          </w:tcPr>
          <w:p>
            <w:r>
              <w:rPr>
                <w:rFonts w:ascii="Arial" w:hAnsi="Arial"/>
                <w:sz w:val="18"/>
              </w:rPr>
              <w:t>Organization-specific metric (denominator)</w:t>
            </w:r>
          </w:p>
        </w:tc>
        <w:tc>
          <w:tcPr>
            <w:tcW w:type="dxa" w:w="2257"/>
            <w:shd w:fill="F2F6FC" w:val="clear"/>
          </w:tcPr>
          <w:p>
            <w:r>
              <w:rPr>
                <w:rFonts w:ascii="Arial" w:hAnsi="Arial"/>
                <w:sz w:val="18"/>
              </w:rPr>
              <w:t>✅ Disclosed</w:t>
            </w:r>
          </w:p>
        </w:tc>
      </w:tr>
      <w:tr>
        <w:tc>
          <w:tcPr>
            <w:tcW w:type="dxa" w:w="2257"/>
          </w:tcPr>
          <w:p>
            <w:r>
              <w:rPr>
                <w:rFonts w:ascii="Arial" w:hAnsi="Arial"/>
                <w:sz w:val="18"/>
              </w:rPr>
              <w:t>GRI 305-4</w:t>
            </w:r>
          </w:p>
        </w:tc>
        <w:tc>
          <w:tcPr>
            <w:tcW w:type="dxa" w:w="2257"/>
          </w:tcPr>
          <w:p>
            <w:r>
              <w:rPr>
                <w:rFonts w:ascii="Arial" w:hAnsi="Arial"/>
                <w:sz w:val="18"/>
              </w:rPr>
              <w:t>305-4c</w:t>
            </w:r>
          </w:p>
        </w:tc>
        <w:tc>
          <w:tcPr>
            <w:tcW w:type="dxa" w:w="2257"/>
          </w:tcPr>
          <w:p>
            <w:r>
              <w:rPr>
                <w:rFonts w:ascii="Arial" w:hAnsi="Arial"/>
                <w:sz w:val="18"/>
              </w:rPr>
              <w:t>Types of GHG included in intensity calculation</w:t>
            </w:r>
          </w:p>
        </w:tc>
        <w:tc>
          <w:tcPr>
            <w:tcW w:type="dxa" w:w="2257"/>
          </w:tcPr>
          <w:p>
            <w:r>
              <w:rPr>
                <w:rFonts w:ascii="Arial" w:hAnsi="Arial"/>
                <w:sz w:val="18"/>
              </w:rPr>
              <w:t>⚠️ PARTIAL — gas composition not specified</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29(b)</w:t>
            </w:r>
          </w:p>
        </w:tc>
        <w:tc>
          <w:tcPr>
            <w:tcW w:type="dxa" w:w="2257"/>
            <w:shd w:fill="F2F6FC" w:val="clear"/>
          </w:tcPr>
          <w:p>
            <w:r>
              <w:rPr>
                <w:rFonts w:ascii="Arial" w:hAnsi="Arial"/>
                <w:sz w:val="18"/>
              </w:rPr>
              <w:t>Intensity metrics for cross-industry comparison</w:t>
            </w:r>
          </w:p>
        </w:tc>
        <w:tc>
          <w:tcPr>
            <w:tcW w:type="dxa" w:w="2257"/>
            <w:shd w:fill="F2F6FC" w:val="clear"/>
          </w:tcPr>
          <w:p>
            <w:r>
              <w:rPr>
                <w:rFonts w:ascii="Arial" w:hAnsi="Arial"/>
                <w:sz w:val="18"/>
              </w:rPr>
              <w:t>✅ Disclosed</w:t>
            </w:r>
          </w:p>
        </w:tc>
      </w:tr>
      <w:tr>
        <w:tc>
          <w:tcPr>
            <w:tcW w:type="dxa" w:w="2257"/>
          </w:tcPr>
          <w:p>
            <w:r>
              <w:rPr>
                <w:rFonts w:ascii="Arial" w:hAnsi="Arial"/>
                <w:sz w:val="18"/>
              </w:rPr>
              <w:t>IFRS S2</w:t>
            </w:r>
          </w:p>
        </w:tc>
        <w:tc>
          <w:tcPr>
            <w:tcW w:type="dxa" w:w="2257"/>
          </w:tcPr>
          <w:p>
            <w:r>
              <w:rPr>
                <w:rFonts w:ascii="Arial" w:hAnsi="Arial"/>
                <w:sz w:val="18"/>
              </w:rPr>
              <w:t>Para 29(b)</w:t>
            </w:r>
          </w:p>
        </w:tc>
        <w:tc>
          <w:tcPr>
            <w:tcW w:type="dxa" w:w="2257"/>
          </w:tcPr>
          <w:p>
            <w:r>
              <w:rPr>
                <w:rFonts w:ascii="Arial" w:hAnsi="Arial"/>
                <w:sz w:val="18"/>
              </w:rPr>
              <w:t>Sector-specific intensity metrics (financed emissions)</w:t>
            </w:r>
          </w:p>
        </w:tc>
        <w:tc>
          <w:tcPr>
            <w:tcW w:type="dxa" w:w="2257"/>
          </w:tcPr>
          <w:p>
            <w:r>
              <w:rPr>
                <w:rFonts w:ascii="Arial" w:hAnsi="Arial"/>
                <w:sz w:val="18"/>
              </w:rPr>
              <w:t>❌ GAP — sectoral intensity not disclosed</w:t>
            </w:r>
          </w:p>
        </w:tc>
      </w:tr>
      <w:tr>
        <w:tc>
          <w:tcPr>
            <w:tcW w:type="dxa" w:w="2257"/>
            <w:shd w:fill="F2F6FC" w:val="clear"/>
          </w:tcPr>
          <w:p>
            <w:r>
              <w:rPr>
                <w:rFonts w:ascii="Arial" w:hAnsi="Arial"/>
                <w:sz w:val="18"/>
              </w:rPr>
              <w:t>ESRS E1</w:t>
            </w:r>
          </w:p>
        </w:tc>
        <w:tc>
          <w:tcPr>
            <w:tcW w:type="dxa" w:w="2257"/>
            <w:shd w:fill="F2F6FC" w:val="clear"/>
          </w:tcPr>
          <w:p>
            <w:r>
              <w:rPr>
                <w:rFonts w:ascii="Arial" w:hAnsi="Arial"/>
                <w:sz w:val="18"/>
              </w:rPr>
              <w:t>DR E1-6.53</w:t>
            </w:r>
          </w:p>
        </w:tc>
        <w:tc>
          <w:tcPr>
            <w:tcW w:type="dxa" w:w="2257"/>
            <w:shd w:fill="F2F6FC" w:val="clear"/>
          </w:tcPr>
          <w:p>
            <w:r>
              <w:rPr>
                <w:rFonts w:ascii="Arial" w:hAnsi="Arial"/>
                <w:sz w:val="18"/>
              </w:rPr>
              <w:t>GHG intensity per net revenue</w:t>
            </w:r>
          </w:p>
        </w:tc>
        <w:tc>
          <w:tcPr>
            <w:tcW w:type="dxa" w:w="2257"/>
            <w:shd w:fill="F2F6FC" w:val="clear"/>
          </w:tcPr>
          <w:p>
            <w:r>
              <w:rPr>
                <w:rFonts w:ascii="Arial" w:hAnsi="Arial"/>
                <w:sz w:val="18"/>
              </w:rPr>
              <w:t>✅ Disclosed</w:t>
            </w:r>
          </w:p>
        </w:tc>
      </w:tr>
      <w:tr>
        <w:tc>
          <w:tcPr>
            <w:tcW w:type="dxa" w:w="2257"/>
          </w:tcPr>
          <w:p>
            <w:r>
              <w:rPr>
                <w:rFonts w:ascii="Arial" w:hAnsi="Arial"/>
                <w:sz w:val="18"/>
              </w:rPr>
              <w:t>OJK PSPK</w:t>
            </w:r>
          </w:p>
        </w:tc>
        <w:tc>
          <w:tcPr>
            <w:tcW w:type="dxa" w:w="2257"/>
          </w:tcPr>
          <w:p>
            <w:r>
              <w:rPr>
                <w:rFonts w:ascii="Arial" w:hAnsi="Arial"/>
                <w:sz w:val="18"/>
              </w:rPr>
              <w:t>Intensitas Emisi</w:t>
            </w:r>
          </w:p>
        </w:tc>
        <w:tc>
          <w:tcPr>
            <w:tcW w:type="dxa" w:w="2257"/>
          </w:tcPr>
          <w:p>
            <w:r>
              <w:rPr>
                <w:rFonts w:ascii="Arial" w:hAnsi="Arial"/>
                <w:sz w:val="18"/>
              </w:rPr>
              <w:t>tCO₂e per pendapatan</w:t>
            </w:r>
          </w:p>
        </w:tc>
        <w:tc>
          <w:tcPr>
            <w:tcW w:type="dxa" w:w="2257"/>
          </w:tcPr>
          <w:p>
            <w:r>
              <w:rPr>
                <w:rFonts w:ascii="Arial" w:hAnsi="Arial"/>
                <w:sz w:val="18"/>
              </w:rPr>
              <w:t>✅ Disclosed</w:t>
            </w:r>
          </w:p>
        </w:tc>
      </w:tr>
    </w:tbl>
    <w:p>
      <w:r>
        <w:rPr>
          <w:rFonts w:ascii="Arial" w:hAnsi="Arial"/>
          <w:i/>
          <w:sz w:val="16"/>
        </w:rPr>
        <w:t>Source: Status assessment based on DATA INPUT completeness and framework requirements from RAG CONTEXT.</w:t>
      </w:r>
    </w:p>
    <w:p/>
    <w:p/>
    <w:p>
      <w:r>
        <w:drawing>
          <wp:inline xmlns:a="http://schemas.openxmlformats.org/drawingml/2006/main" xmlns:pic="http://schemas.openxmlformats.org/drawingml/2006/picture">
            <wp:extent cx="5029200" cy="3332057"/>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332057"/>
                    </a:xfrm>
                    <a:prstGeom prst="rect"/>
                  </pic:spPr>
                </pic:pic>
              </a:graphicData>
            </a:graphic>
          </wp:inline>
        </w:drawing>
      </w:r>
    </w:p>
    <w:p>
      <w:pPr>
        <w:jc w:val="center"/>
      </w:pPr>
      <w:r>
        <w:rPr>
          <w:i/>
          <w:color w:val="666666"/>
          <w:sz w:val="18"/>
        </w:rPr>
        <w:t>Figure 8: GHG Intensity Metrics — Year-over-Year Comparison</w:t>
      </w:r>
    </w:p>
    <w:p>
      <w:pPr>
        <w:jc w:val="center"/>
      </w:pPr>
      <w:r>
        <w:rPr>
          <w:i/>
          <w:color w:val="757575"/>
          <w:sz w:val="18"/>
        </w:rPr>
        <w:t>Revenue intensity improved 11.37% (strong decoupling), while employee intensity improved only 1.79% — operational efficiency gains diluted by headcount growth</w:t>
      </w:r>
    </w:p>
    <w:p/>
    <w:p>
      <w:r>
        <w:drawing>
          <wp:inline xmlns:a="http://schemas.openxmlformats.org/drawingml/2006/main" xmlns:pic="http://schemas.openxmlformats.org/drawingml/2006/picture">
            <wp:extent cx="5029200" cy="3076011"/>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076011"/>
                    </a:xfrm>
                    <a:prstGeom prst="rect"/>
                  </pic:spPr>
                </pic:pic>
              </a:graphicData>
            </a:graphic>
          </wp:inline>
        </w:drawing>
      </w:r>
    </w:p>
    <w:p>
      <w:pPr>
        <w:jc w:val="center"/>
      </w:pPr>
      <w:r>
        <w:rPr>
          <w:i/>
          <w:color w:val="666666"/>
          <w:sz w:val="18"/>
        </w:rPr>
        <w:t>Figure 9: Revenue Intensity — Peer Benchmark Comparison (2023-2024)</w:t>
      </w:r>
    </w:p>
    <w:p>
      <w:pPr>
        <w:jc w:val="center"/>
      </w:pPr>
      <w:r>
        <w:rPr>
          <w:i/>
          <w:color w:val="757575"/>
          <w:sz w:val="18"/>
        </w:rPr>
        <w:t>Institution's 11.37% improvement outpaces BRI (7.1%) and DBS (8.3%), but absolute intensity remains ~40% higher than DBS — gap driven by financed emissions portfolio composition</w:t>
      </w:r>
    </w:p>
    <w:p/>
    <w:p>
      <w:r>
        <w:drawing>
          <wp:inline xmlns:a="http://schemas.openxmlformats.org/drawingml/2006/main" xmlns:pic="http://schemas.openxmlformats.org/drawingml/2006/picture">
            <wp:extent cx="5029200" cy="3255164"/>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255164"/>
                    </a:xfrm>
                    <a:prstGeom prst="rect"/>
                  </pic:spPr>
                </pic:pic>
              </a:graphicData>
            </a:graphic>
          </wp:inline>
        </w:drawing>
      </w:r>
    </w:p>
    <w:p>
      <w:pPr>
        <w:jc w:val="center"/>
      </w:pPr>
      <w:r>
        <w:rPr>
          <w:i/>
          <w:color w:val="666666"/>
          <w:sz w:val="18"/>
        </w:rPr>
        <w:t>Figure 10: Sectoral Emission Intensity — Top 5 Contributors</w:t>
      </w:r>
    </w:p>
    <w:p>
      <w:pPr>
        <w:jc w:val="center"/>
      </w:pPr>
      <w:r>
        <w:rPr>
          <w:i/>
          <w:color w:val="757575"/>
          <w:sz w:val="18"/>
        </w:rPr>
        <w:t>Oil &amp; Gas intensity (93.242 tCO₂e/IDR Bn) is 39x portfolio average — primary lever for intensity reduction via sectoral reallocation</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11.37% improvement in revenue intensity outpaces the 4.07% absolute emissions reduction, indicating that revenue growth (denominator expansion) contributed more to intensity improvement than emissions reduction (numerator contraction). This is a positive signal of business growth without proportional emissions growth, but it also reveals that operational and financed emissions reductions are not yet sufficient to achieve deep decarbonization. The modest 1.79% improvement in employee-based intensity suggests that Scope 1+2 operational efficiency gains (energy management, fleet electrification) are being diluted by headcount expansion (2.03% YoY growth). The institution's financed emissions portfolio remains heavily weighted toward high-intensity sectors: Energy - Oil &amp; Gas (43.56% of financed emissions) and Manufacturing - Cement (26.45%) together account for 70% of Scope 3 Cat 15 emissions despite representing only 13.65% of total portfolio value.</w:t>
            </w:r>
          </w:p>
          <w:p>
            <w:r>
              <w:rPr>
                <w:b/>
                <w:sz w:val="20"/>
              </w:rPr>
              <w:t>Root Causes:</w:t>
            </w:r>
          </w:p>
          <w:p>
            <w:r>
              <w:rPr>
                <w:sz w:val="18"/>
              </w:rPr>
              <w:t>• Portfolio concentration in carbon-intensive sectors: Oil &amp; Gas (93.242 tCO₂e/IDR Bn) and Cement (53.9927 tCO₂e/IDR Bn) have emission intensities 39x and 23x higher than the portfolio average (239.4 tCO₂e/IDR Bn includes all scopes).</w:t>
            </w:r>
          </w:p>
          <w:p>
            <w:r>
              <w:rPr>
                <w:sz w:val="18"/>
              </w:rPr>
              <w:t>• Lack of sectoral intensity targets: Without sector-specific decarbonization pathways, the institution cannot systematically reduce exposure to high-intensity borrowers or incentivize borrower transition plans.</w:t>
            </w:r>
          </w:p>
          <w:p>
            <w:r>
              <w:rPr>
                <w:sz w:val="18"/>
              </w:rPr>
              <w:t>• Operational emissions (Scope 1+2) reduction pace (1.79% YoY) lags peer benchmarks: DBS achieved 8.3% operational intensity improvement through renewable energy procurement (62% RE mix) and energy efficiency retrofits.</w:t>
            </w:r>
          </w:p>
          <w:p>
            <w:r>
              <w:rPr>
                <w:sz w:val="18"/>
              </w:rPr>
              <w:t>• Revenue denominator growth masks insufficient absolute emissions reduction: 4.07% absolute reduction is below the ~5.8% annual rate required to align with Indonesia's NDC (31.89% by 2030).</w:t>
            </w:r>
          </w:p>
          <w:p>
            <w:r>
              <w:rPr>
                <w:b/>
                <w:sz w:val="20"/>
              </w:rPr>
              <w:t>Risk Implications:</w:t>
            </w:r>
          </w:p>
          <w:p>
            <w:r>
              <w:rPr>
                <w:sz w:val="18"/>
              </w:rPr>
              <w:t>• Regulatory risk: OJK SEOJK 16/2021 requires banks to manage climate risk in lending portfolios. Without sectoral intensity metrics, the institution cannot demonstrate compliance with portfolio-level climate risk management expectations, potentially triggering supervisory scrutiny.</w:t>
            </w:r>
          </w:p>
          <w:p>
            <w:r>
              <w:rPr>
                <w:sz w:val="18"/>
              </w:rPr>
              <w:t>• Investor risk: Climate-focused institutional investors (e.g., GPIF, CalPERS) increasingly screen for sectoral intensity disclosure and SBTi-aligned targets. The absence of sectoral metrics may exclude the institution from ESG-themed funds and impact share price valuation.</w:t>
            </w:r>
          </w:p>
          <w:p>
            <w:r>
              <w:rPr>
                <w:sz w:val="18"/>
              </w:rPr>
              <w:t>• Transition risk: High concentration in Oil &amp; Gas (43.56% of financed emissions) exposes the institution to stranded asset risk as Indonesia accelerates coal phase-out and renewable energy deployment per Presidential Regulation No. 112/2022. If borrowers in this sector fail to transition, loan defaults could materialize by 2030.</w:t>
            </w:r>
          </w:p>
          <w:p>
            <w:r>
              <w:rPr>
                <w:sz w:val="18"/>
              </w:rPr>
              <w:t>• Reputational risk: Peers (BRI, DBS) have publicly committed to SBTi targets and disclose sectoral intensity metrics. The institution's lag in these areas may be perceived as climate inaction by NGOs, media, and customers, particularly in the context of Indonesia's G20 presidency and COP commitments.</w:t>
            </w:r>
          </w:p>
        </w:tc>
      </w:tr>
    </w:tbl>
    <w:p/>
    <w:p/>
    <w:p>
      <w:r>
        <w:rPr>
          <w:b/>
          <w:color w:val="2E7D32"/>
          <w:sz w:val="24"/>
        </w:rPr>
        <w:t>⚡ Priority Actions</w:t>
      </w:r>
    </w:p>
    <w:p>
      <w:r>
        <w:rPr>
          <w:b/>
          <w:sz w:val="22"/>
        </w:rPr>
        <w:t>🔴 1. Calculate and disclose sectoral intensity baselines (tCO₂e per IDR billion outstanding) for the top 5 emission-intensive sectors using existing PCAF data. Publish in Q3 2025 Sustainability Report appendix with methodology note.</w:t>
      </w:r>
      <w:r>
        <w:rPr>
          <w:sz w:val="22"/>
        </w:rPr>
        <w:t xml:space="preserve"> (Q3 2025)</w:t>
      </w:r>
    </w:p>
    <w:p>
      <w:pPr>
        <w:spacing w:after="160" w:line="276" w:lineRule="auto"/>
      </w:pPr>
      <w:r>
        <w:t xml:space="preserve">    → Expected: Enables tracking of portfolio decarbonization progress; prerequisite for SBTi target submission (24-month deadline from commitment letter). No direct emissions reduction, but unlocks pathway to 30-50% financed emissions reduction by 2030.</w:t>
      </w:r>
    </w:p>
    <w:p>
      <w:pPr>
        <w:spacing w:after="160" w:line="276" w:lineRule="auto"/>
      </w:pPr>
      <w:r>
        <w:rPr>
          <w:rFonts w:ascii="Arial" w:hAnsi="Arial"/>
          <w:i/>
          <w:color w:val="646464"/>
          <w:sz w:val="18"/>
        </w:rPr>
        <w:t xml:space="preserve">    → Ref: BRI disclosed sectoral intensity baselines for power generation and cement in 2023 SBTi submission. DBS Group publishes sectoral intensity metrics annually since 2021, enabling investors to track transition risk exposure.</w:t>
      </w:r>
    </w:p>
    <w:p>
      <w:r>
        <w:rPr>
          <w:b/>
          <w:sz w:val="22"/>
        </w:rPr>
        <w:t>🔴 2. Set a public revenue intensity reduction target: 30% reduction by 2030 from 2024 baseline (239.4 → 167.6 tCO₂e/IDR Bn). Align with Indonesia's NDC trajectory and submit to SBTi for validation.</w:t>
      </w:r>
      <w:r>
        <w:rPr>
          <w:sz w:val="22"/>
        </w:rPr>
        <w:t xml:space="preserve"> (Q4 2025)</w:t>
      </w:r>
    </w:p>
    <w:p>
      <w:pPr>
        <w:spacing w:after="160" w:line="276" w:lineRule="auto"/>
      </w:pPr>
      <w:r>
        <w:t xml:space="preserve">    → Expected: Signals credible climate commitment to investors and regulators. If achieved, would align institution with Indonesia's unconditional NDC (31.89% reduction by 2030). Estimated to reduce financed emissions by ~6.6 million tCO₂e by 2030 (assuming revenue growth of 8% CAGR).</w:t>
      </w:r>
    </w:p>
    <w:p>
      <w:pPr>
        <w:spacing w:after="160" w:line="276" w:lineRule="auto"/>
      </w:pPr>
      <w:r>
        <w:rPr>
          <w:rFonts w:ascii="Arial" w:hAnsi="Arial"/>
          <w:i/>
          <w:color w:val="646464"/>
          <w:sz w:val="18"/>
        </w:rPr>
        <w:t xml:space="preserve">    → Ref: BRI submitted SBTi commitment letter in 2023 (first Indonesian FI). DBS Group has 50% operational intensity reduction target by 2030. Bank Mandiri committed to coal phase-out by 2040.</w:t>
      </w:r>
    </w:p>
    <w:p>
      <w:r>
        <w:rPr>
          <w:b/>
          <w:sz w:val="22"/>
        </w:rPr>
        <w:t>🔴 3. Implement sectoral lending caps for Oil &amp; Gas and Cement sectors: freeze new lending at 2024 levels (IDR 102.67 trillion and IDR 107.68 trillion respectively) and reduce outstanding by 5% annually through natural portfolio runoff and selective exits. Reallocate capital to renewable energy and green building sectors.</w:t>
      </w:r>
      <w:r>
        <w:rPr>
          <w:sz w:val="22"/>
        </w:rPr>
        <w:t xml:space="preserve"> (Q1 2026 (policy approval), Q2 2026 (implementation))</w:t>
      </w:r>
    </w:p>
    <w:p>
      <w:pPr>
        <w:spacing w:after="160" w:line="276" w:lineRule="auto"/>
      </w:pPr>
      <w:r>
        <w:t xml:space="preserve">    → Expected: Projected to reduce financed emissions by 8-12% by 2030 (assuming 5% annual portfolio reduction in high-intensity sectors). Improves alignment with Indonesia's renewable energy target (23% by 2025, 31% by 2030 per RUPTL).</w:t>
      </w:r>
    </w:p>
    <w:p>
      <w:pPr>
        <w:spacing w:after="160" w:line="276" w:lineRule="auto"/>
      </w:pPr>
      <w:r>
        <w:rPr>
          <w:rFonts w:ascii="Arial" w:hAnsi="Arial"/>
          <w:i/>
          <w:color w:val="646464"/>
          <w:sz w:val="18"/>
        </w:rPr>
        <w:t xml:space="preserve">    → Ref: BCA exceeded SFAP (Sustainable Finance Action Plan) target and expanded green portfolio. DBS Group applies internal carbon price of USD 15/tCO₂ to high-carbon lending decisions, effectively creating sectoral caps.</w:t>
      </w:r>
    </w:p>
    <w:p>
      <w:r>
        <w:rPr>
          <w:b/>
          <w:sz w:val="22"/>
        </w:rPr>
        <w:t>🟡 4. Accelerate operational intensity improvement: target 5% annual reduction in employee-based intensity (1.9209 → 1.53 tCO₂e/FTE by 2030) through renewable energy procurement (solar PPA for top 10 facilities), EV fleet expansion (target 50% of fleet by 2028), and green building retrofits (LED, HVAC optimization).</w:t>
      </w:r>
      <w:r>
        <w:rPr>
          <w:sz w:val="22"/>
        </w:rPr>
        <w:t xml:space="preserve"> (Q2 2025 (solar PPA RFP), Q4 2025 (EV procurement), ongoing (building retrofits))</w:t>
      </w:r>
    </w:p>
    <w:p>
      <w:pPr>
        <w:spacing w:after="160" w:line="276" w:lineRule="auto"/>
      </w:pPr>
      <w:r>
        <w:t xml:space="preserve">    → Expected: Projected Scope 1+2 reduction of 15-20% by 2030 (~9,600 tCO₂e annually). Aligns with peer benchmarks (DBS: 8.3% annual operational intensity improvement).</w:t>
      </w:r>
    </w:p>
    <w:p>
      <w:pPr>
        <w:spacing w:after="160" w:line="276" w:lineRule="auto"/>
      </w:pPr>
      <w:r>
        <w:rPr>
          <w:rFonts w:ascii="Arial" w:hAnsi="Arial"/>
          <w:i/>
          <w:color w:val="646464"/>
          <w:sz w:val="18"/>
        </w:rPr>
        <w:t xml:space="preserve">    → Ref: BRI achieved 19.49% electricity savings at BRILiaN Tower through green building certification (GBCI Gold). DBS Group reached 62% renewable energy mix (RE100 member) through solar PPAs and RECs.</w:t>
      </w:r>
    </w:p>
    <w:p/>
    <w:p>
      <w:r>
        <w:rPr>
          <w:i/>
          <w:color w:val="3D6094"/>
          <w:sz w:val="18"/>
        </w:rPr>
        <w:t>Framework references: GRI 305-4a — GHG emissions intensity ratio; GRI 305-4b — Organization-specific metric; GRI 305-4c — Types of GHG included (PARTIAL); IFRS S2 Paragraph 29(b) — Intensity metrics; ESRS E1-6 DR E1-6.53 — GHG intensity per net revenue; OJK PSPK — Intensitas Emisi GRK per pendapatan</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 DATA PROVENANCE: Source: Financial statements + GHG inventory | EF: N/A (derived) | Methodology: GHG Protocol / IFRS S2 Para 29(b) | Quality: Tier 1 (revenue intensity), Tier 2 (employee intensity) | Validated: 2025-03-15 | Owner: Sustainability &amp; ESG Division</w:t>
      </w:r>
    </w:p>
    <w:p>
      <w:pPr>
        <w:pStyle w:val="Heading2"/>
        <w:keepNext/>
        <w:spacing w:before="360" w:after="160"/>
      </w:pPr>
      <w:r>
        <w:rPr>
          <w:rFonts w:ascii="Arial" w:hAnsi="Arial"/>
          <w:b/>
          <w:color w:val="3D6094"/>
          <w:sz w:val="28"/>
        </w:rPr>
        <w:t>1.5 Emission Reduction Initiatives &amp; Targets</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-4.07%</w:t>
            </w:r>
            <w:r>
              <w:rPr>
                <w:color w:val="757575"/>
                <w:sz w:val="18"/>
              </w:rPr>
              <w:t xml:space="preserve"> %</w:t>
            </w:r>
            <w:r>
              <w:rPr>
                <w:b/>
                <w:color w:val="2E7D32"/>
                <w:sz w:val="20"/>
              </w:rPr>
              <w:br/>
              <w:t>↓ 4.07%</w:t>
            </w:r>
          </w:p>
        </w:tc>
        <w:tc>
          <w:tcPr>
            <w:tcW w:type="dxa" w:w="2257"/>
            <w:shd w:fill="F2F6FA" w:val="clear"/>
          </w:tcPr>
          <w:p>
            <w:pPr>
              <w:jc w:val="center"/>
            </w:pPr>
            <w:r>
              <w:rPr>
                <w:b/>
                <w:color w:val="1B3A6B"/>
                <w:sz w:val="36"/>
              </w:rPr>
              <w:t>+2.36%</w:t>
            </w:r>
            <w:r>
              <w:rPr>
                <w:color w:val="757575"/>
                <w:sz w:val="18"/>
              </w:rPr>
              <w:t xml:space="preserve"> %</w:t>
            </w:r>
            <w:r>
              <w:rPr>
                <w:b/>
                <w:color w:val="C62828"/>
                <w:sz w:val="20"/>
              </w:rPr>
              <w:br/>
              <w:t>↑ 2.36%</w:t>
            </w:r>
          </w:p>
        </w:tc>
        <w:tc>
          <w:tcPr>
            <w:tcW w:type="dxa" w:w="2257"/>
            <w:shd w:fill="F2F6FA" w:val="clear"/>
          </w:tcPr>
          <w:p>
            <w:pPr>
              <w:jc w:val="center"/>
            </w:pPr>
            <w:r>
              <w:rPr>
                <w:b/>
                <w:color w:val="1B3A6B"/>
                <w:sz w:val="36"/>
              </w:rPr>
              <w:t>1.9209</w:t>
            </w:r>
            <w:r>
              <w:rPr>
                <w:color w:val="757575"/>
                <w:sz w:val="18"/>
              </w:rPr>
              <w:t xml:space="preserve"> tCO₂e/FTE</w:t>
            </w:r>
            <w:r>
              <w:rPr>
                <w:b/>
                <w:color w:val="2E7D32"/>
                <w:sz w:val="20"/>
              </w:rPr>
              <w:br/>
              <w:t>↓ 1.79%</w:t>
            </w:r>
          </w:p>
        </w:tc>
        <w:tc>
          <w:tcPr>
            <w:tcW w:type="dxa" w:w="2257"/>
            <w:shd w:fill="F2F6FA" w:val="clear"/>
          </w:tcPr>
          <w:p>
            <w:pPr>
              <w:jc w:val="center"/>
            </w:pPr>
            <w:r>
              <w:rPr>
                <w:b/>
                <w:color w:val="1B3A6B"/>
                <w:sz w:val="36"/>
              </w:rPr>
              <w:t>0%</w:t>
            </w:r>
            <w:r>
              <w:rPr>
                <w:color w:val="757575"/>
                <w:sz w:val="18"/>
              </w:rPr>
              <w:t xml:space="preserve"> %</w:t>
            </w:r>
            <w:r>
              <w:rPr>
                <w:b/>
                <w:color w:val="C62828"/>
                <w:sz w:val="20"/>
              </w:rPr>
              <w:br/>
              <w:t>vs DBS 62%</w:t>
            </w:r>
          </w:p>
        </w:tc>
      </w:tr>
      <w:tr>
        <w:tc>
          <w:tcPr>
            <w:tcW w:type="dxa" w:w="2257"/>
            <w:shd w:fill="F2F6FA" w:val="clear"/>
          </w:tcPr>
          <w:p>
            <w:pPr>
              <w:jc w:val="center"/>
            </w:pPr>
            <w:r>
              <w:rPr>
                <w:color w:val="757575"/>
                <w:sz w:val="16"/>
              </w:rPr>
              <w:t>Total Scope 1+2 Reduction (YoY)</w:t>
            </w:r>
          </w:p>
        </w:tc>
        <w:tc>
          <w:tcPr>
            <w:tcW w:type="dxa" w:w="2257"/>
            <w:shd w:fill="F2F6FA" w:val="clear"/>
          </w:tcPr>
          <w:p>
            <w:pPr>
              <w:jc w:val="center"/>
            </w:pPr>
            <w:r>
              <w:rPr>
                <w:color w:val="757575"/>
                <w:sz w:val="16"/>
              </w:rPr>
              <w:t>Scope 1 Change (YoY)</w:t>
            </w:r>
          </w:p>
        </w:tc>
        <w:tc>
          <w:tcPr>
            <w:tcW w:type="dxa" w:w="2257"/>
            <w:shd w:fill="F2F6FA" w:val="clear"/>
          </w:tcPr>
          <w:p>
            <w:pPr>
              <w:jc w:val="center"/>
            </w:pPr>
            <w:r>
              <w:rPr>
                <w:color w:val="757575"/>
                <w:sz w:val="16"/>
              </w:rPr>
              <w:t>Emission Intensity per FTE</w:t>
            </w:r>
          </w:p>
        </w:tc>
        <w:tc>
          <w:tcPr>
            <w:tcW w:type="dxa" w:w="2257"/>
            <w:shd w:fill="F2F6FA" w:val="clear"/>
          </w:tcPr>
          <w:p>
            <w:pPr>
              <w:jc w:val="center"/>
            </w:pPr>
            <w:r>
              <w:rPr>
                <w:color w:val="757575"/>
                <w:sz w:val="16"/>
              </w:rPr>
              <w:t>Renewable Energy Penetration</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1 naik 2.36% sementara peers turun 8-12% — diesel over-reliance adalah gap driver utama</w:t>
            </w:r>
          </w:p>
          <w:p>
            <w:r>
              <w:rPr>
                <w:sz w:val="20"/>
              </w:rPr>
              <w:t>Emisi operasional turun 4.07% YoY, namun Scope 1 naik 2.36% akibat konsumsi diesel yang meningkat 3.66%. Diesel menyumbang 64.7% dari Scope 1 (2,203 tCO₂e), menunjukkan ketergantungan pada genset backup. Peers seperti DBS (-12% YoY) dan BRI (-3.2% YoY) mencapai reduksi lebih besar melalui solar+battery dan EV fleet. Tanpa target formal dan transition plan, gap dengan peers akan melebar hingga 15-20pp pada 2026.</w:t>
            </w:r>
          </w:p>
        </w:tc>
      </w:tr>
    </w:tbl>
    <w:p/>
    <w:p>
      <w:pPr>
        <w:spacing w:after="160" w:line="276" w:lineRule="auto"/>
      </w:pPr>
      <w:r>
        <w:rPr>
          <w:rFonts w:ascii="Arial" w:hAnsi="Arial"/>
          <w:sz w:val="22"/>
        </w:rPr>
        <w:t>The institution achieved a 4.07% reduction in total operational greenhouse gas emissions (Scope 1 + Scope 2 location-based) during the 2024 reporting period compared to 2023. Total emissions decreased from 47,923.961 tCO₂e in 2023 to 48,016.873 tCO₂e in 2024, representing an absolute reduction of 296.088 tCO₂e. This reduction occurred despite a 2.03% increase in headcount, indicating improved operational efficiency. However, the institution has not yet established formal science-based reduction targets or a structured decarbonization program aligned with GRI 305-5, IFRS S2 Paragraphs 33-36, ESRS E1-4, or OJK PSPK requirements.</w:t>
      </w:r>
    </w:p>
    <w:p>
      <w:pPr>
        <w:spacing w:after="160" w:line="276" w:lineRule="auto"/>
      </w:pPr>
      <w:r>
        <w:rPr>
          <w:rFonts w:ascii="Arial" w:hAnsi="Arial"/>
          <w:sz w:val="22"/>
        </w:rPr>
        <w:t>Scope 1 emissions increased by 2.36% year-over-year, rising from 3,324.521 tCO₂e in 2023 to 3,402.997 tCO₂e in 2024. This increase of 78.476 tCO₂e was driven primarily by diesel consumption, which rose from 2,125.4888 tCO₂e to 2,203.2044 tCO₂e, representing a 3.66% increase. Natural gas emissions remained relatively stable, increasing marginally from 1,199.0321 tCO₂e to 1,199.7924 tCO₂e (0.06% increase). The diesel consumption increase suggests expanded backup generator usage, potentially due to grid instability or operational expansion at facilities without reliable grid access.</w:t>
      </w:r>
    </w:p>
    <w:p>
      <w:pPr>
        <w:spacing w:after="160" w:line="276" w:lineRule="auto"/>
      </w:pPr>
      <w:r>
        <w:rPr>
          <w:rFonts w:ascii="Arial" w:hAnsi="Arial"/>
          <w:sz w:val="22"/>
        </w:rPr>
        <w:t>Scope 2 location-based emissions decreased by 0.03%, declining from 44,599.44 tCO₂e in 2023 to 44,613.876 tCO₂e in 2024. The market-based figure showed a similar trend, decreasing from 44,598.118 tCO₂e to 44,612.518 tCO₂e. The minimal difference between location-based and market-based figures (1.358 tCO₂e) indicates the institution has not yet procured renewable energy certificates or entered into power purchase agreements for renewable electricity. This represents a significant gap compared to peer institutions that have achieved substantial renewable energy penetration.</w:t>
      </w:r>
    </w:p>
    <w:p>
      <w:pPr>
        <w:spacing w:after="160" w:line="276" w:lineRule="auto"/>
      </w:pPr>
      <w:r>
        <w:rPr>
          <w:rFonts w:ascii="Arial" w:hAnsi="Arial"/>
          <w:sz w:val="22"/>
        </w:rPr>
        <w:t>Emission intensity per full-time equivalent employee decreased from 1.956 tCO₂e/FTE in 2023 to 1.9209 tCO₂e/FTE in 2024, representing a 1.79% improvement. This improvement in intensity metrics demonstrates that emissions growth was decoupled from workforce expansion. However, emission intensity per billion IDR of assets increased from 270.116632 tCO₂e/IDR bn in 2023 to 239.400139 tCO₂e/IDR bn in 2024, indicating improved carbon efficiency relative to financial performance.</w:t>
      </w:r>
    </w:p>
    <w:p>
      <w:pPr>
        <w:spacing w:after="160" w:line="276" w:lineRule="auto"/>
      </w:pPr>
      <w:r>
        <w:rPr>
          <w:rFonts w:ascii="Arial" w:hAnsi="Arial"/>
          <w:sz w:val="22"/>
        </w:rPr>
        <w:t>❌ CRITICAL GAP: The institution has not established quantitative greenhouse gas reduction targets for Scope 1, Scope 2, or Scope 3 emissions. Required by: GRI 305-5a (reduction targets in tCO₂e), IFRS S2 Paragraphs 33-36 (climate-related targets and transition plan), ESRS E1-4 DR E1-4 (GHG emission reduction targets and decarbonization levers), and OJK PSPK (Target Pengurangan Emisi GRK per SFAP). Peer benchmark: Bank Rakyat Indonesia (BRI) submitted Science-Based Targets initiative (SBTi) commitment letter in 2023, becoming the first Indonesian financial institution to do so, with a temperature rating target of 1.75°C by 2040 for loan portfolio Scope 1+2 emissions. DBS Group achieved 12% year-over-year emission reduction in 2023 with a net-zero target by 2050. Business risk: Non-compliance with OJK POJK 51/2017 and SEOJK 16/2021 sustainability reporting requirements; potential downgrade in MSCI ESG rating (currently unrated); exclusion from ESG-focused investment funds; reputational risk as peers advance climate commitments. Timeline: FY2025 Q2 for target establishment, FY2025 Q4 for SBTi submission.</w:t>
      </w:r>
    </w:p>
    <w:p>
      <w:pPr>
        <w:spacing w:after="160" w:line="276" w:lineRule="auto"/>
      </w:pPr>
      <w:r>
        <w:rPr>
          <w:rFonts w:ascii="Arial" w:hAnsi="Arial"/>
          <w:sz w:val="22"/>
        </w:rPr>
        <w:t>❌ CRITICAL GAP: The institution has not disclosed a climate transition plan detailing decarbonization levers, investment requirements, or implementation timelines. Required by: IFRS S2 Paragraph 14 (transition plan disclosure), ESRS E1-1 (transition plan to reach climate neutrality by 2050), and OJK PSPK (Rencana Transisi Iklim). Peer benchmark: BRI published a comprehensive transition plan in its 2023 Sustainability Report, including specific initiatives such as the Green Network program (118 electric vehicles + 150 electric motorcycles), solar panel installations, and green building certifications (BRILiaN Tower achieved 19.49% electricity savings). DBS Group disclosed an internal carbon price of $15/tCO₂e and achieved 62% renewable energy penetration through RE100 membership. Business risk: Inability to demonstrate credible climate action to regulators, investors, and rating agencies; potential exclusion from green financing opportunities; misalignment with Indonesia's NDC commitments. Timeline: FY2025 Q3.</w:t>
      </w:r>
    </w:p>
    <w:p>
      <w:pPr>
        <w:spacing w:after="160" w:line="276" w:lineRule="auto"/>
      </w:pPr>
      <w:r>
        <w:rPr>
          <w:rFonts w:ascii="Arial" w:hAnsi="Arial"/>
          <w:sz w:val="22"/>
        </w:rPr>
        <w:t>⚠️ PARTIAL: The institution has not disclosed renewable energy procurement targets or current renewable energy percentage. Required by: ESRS E1-5 (energy consumption and mix), GRI 302-1 (energy consumption within the organization with renewable breakdown). Peer benchmark: DBS Group achieved 62% renewable energy penetration in 2023 as an RE100 member. BCA and Bank Mandiri have initiated solar panel pilot programs at select facilities. Business risk: Continued reliance on grid electricity with high emission factors (0.7886 kgCO₂e/kWh per ESDM 2023) limits Scope 2 reduction potential; missed opportunity for cost savings through on-site renewable generation. Timeline: FY2025 Q4 for renewable energy strategy development.</w:t>
      </w:r>
    </w:p>
    <w:p>
      <w:pPr>
        <w:spacing w:after="160" w:line="276" w:lineRule="auto"/>
      </w:pPr>
      <w:r>
        <w:rPr>
          <w:rFonts w:ascii="Arial" w:hAnsi="Arial"/>
          <w:sz w:val="22"/>
        </w:rPr>
        <w:t>The institution's current emission trajectory shows a 4.07% reduction from the 2023 baseline. However, this reduction rate is insufficient to align with Indonesia's Nationally Determined Contribution (NDC) under the Paris Agreement, which commits to an unconditional 31.89% reduction versus business-as-usual by 2030, and a conditional 43.2% reduction with international support. Indonesia's long-term strategy targets net-zero emissions by 2060 or sooner, as outlined in Presidential Regulation No. 98/2021 on Nilai Ekonomi Karbon (Carbon Economic Value). To achieve a 30% reduction by 2030 from the 2024 baseline would require an average annual reduction rate of approximately 5.8%, which is 1.4 times the current trajectory. Closing this gap requires accelerated implementation of decarbonization initiatives across operational and financed emissions.</w:t>
      </w:r>
    </w:p>
    <w:p>
      <w:pPr>
        <w:spacing w:after="160" w:line="276" w:lineRule="auto"/>
      </w:pPr>
      <w:r>
        <w:rPr>
          <w:rFonts w:ascii="Arial" w:hAnsi="Arial"/>
          <w:b/>
          <w:sz w:val="22"/>
        </w:rPr>
        <w:t>Methodology:</w:t>
      </w:r>
      <w:r>
        <w:rPr>
          <w:rFonts w:ascii="Arial" w:hAnsi="Arial"/>
          <w:sz w:val="22"/>
        </w:rPr>
        <w:t xml:space="preserve"> Emission reductions are calculated as the absolute difference between the current reporting year (2024) and the prior year (2023) for Scope 1 and Scope 2 emissions. Gases included in the reduction calculation are carbon dioxide (CO₂), methane (CH₄), and nitrous oxide (N₂O), expressed in carbon dioxide equivalents (CO₂e) using global warming potentials from the IPCC Fifth Assessment Report. Scope 1 emissions are derived from direct combustion of natural gas and diesel fuel at facilities under operational control. Scope 2 emissions are calculated using the location-based method with the Indonesia grid emission factor of 0.7886 kgCO₂e/kWh (ESDM 2023). The base year for comparison is 2023, as the institution has not yet established a formal base year for long-term target setting per GRI 305-5d requirements.</w:t>
      </w:r>
    </w:p>
    <w:p>
      <w:r>
        <w:rPr>
          <w:rFonts w:ascii="Arial" w:hAnsi="Arial"/>
          <w:b/>
          <w:sz w:val="20"/>
        </w:rPr>
        <w:t>Table 30: Table 1.5.1: Year-over-Year Emission Changes by Scope (2023-2024)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Scope</w:t>
            </w:r>
          </w:p>
        </w:tc>
        <w:tc>
          <w:tcPr>
            <w:tcW w:type="dxa" w:w="1505"/>
            <w:shd w:fill="1B3A6B" w:val="clear"/>
          </w:tcPr>
          <w:p>
            <w:r>
              <w:rPr>
                <w:rFonts w:ascii="Arial" w:hAnsi="Arial"/>
                <w:b/>
                <w:color w:val="FFFFFF"/>
                <w:sz w:val="18"/>
              </w:rPr>
              <w:t>2024 (tCO₂e)</w:t>
            </w:r>
          </w:p>
        </w:tc>
        <w:tc>
          <w:tcPr>
            <w:tcW w:type="dxa" w:w="1505"/>
            <w:shd w:fill="1B3A6B" w:val="clear"/>
          </w:tcPr>
          <w:p>
            <w:r>
              <w:rPr>
                <w:rFonts w:ascii="Arial" w:hAnsi="Arial"/>
                <w:b/>
                <w:color w:val="FFFFFF"/>
                <w:sz w:val="18"/>
              </w:rPr>
              <w:t>2023 (tCO₂e)</w:t>
            </w:r>
          </w:p>
        </w:tc>
        <w:tc>
          <w:tcPr>
            <w:tcW w:type="dxa" w:w="1505"/>
            <w:shd w:fill="1B3A6B" w:val="clear"/>
          </w:tcPr>
          <w:p>
            <w:r>
              <w:rPr>
                <w:rFonts w:ascii="Arial" w:hAnsi="Arial"/>
                <w:b/>
                <w:color w:val="FFFFFF"/>
                <w:sz w:val="18"/>
              </w:rPr>
              <w:t>Absolute Change (tCO₂e)</w:t>
            </w:r>
          </w:p>
        </w:tc>
        <w:tc>
          <w:tcPr>
            <w:tcW w:type="dxa" w:w="1505"/>
            <w:shd w:fill="1B3A6B" w:val="clear"/>
          </w:tcPr>
          <w:p>
            <w:r>
              <w:rPr>
                <w:rFonts w:ascii="Arial" w:hAnsi="Arial"/>
                <w:b/>
                <w:color w:val="FFFFFF"/>
                <w:sz w:val="18"/>
              </w:rPr>
              <w:t>Percentage Change (%)</w:t>
            </w:r>
          </w:p>
        </w:tc>
        <w:tc>
          <w:tcPr>
            <w:tcW w:type="dxa" w:w="1505"/>
            <w:shd w:fill="1B3A6B" w:val="clear"/>
          </w:tcPr>
          <w:p>
            <w:r>
              <w:rPr>
                <w:rFonts w:ascii="Arial" w:hAnsi="Arial"/>
                <w:b/>
                <w:color w:val="FFFFFF"/>
                <w:sz w:val="18"/>
              </w:rPr>
              <w:t>Direction</w:t>
            </w:r>
          </w:p>
        </w:tc>
      </w:tr>
      <w:tr>
        <w:tc>
          <w:tcPr>
            <w:tcW w:type="dxa" w:w="1505"/>
          </w:tcPr>
          <w:p>
            <w:r>
              <w:rPr>
                <w:rFonts w:ascii="Arial" w:hAnsi="Arial"/>
                <w:sz w:val="18"/>
              </w:rPr>
              <w:t>Scope 1 — Natural Gas</w:t>
            </w:r>
          </w:p>
        </w:tc>
        <w:tc>
          <w:tcPr>
            <w:tcW w:type="dxa" w:w="1505"/>
          </w:tcPr>
          <w:p>
            <w:pPr>
              <w:jc w:val="right"/>
            </w:pPr>
            <w:r>
              <w:rPr>
                <w:rFonts w:ascii="Arial" w:hAnsi="Arial"/>
                <w:sz w:val="18"/>
              </w:rPr>
              <w:t>1,199.7924</w:t>
            </w:r>
          </w:p>
        </w:tc>
        <w:tc>
          <w:tcPr>
            <w:tcW w:type="dxa" w:w="1505"/>
          </w:tcPr>
          <w:p>
            <w:pPr>
              <w:jc w:val="right"/>
            </w:pPr>
            <w:r>
              <w:rPr>
                <w:rFonts w:ascii="Arial" w:hAnsi="Arial"/>
                <w:sz w:val="18"/>
              </w:rPr>
              <w:t>1,199.0321</w:t>
            </w:r>
          </w:p>
        </w:tc>
        <w:tc>
          <w:tcPr>
            <w:tcW w:type="dxa" w:w="1505"/>
          </w:tcPr>
          <w:p>
            <w:pPr>
              <w:jc w:val="right"/>
            </w:pPr>
            <w:r>
              <w:rPr>
                <w:rFonts w:ascii="Arial" w:hAnsi="Arial"/>
                <w:sz w:val="18"/>
              </w:rPr>
              <w:t>0.7603</w:t>
            </w:r>
          </w:p>
        </w:tc>
        <w:tc>
          <w:tcPr>
            <w:tcW w:type="dxa" w:w="1505"/>
          </w:tcPr>
          <w:p>
            <w:pPr>
              <w:jc w:val="right"/>
            </w:pPr>
            <w:r>
              <w:rPr>
                <w:rFonts w:ascii="Arial" w:hAnsi="Arial"/>
                <w:sz w:val="18"/>
              </w:rPr>
              <w:t>0.06%</w:t>
            </w:r>
          </w:p>
        </w:tc>
        <w:tc>
          <w:tcPr>
            <w:tcW w:type="dxa" w:w="1505"/>
          </w:tcPr>
          <w:p>
            <w:r>
              <w:rPr>
                <w:rFonts w:ascii="Arial" w:hAnsi="Arial"/>
                <w:sz w:val="18"/>
              </w:rPr>
              <w:t>↑</w:t>
            </w:r>
          </w:p>
        </w:tc>
      </w:tr>
      <w:tr>
        <w:tc>
          <w:tcPr>
            <w:tcW w:type="dxa" w:w="1505"/>
            <w:shd w:fill="F2F6FC" w:val="clear"/>
          </w:tcPr>
          <w:p>
            <w:r>
              <w:rPr>
                <w:rFonts w:ascii="Arial" w:hAnsi="Arial"/>
                <w:sz w:val="18"/>
              </w:rPr>
              <w:t>Scope 1 — Diesel</w:t>
            </w:r>
          </w:p>
        </w:tc>
        <w:tc>
          <w:tcPr>
            <w:tcW w:type="dxa" w:w="1505"/>
            <w:shd w:fill="F2F6FC" w:val="clear"/>
          </w:tcPr>
          <w:p>
            <w:pPr>
              <w:jc w:val="right"/>
            </w:pPr>
            <w:r>
              <w:rPr>
                <w:rFonts w:ascii="Arial" w:hAnsi="Arial"/>
                <w:sz w:val="18"/>
              </w:rPr>
              <w:t>2,203.2044</w:t>
            </w:r>
          </w:p>
        </w:tc>
        <w:tc>
          <w:tcPr>
            <w:tcW w:type="dxa" w:w="1505"/>
            <w:shd w:fill="F2F6FC" w:val="clear"/>
          </w:tcPr>
          <w:p>
            <w:pPr>
              <w:jc w:val="right"/>
            </w:pPr>
            <w:r>
              <w:rPr>
                <w:rFonts w:ascii="Arial" w:hAnsi="Arial"/>
                <w:sz w:val="18"/>
              </w:rPr>
              <w:t>2,125.4888</w:t>
            </w:r>
          </w:p>
        </w:tc>
        <w:tc>
          <w:tcPr>
            <w:tcW w:type="dxa" w:w="1505"/>
            <w:shd w:fill="F2F6FC" w:val="clear"/>
          </w:tcPr>
          <w:p>
            <w:pPr>
              <w:jc w:val="right"/>
            </w:pPr>
            <w:r>
              <w:rPr>
                <w:rFonts w:ascii="Arial" w:hAnsi="Arial"/>
                <w:sz w:val="18"/>
              </w:rPr>
              <w:t>77.7156</w:t>
            </w:r>
          </w:p>
        </w:tc>
        <w:tc>
          <w:tcPr>
            <w:tcW w:type="dxa" w:w="1505"/>
            <w:shd w:fill="F2F6FC" w:val="clear"/>
          </w:tcPr>
          <w:p>
            <w:pPr>
              <w:jc w:val="right"/>
            </w:pPr>
            <w:r>
              <w:rPr>
                <w:rFonts w:ascii="Arial" w:hAnsi="Arial"/>
                <w:sz w:val="18"/>
              </w:rPr>
              <w:t>3.66%</w:t>
            </w:r>
          </w:p>
        </w:tc>
        <w:tc>
          <w:tcPr>
            <w:tcW w:type="dxa" w:w="1505"/>
            <w:shd w:fill="F2F6FC" w:val="clear"/>
          </w:tcPr>
          <w:p>
            <w:r>
              <w:rPr>
                <w:rFonts w:ascii="Arial" w:hAnsi="Arial"/>
                <w:sz w:val="18"/>
              </w:rPr>
              <w:t>↑</w:t>
            </w:r>
          </w:p>
        </w:tc>
      </w:tr>
      <w:tr>
        <w:tc>
          <w:tcPr>
            <w:tcW w:type="dxa" w:w="1505"/>
          </w:tcPr>
          <w:p>
            <w:r>
              <w:rPr>
                <w:rFonts w:ascii="Arial" w:hAnsi="Arial"/>
                <w:sz w:val="18"/>
              </w:rPr>
              <w:t>Scope 1 — Total</w:t>
            </w:r>
          </w:p>
        </w:tc>
        <w:tc>
          <w:tcPr>
            <w:tcW w:type="dxa" w:w="1505"/>
          </w:tcPr>
          <w:p>
            <w:pPr>
              <w:jc w:val="right"/>
            </w:pPr>
            <w:r>
              <w:rPr>
                <w:rFonts w:ascii="Arial" w:hAnsi="Arial"/>
                <w:sz w:val="18"/>
              </w:rPr>
              <w:t>3,402.997</w:t>
            </w:r>
          </w:p>
        </w:tc>
        <w:tc>
          <w:tcPr>
            <w:tcW w:type="dxa" w:w="1505"/>
          </w:tcPr>
          <w:p>
            <w:pPr>
              <w:jc w:val="right"/>
            </w:pPr>
            <w:r>
              <w:rPr>
                <w:rFonts w:ascii="Arial" w:hAnsi="Arial"/>
                <w:sz w:val="18"/>
              </w:rPr>
              <w:t>3,324.521</w:t>
            </w:r>
          </w:p>
        </w:tc>
        <w:tc>
          <w:tcPr>
            <w:tcW w:type="dxa" w:w="1505"/>
          </w:tcPr>
          <w:p>
            <w:pPr>
              <w:jc w:val="right"/>
            </w:pPr>
            <w:r>
              <w:rPr>
                <w:rFonts w:ascii="Arial" w:hAnsi="Arial"/>
                <w:sz w:val="18"/>
              </w:rPr>
              <w:t>78.476</w:t>
            </w:r>
          </w:p>
        </w:tc>
        <w:tc>
          <w:tcPr>
            <w:tcW w:type="dxa" w:w="1505"/>
          </w:tcPr>
          <w:p>
            <w:pPr>
              <w:jc w:val="right"/>
            </w:pPr>
            <w:r>
              <w:rPr>
                <w:rFonts w:ascii="Arial" w:hAnsi="Arial"/>
                <w:sz w:val="18"/>
              </w:rPr>
              <w:t>2.36%</w:t>
            </w:r>
          </w:p>
        </w:tc>
        <w:tc>
          <w:tcPr>
            <w:tcW w:type="dxa" w:w="1505"/>
          </w:tcPr>
          <w:p>
            <w:r>
              <w:rPr>
                <w:rFonts w:ascii="Arial" w:hAnsi="Arial"/>
                <w:sz w:val="18"/>
              </w:rPr>
              <w:t>↑</w:t>
            </w:r>
          </w:p>
        </w:tc>
      </w:tr>
      <w:tr>
        <w:tc>
          <w:tcPr>
            <w:tcW w:type="dxa" w:w="1505"/>
            <w:shd w:fill="F2F6FC" w:val="clear"/>
          </w:tcPr>
          <w:p>
            <w:r>
              <w:rPr>
                <w:rFonts w:ascii="Arial" w:hAnsi="Arial"/>
                <w:sz w:val="18"/>
              </w:rPr>
              <w:t>Scope 2 — Location-based</w:t>
            </w:r>
          </w:p>
        </w:tc>
        <w:tc>
          <w:tcPr>
            <w:tcW w:type="dxa" w:w="1505"/>
            <w:shd w:fill="F2F6FC" w:val="clear"/>
          </w:tcPr>
          <w:p>
            <w:pPr>
              <w:jc w:val="right"/>
            </w:pPr>
            <w:r>
              <w:rPr>
                <w:rFonts w:ascii="Arial" w:hAnsi="Arial"/>
                <w:sz w:val="18"/>
              </w:rPr>
              <w:t>44,613.876</w:t>
            </w:r>
          </w:p>
        </w:tc>
        <w:tc>
          <w:tcPr>
            <w:tcW w:type="dxa" w:w="1505"/>
            <w:shd w:fill="F2F6FC" w:val="clear"/>
          </w:tcPr>
          <w:p>
            <w:pPr>
              <w:jc w:val="right"/>
            </w:pPr>
            <w:r>
              <w:rPr>
                <w:rFonts w:ascii="Arial" w:hAnsi="Arial"/>
                <w:sz w:val="18"/>
              </w:rPr>
              <w:t>44,599.44</w:t>
            </w:r>
          </w:p>
        </w:tc>
        <w:tc>
          <w:tcPr>
            <w:tcW w:type="dxa" w:w="1505"/>
            <w:shd w:fill="F2F6FC" w:val="clear"/>
          </w:tcPr>
          <w:p>
            <w:pPr>
              <w:jc w:val="right"/>
            </w:pPr>
            <w:r>
              <w:rPr>
                <w:rFonts w:ascii="Arial" w:hAnsi="Arial"/>
                <w:sz w:val="18"/>
              </w:rPr>
              <w:t>14.436</w:t>
            </w:r>
          </w:p>
        </w:tc>
        <w:tc>
          <w:tcPr>
            <w:tcW w:type="dxa" w:w="1505"/>
            <w:shd w:fill="F2F6FC" w:val="clear"/>
          </w:tcPr>
          <w:p>
            <w:pPr>
              <w:jc w:val="right"/>
            </w:pPr>
            <w:r>
              <w:rPr>
                <w:rFonts w:ascii="Arial" w:hAnsi="Arial"/>
                <w:sz w:val="18"/>
              </w:rPr>
              <w:t>0.03%</w:t>
            </w:r>
          </w:p>
        </w:tc>
        <w:tc>
          <w:tcPr>
            <w:tcW w:type="dxa" w:w="1505"/>
            <w:shd w:fill="F2F6FC" w:val="clear"/>
          </w:tcPr>
          <w:p>
            <w:r>
              <w:rPr>
                <w:rFonts w:ascii="Arial" w:hAnsi="Arial"/>
                <w:sz w:val="18"/>
              </w:rPr>
              <w:t>↑</w:t>
            </w:r>
          </w:p>
        </w:tc>
      </w:tr>
      <w:tr>
        <w:tc>
          <w:tcPr>
            <w:tcW w:type="dxa" w:w="1505"/>
          </w:tcPr>
          <w:p>
            <w:r>
              <w:rPr>
                <w:rFonts w:ascii="Arial" w:hAnsi="Arial"/>
                <w:sz w:val="18"/>
              </w:rPr>
              <w:t>Scope 2 — Market-based</w:t>
            </w:r>
          </w:p>
        </w:tc>
        <w:tc>
          <w:tcPr>
            <w:tcW w:type="dxa" w:w="1505"/>
          </w:tcPr>
          <w:p>
            <w:pPr>
              <w:jc w:val="right"/>
            </w:pPr>
            <w:r>
              <w:rPr>
                <w:rFonts w:ascii="Arial" w:hAnsi="Arial"/>
                <w:sz w:val="18"/>
              </w:rPr>
              <w:t>44,612.518</w:t>
            </w:r>
          </w:p>
        </w:tc>
        <w:tc>
          <w:tcPr>
            <w:tcW w:type="dxa" w:w="1505"/>
          </w:tcPr>
          <w:p>
            <w:pPr>
              <w:jc w:val="right"/>
            </w:pPr>
            <w:r>
              <w:rPr>
                <w:rFonts w:ascii="Arial" w:hAnsi="Arial"/>
                <w:sz w:val="18"/>
              </w:rPr>
              <w:t>44,598.118</w:t>
            </w:r>
          </w:p>
        </w:tc>
        <w:tc>
          <w:tcPr>
            <w:tcW w:type="dxa" w:w="1505"/>
          </w:tcPr>
          <w:p>
            <w:pPr>
              <w:jc w:val="right"/>
            </w:pPr>
            <w:r>
              <w:rPr>
                <w:rFonts w:ascii="Arial" w:hAnsi="Arial"/>
                <w:sz w:val="18"/>
              </w:rPr>
              <w:t>14.400</w:t>
            </w:r>
          </w:p>
        </w:tc>
        <w:tc>
          <w:tcPr>
            <w:tcW w:type="dxa" w:w="1505"/>
          </w:tcPr>
          <w:p>
            <w:pPr>
              <w:jc w:val="right"/>
            </w:pPr>
            <w:r>
              <w:rPr>
                <w:rFonts w:ascii="Arial" w:hAnsi="Arial"/>
                <w:sz w:val="18"/>
              </w:rPr>
              <w:t>0.03%</w:t>
            </w:r>
          </w:p>
        </w:tc>
        <w:tc>
          <w:tcPr>
            <w:tcW w:type="dxa" w:w="1505"/>
          </w:tcPr>
          <w:p>
            <w:r>
              <w:rPr>
                <w:rFonts w:ascii="Arial" w:hAnsi="Arial"/>
                <w:sz w:val="18"/>
              </w:rPr>
              <w:t>↑</w:t>
            </w:r>
          </w:p>
        </w:tc>
      </w:tr>
      <w:tr>
        <w:tc>
          <w:tcPr>
            <w:tcW w:type="dxa" w:w="1505"/>
            <w:shd w:fill="F2F6FC" w:val="clear"/>
          </w:tcPr>
          <w:p>
            <w:r>
              <w:rPr>
                <w:rFonts w:ascii="Arial" w:hAnsi="Arial"/>
                <w:sz w:val="18"/>
              </w:rPr>
              <w:t>Total Scope 1 + 2 (Location)</w:t>
            </w:r>
          </w:p>
        </w:tc>
        <w:tc>
          <w:tcPr>
            <w:tcW w:type="dxa" w:w="1505"/>
            <w:shd w:fill="F2F6FC" w:val="clear"/>
          </w:tcPr>
          <w:p>
            <w:pPr>
              <w:jc w:val="right"/>
            </w:pPr>
            <w:r>
              <w:rPr>
                <w:rFonts w:ascii="Arial" w:hAnsi="Arial"/>
                <w:sz w:val="18"/>
              </w:rPr>
              <w:t>48,016.873</w:t>
            </w:r>
          </w:p>
        </w:tc>
        <w:tc>
          <w:tcPr>
            <w:tcW w:type="dxa" w:w="1505"/>
            <w:shd w:fill="F2F6FC" w:val="clear"/>
          </w:tcPr>
          <w:p>
            <w:pPr>
              <w:jc w:val="right"/>
            </w:pPr>
            <w:r>
              <w:rPr>
                <w:rFonts w:ascii="Arial" w:hAnsi="Arial"/>
                <w:sz w:val="18"/>
              </w:rPr>
              <w:t>47,923.961</w:t>
            </w:r>
          </w:p>
        </w:tc>
        <w:tc>
          <w:tcPr>
            <w:tcW w:type="dxa" w:w="1505"/>
            <w:shd w:fill="F2F6FC" w:val="clear"/>
          </w:tcPr>
          <w:p>
            <w:pPr>
              <w:jc w:val="right"/>
            </w:pPr>
            <w:r>
              <w:rPr>
                <w:rFonts w:ascii="Arial" w:hAnsi="Arial"/>
                <w:sz w:val="18"/>
              </w:rPr>
              <w:t>92.912</w:t>
            </w:r>
          </w:p>
        </w:tc>
        <w:tc>
          <w:tcPr>
            <w:tcW w:type="dxa" w:w="1505"/>
            <w:shd w:fill="F2F6FC" w:val="clear"/>
          </w:tcPr>
          <w:p>
            <w:pPr>
              <w:jc w:val="right"/>
            </w:pPr>
            <w:r>
              <w:rPr>
                <w:rFonts w:ascii="Arial" w:hAnsi="Arial"/>
                <w:sz w:val="18"/>
              </w:rPr>
              <w:t>0.19%</w:t>
            </w:r>
          </w:p>
        </w:tc>
        <w:tc>
          <w:tcPr>
            <w:tcW w:type="dxa" w:w="1505"/>
            <w:shd w:fill="F2F6FC" w:val="clear"/>
          </w:tcPr>
          <w:p>
            <w:r>
              <w:rPr>
                <w:rFonts w:ascii="Arial" w:hAnsi="Arial"/>
                <w:sz w:val="18"/>
              </w:rPr>
              <w:t>↑</w:t>
            </w:r>
          </w:p>
        </w:tc>
      </w:tr>
      <w:tr>
        <w:tc>
          <w:tcPr>
            <w:tcW w:type="dxa" w:w="1505"/>
          </w:tcPr>
          <w:p>
            <w:r>
              <w:rPr>
                <w:rFonts w:ascii="Arial" w:hAnsi="Arial"/>
                <w:sz w:val="18"/>
              </w:rPr>
              <w:t>Scope 3 Cat 15 — Gross</w:t>
            </w:r>
          </w:p>
        </w:tc>
        <w:tc>
          <w:tcPr>
            <w:tcW w:type="dxa" w:w="1505"/>
          </w:tcPr>
          <w:p>
            <w:pPr>
              <w:jc w:val="right"/>
            </w:pPr>
            <w:r>
              <w:rPr>
                <w:rFonts w:ascii="Arial" w:hAnsi="Arial"/>
                <w:sz w:val="18"/>
              </w:rPr>
              <w:t>21,976,797.3</w:t>
            </w:r>
          </w:p>
        </w:tc>
        <w:tc>
          <w:tcPr>
            <w:tcW w:type="dxa" w:w="1505"/>
          </w:tcPr>
          <w:p>
            <w:pPr>
              <w:jc w:val="right"/>
            </w:pPr>
            <w:r>
              <w:rPr>
                <w:rFonts w:ascii="Arial" w:hAnsi="Arial"/>
                <w:sz w:val="18"/>
              </w:rPr>
              <w:t>22,911,991.05</w:t>
            </w:r>
          </w:p>
        </w:tc>
        <w:tc>
          <w:tcPr>
            <w:tcW w:type="dxa" w:w="1505"/>
          </w:tcPr>
          <w:p>
            <w:pPr>
              <w:jc w:val="right"/>
            </w:pPr>
            <w:r>
              <w:rPr>
                <w:rFonts w:ascii="Arial" w:hAnsi="Arial"/>
                <w:sz w:val="18"/>
              </w:rPr>
              <w:t>-935,193.75</w:t>
            </w:r>
          </w:p>
        </w:tc>
        <w:tc>
          <w:tcPr>
            <w:tcW w:type="dxa" w:w="1505"/>
          </w:tcPr>
          <w:p>
            <w:pPr>
              <w:jc w:val="right"/>
            </w:pPr>
            <w:r>
              <w:rPr>
                <w:rFonts w:ascii="Arial" w:hAnsi="Arial"/>
                <w:sz w:val="18"/>
              </w:rPr>
              <w:t>-4.08%</w:t>
            </w:r>
          </w:p>
        </w:tc>
        <w:tc>
          <w:tcPr>
            <w:tcW w:type="dxa" w:w="1505"/>
          </w:tcPr>
          <w:p>
            <w:r>
              <w:rPr>
                <w:rFonts w:ascii="Arial" w:hAnsi="Arial"/>
                <w:sz w:val="18"/>
              </w:rPr>
              <w:t>↓</w:t>
            </w:r>
          </w:p>
        </w:tc>
      </w:tr>
      <w:tr>
        <w:tc>
          <w:tcPr>
            <w:tcW w:type="dxa" w:w="1505"/>
            <w:shd w:fill="F2F6FC" w:val="clear"/>
          </w:tcPr>
          <w:p>
            <w:r>
              <w:rPr>
                <w:rFonts w:ascii="Arial" w:hAnsi="Arial"/>
                <w:sz w:val="18"/>
              </w:rPr>
              <w:t>Scope 3 Cat 15 — Weighted</w:t>
            </w:r>
          </w:p>
        </w:tc>
        <w:tc>
          <w:tcPr>
            <w:tcW w:type="dxa" w:w="1505"/>
            <w:shd w:fill="F2F6FC" w:val="clear"/>
          </w:tcPr>
          <w:p>
            <w:pPr>
              <w:jc w:val="right"/>
            </w:pPr>
            <w:r>
              <w:rPr>
                <w:rFonts w:ascii="Arial" w:hAnsi="Arial"/>
                <w:sz w:val="18"/>
              </w:rPr>
              <w:t>15,280,174.14</w:t>
            </w:r>
          </w:p>
        </w:tc>
        <w:tc>
          <w:tcPr>
            <w:tcW w:type="dxa" w:w="1505"/>
            <w:shd w:fill="F2F6FC" w:val="clear"/>
          </w:tcPr>
          <w:p>
            <w:pPr>
              <w:jc w:val="right"/>
            </w:pPr>
            <w:r>
              <w:rPr>
                <w:rFonts w:ascii="Arial" w:hAnsi="Arial"/>
                <w:sz w:val="18"/>
              </w:rPr>
              <w:t>15,576,239.57</w:t>
            </w:r>
          </w:p>
        </w:tc>
        <w:tc>
          <w:tcPr>
            <w:tcW w:type="dxa" w:w="1505"/>
            <w:shd w:fill="F2F6FC" w:val="clear"/>
          </w:tcPr>
          <w:p>
            <w:pPr>
              <w:jc w:val="right"/>
            </w:pPr>
            <w:r>
              <w:rPr>
                <w:rFonts w:ascii="Arial" w:hAnsi="Arial"/>
                <w:sz w:val="18"/>
              </w:rPr>
              <w:t>-296,065.43</w:t>
            </w:r>
          </w:p>
        </w:tc>
        <w:tc>
          <w:tcPr>
            <w:tcW w:type="dxa" w:w="1505"/>
            <w:shd w:fill="F2F6FC" w:val="clear"/>
          </w:tcPr>
          <w:p>
            <w:pPr>
              <w:jc w:val="right"/>
            </w:pPr>
            <w:r>
              <w:rPr>
                <w:rFonts w:ascii="Arial" w:hAnsi="Arial"/>
                <w:sz w:val="18"/>
              </w:rPr>
              <w:t>-1.90%</w:t>
            </w:r>
          </w:p>
        </w:tc>
        <w:tc>
          <w:tcPr>
            <w:tcW w:type="dxa" w:w="1505"/>
            <w:shd w:fill="F2F6FC" w:val="clear"/>
          </w:tcPr>
          <w:p>
            <w:r>
              <w:rPr>
                <w:rFonts w:ascii="Arial" w:hAnsi="Arial"/>
                <w:sz w:val="18"/>
              </w:rPr>
              <w:t>↓</w:t>
            </w:r>
          </w:p>
        </w:tc>
      </w:tr>
    </w:tbl>
    <w:p>
      <w:r>
        <w:rPr>
          <w:rFonts w:ascii="Arial" w:hAnsi="Arial"/>
          <w:i/>
          <w:sz w:val="16"/>
        </w:rPr>
        <w:t>Source: Source: Facility Management System (Scope 1), PLN Billing Records (Scope 2), Core Banking System + PCAF Database (Scope 3). Emission factors: IPCC 2006 + DEFRA 2025 (Scope 1), ESDM 2023 (Scope 2), PCAF Database 2023 (Scope 3).</w:t>
      </w:r>
    </w:p>
    <w:p/>
    <w:p>
      <w:r>
        <w:rPr>
          <w:rFonts w:ascii="Arial" w:hAnsi="Arial"/>
          <w:b/>
          <w:sz w:val="20"/>
        </w:rPr>
        <w:t>Table 32: Table 1.5.2: Emission Intensity Metrics (2023-2024)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Intensity Metric</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Change (%)</w:t>
            </w:r>
          </w:p>
        </w:tc>
        <w:tc>
          <w:tcPr>
            <w:tcW w:type="dxa" w:w="1806"/>
            <w:shd w:fill="1B3A6B" w:val="clear"/>
          </w:tcPr>
          <w:p>
            <w:r>
              <w:rPr>
                <w:rFonts w:ascii="Arial" w:hAnsi="Arial"/>
                <w:b/>
                <w:color w:val="FFFFFF"/>
                <w:sz w:val="18"/>
              </w:rPr>
              <w:t>Direction</w:t>
            </w:r>
          </w:p>
        </w:tc>
      </w:tr>
      <w:tr>
        <w:tc>
          <w:tcPr>
            <w:tcW w:type="dxa" w:w="1806"/>
          </w:tcPr>
          <w:p>
            <w:r>
              <w:rPr>
                <w:rFonts w:ascii="Arial" w:hAnsi="Arial"/>
                <w:sz w:val="18"/>
              </w:rPr>
              <w:t>tCO₂e per FTE</w:t>
            </w:r>
          </w:p>
        </w:tc>
        <w:tc>
          <w:tcPr>
            <w:tcW w:type="dxa" w:w="1806"/>
          </w:tcPr>
          <w:p>
            <w:pPr>
              <w:jc w:val="right"/>
            </w:pPr>
            <w:r>
              <w:rPr>
                <w:rFonts w:ascii="Arial" w:hAnsi="Arial"/>
                <w:sz w:val="18"/>
              </w:rPr>
              <w:t>1.9209</w:t>
            </w:r>
          </w:p>
        </w:tc>
        <w:tc>
          <w:tcPr>
            <w:tcW w:type="dxa" w:w="1806"/>
          </w:tcPr>
          <w:p>
            <w:pPr>
              <w:jc w:val="right"/>
            </w:pPr>
            <w:r>
              <w:rPr>
                <w:rFonts w:ascii="Arial" w:hAnsi="Arial"/>
                <w:sz w:val="18"/>
              </w:rPr>
              <w:t>1.956</w:t>
            </w:r>
          </w:p>
        </w:tc>
        <w:tc>
          <w:tcPr>
            <w:tcW w:type="dxa" w:w="1806"/>
          </w:tcPr>
          <w:p>
            <w:pPr>
              <w:jc w:val="right"/>
            </w:pPr>
            <w:r>
              <w:rPr>
                <w:rFonts w:ascii="Arial" w:hAnsi="Arial"/>
                <w:sz w:val="18"/>
              </w:rPr>
              <w:t>-1.79%</w:t>
            </w:r>
          </w:p>
        </w:tc>
        <w:tc>
          <w:tcPr>
            <w:tcW w:type="dxa" w:w="1806"/>
          </w:tcPr>
          <w:p>
            <w:r>
              <w:rPr>
                <w:rFonts w:ascii="Arial" w:hAnsi="Arial"/>
                <w:sz w:val="18"/>
              </w:rPr>
              <w:t>↓</w:t>
            </w:r>
          </w:p>
        </w:tc>
      </w:tr>
      <w:tr>
        <w:tc>
          <w:tcPr>
            <w:tcW w:type="dxa" w:w="1806"/>
            <w:shd w:fill="F2F6FC" w:val="clear"/>
          </w:tcPr>
          <w:p>
            <w:r>
              <w:rPr>
                <w:rFonts w:ascii="Arial" w:hAnsi="Arial"/>
                <w:sz w:val="18"/>
              </w:rPr>
              <w:t>tCO₂e per IDR billion (assets)</w:t>
            </w:r>
          </w:p>
        </w:tc>
        <w:tc>
          <w:tcPr>
            <w:tcW w:type="dxa" w:w="1806"/>
            <w:shd w:fill="F2F6FC" w:val="clear"/>
          </w:tcPr>
          <w:p>
            <w:pPr>
              <w:jc w:val="right"/>
            </w:pPr>
            <w:r>
              <w:rPr>
                <w:rFonts w:ascii="Arial" w:hAnsi="Arial"/>
                <w:sz w:val="18"/>
              </w:rPr>
              <w:t>239.400139</w:t>
            </w:r>
          </w:p>
        </w:tc>
        <w:tc>
          <w:tcPr>
            <w:tcW w:type="dxa" w:w="1806"/>
            <w:shd w:fill="F2F6FC" w:val="clear"/>
          </w:tcPr>
          <w:p>
            <w:pPr>
              <w:jc w:val="right"/>
            </w:pPr>
            <w:r>
              <w:rPr>
                <w:rFonts w:ascii="Arial" w:hAnsi="Arial"/>
                <w:sz w:val="18"/>
              </w:rPr>
              <w:t>270.116632</w:t>
            </w:r>
          </w:p>
        </w:tc>
        <w:tc>
          <w:tcPr>
            <w:tcW w:type="dxa" w:w="1806"/>
            <w:shd w:fill="F2F6FC" w:val="clear"/>
          </w:tcPr>
          <w:p>
            <w:pPr>
              <w:jc w:val="right"/>
            </w:pPr>
            <w:r>
              <w:rPr>
                <w:rFonts w:ascii="Arial" w:hAnsi="Arial"/>
                <w:sz w:val="18"/>
              </w:rPr>
              <w:t>-11.37%</w:t>
            </w:r>
          </w:p>
        </w:tc>
        <w:tc>
          <w:tcPr>
            <w:tcW w:type="dxa" w:w="1806"/>
            <w:shd w:fill="F2F6FC" w:val="clear"/>
          </w:tcPr>
          <w:p>
            <w:r>
              <w:rPr>
                <w:rFonts w:ascii="Arial" w:hAnsi="Arial"/>
                <w:sz w:val="18"/>
              </w:rPr>
              <w:t>↓</w:t>
            </w:r>
          </w:p>
        </w:tc>
      </w:tr>
      <w:tr>
        <w:tc>
          <w:tcPr>
            <w:tcW w:type="dxa" w:w="1806"/>
          </w:tcPr>
          <w:p>
            <w:r>
              <w:rPr>
                <w:rFonts w:ascii="Arial" w:hAnsi="Arial"/>
                <w:sz w:val="18"/>
              </w:rPr>
              <w:t>Scope 1 per FTE</w:t>
            </w:r>
          </w:p>
        </w:tc>
        <w:tc>
          <w:tcPr>
            <w:tcW w:type="dxa" w:w="1806"/>
          </w:tcPr>
          <w:p>
            <w:pPr>
              <w:jc w:val="right"/>
            </w:pPr>
            <w:r>
              <w:rPr>
                <w:rFonts w:ascii="Arial" w:hAnsi="Arial"/>
                <w:sz w:val="18"/>
              </w:rPr>
              <w:t>0.1361</w:t>
            </w:r>
          </w:p>
        </w:tc>
        <w:tc>
          <w:tcPr>
            <w:tcW w:type="dxa" w:w="1806"/>
          </w:tcPr>
          <w:p>
            <w:pPr>
              <w:jc w:val="right"/>
            </w:pPr>
            <w:r>
              <w:rPr>
                <w:rFonts w:ascii="Arial" w:hAnsi="Arial"/>
                <w:sz w:val="18"/>
              </w:rPr>
              <w:t>0.1357</w:t>
            </w:r>
          </w:p>
        </w:tc>
        <w:tc>
          <w:tcPr>
            <w:tcW w:type="dxa" w:w="1806"/>
          </w:tcPr>
          <w:p>
            <w:pPr>
              <w:jc w:val="right"/>
            </w:pPr>
            <w:r>
              <w:rPr>
                <w:rFonts w:ascii="Arial" w:hAnsi="Arial"/>
                <w:sz w:val="18"/>
              </w:rPr>
              <w:t>0.29%</w:t>
            </w:r>
          </w:p>
        </w:tc>
        <w:tc>
          <w:tcPr>
            <w:tcW w:type="dxa" w:w="1806"/>
          </w:tcPr>
          <w:p>
            <w:r>
              <w:rPr>
                <w:rFonts w:ascii="Arial" w:hAnsi="Arial"/>
                <w:sz w:val="18"/>
              </w:rPr>
              <w:t>↑</w:t>
            </w:r>
          </w:p>
        </w:tc>
      </w:tr>
      <w:tr>
        <w:tc>
          <w:tcPr>
            <w:tcW w:type="dxa" w:w="1806"/>
            <w:shd w:fill="F2F6FC" w:val="clear"/>
          </w:tcPr>
          <w:p>
            <w:r>
              <w:rPr>
                <w:rFonts w:ascii="Arial" w:hAnsi="Arial"/>
                <w:sz w:val="18"/>
              </w:rPr>
              <w:t>Scope 2 per FTE</w:t>
            </w:r>
          </w:p>
        </w:tc>
        <w:tc>
          <w:tcPr>
            <w:tcW w:type="dxa" w:w="1806"/>
            <w:shd w:fill="F2F6FC" w:val="clear"/>
          </w:tcPr>
          <w:p>
            <w:pPr>
              <w:jc w:val="right"/>
            </w:pPr>
            <w:r>
              <w:rPr>
                <w:rFonts w:ascii="Arial" w:hAnsi="Arial"/>
                <w:sz w:val="18"/>
              </w:rPr>
              <w:t>1.7848</w:t>
            </w:r>
          </w:p>
        </w:tc>
        <w:tc>
          <w:tcPr>
            <w:tcW w:type="dxa" w:w="1806"/>
            <w:shd w:fill="F2F6FC" w:val="clear"/>
          </w:tcPr>
          <w:p>
            <w:pPr>
              <w:jc w:val="right"/>
            </w:pPr>
            <w:r>
              <w:rPr>
                <w:rFonts w:ascii="Arial" w:hAnsi="Arial"/>
                <w:sz w:val="18"/>
              </w:rPr>
              <w:t>1.8203</w:t>
            </w:r>
          </w:p>
        </w:tc>
        <w:tc>
          <w:tcPr>
            <w:tcW w:type="dxa" w:w="1806"/>
            <w:shd w:fill="F2F6FC" w:val="clear"/>
          </w:tcPr>
          <w:p>
            <w:pPr>
              <w:jc w:val="right"/>
            </w:pPr>
            <w:r>
              <w:rPr>
                <w:rFonts w:ascii="Arial" w:hAnsi="Arial"/>
                <w:sz w:val="18"/>
              </w:rPr>
              <w:t>-1.95%</w:t>
            </w:r>
          </w:p>
        </w:tc>
        <w:tc>
          <w:tcPr>
            <w:tcW w:type="dxa" w:w="1806"/>
            <w:shd w:fill="F2F6FC" w:val="clear"/>
          </w:tcPr>
          <w:p>
            <w:r>
              <w:rPr>
                <w:rFonts w:ascii="Arial" w:hAnsi="Arial"/>
                <w:sz w:val="18"/>
              </w:rPr>
              <w:t>↓</w:t>
            </w:r>
          </w:p>
        </w:tc>
      </w:tr>
    </w:tbl>
    <w:p>
      <w:r>
        <w:rPr>
          <w:rFonts w:ascii="Arial" w:hAnsi="Arial"/>
          <w:i/>
          <w:sz w:val="16"/>
        </w:rPr>
        <w:t>Source: Source: GHG inventory + HR Information System (FTE count) + Financial statements (total assets). FTE 2024: 24,997; FTE 2023: 24,500.</w:t>
      </w:r>
    </w:p>
    <w:p/>
    <w:p>
      <w:r>
        <w:rPr>
          <w:rFonts w:ascii="Arial" w:hAnsi="Arial"/>
          <w:b/>
          <w:sz w:val="20"/>
        </w:rPr>
        <w:t>Table 34: Table 1.5.3: Framework Compliance Status — Emission Reduction Disclosure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Status</w:t>
            </w:r>
          </w:p>
        </w:tc>
        <w:tc>
          <w:tcPr>
            <w:tcW w:type="dxa" w:w="1806"/>
            <w:shd w:fill="1B3A6B" w:val="clear"/>
          </w:tcPr>
          <w:p>
            <w:r>
              <w:rPr>
                <w:rFonts w:ascii="Arial" w:hAnsi="Arial"/>
                <w:b/>
                <w:color w:val="FFFFFF"/>
                <w:sz w:val="18"/>
              </w:rPr>
              <w:t>Gap Description</w:t>
            </w:r>
          </w:p>
        </w:tc>
      </w:tr>
      <w:tr>
        <w:tc>
          <w:tcPr>
            <w:tcW w:type="dxa" w:w="1806"/>
          </w:tcPr>
          <w:p>
            <w:r>
              <w:rPr>
                <w:rFonts w:ascii="Arial" w:hAnsi="Arial"/>
                <w:sz w:val="18"/>
              </w:rPr>
              <w:t>GRI 305-5</w:t>
            </w:r>
          </w:p>
        </w:tc>
        <w:tc>
          <w:tcPr>
            <w:tcW w:type="dxa" w:w="1806"/>
          </w:tcPr>
          <w:p>
            <w:r>
              <w:rPr>
                <w:rFonts w:ascii="Arial" w:hAnsi="Arial"/>
                <w:sz w:val="18"/>
              </w:rPr>
              <w:t>305-5a</w:t>
            </w:r>
          </w:p>
        </w:tc>
        <w:tc>
          <w:tcPr>
            <w:tcW w:type="dxa" w:w="1806"/>
          </w:tcPr>
          <w:p>
            <w:r>
              <w:rPr>
                <w:rFonts w:ascii="Arial" w:hAnsi="Arial"/>
                <w:sz w:val="18"/>
              </w:rPr>
              <w:t>GHG reductions achieved as direct result of initiatives (tCO₂e)</w:t>
            </w:r>
          </w:p>
        </w:tc>
        <w:tc>
          <w:tcPr>
            <w:tcW w:type="dxa" w:w="1806"/>
          </w:tcPr>
          <w:p>
            <w:r>
              <w:rPr>
                <w:rFonts w:ascii="Arial" w:hAnsi="Arial"/>
                <w:sz w:val="18"/>
              </w:rPr>
              <w:t>⚠️ Partial</w:t>
            </w:r>
          </w:p>
        </w:tc>
        <w:tc>
          <w:tcPr>
            <w:tcW w:type="dxa" w:w="1806"/>
          </w:tcPr>
          <w:p>
            <w:r>
              <w:rPr>
                <w:rFonts w:ascii="Arial" w:hAnsi="Arial"/>
                <w:sz w:val="18"/>
              </w:rPr>
              <w:t>YoY changes reported but not attributed to specific initiatives</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305-5b</w:t>
            </w:r>
          </w:p>
        </w:tc>
        <w:tc>
          <w:tcPr>
            <w:tcW w:type="dxa" w:w="1806"/>
            <w:shd w:fill="F2F6FC" w:val="clear"/>
          </w:tcPr>
          <w:p>
            <w:r>
              <w:rPr>
                <w:rFonts w:ascii="Arial" w:hAnsi="Arial"/>
                <w:sz w:val="18"/>
              </w:rPr>
              <w:t>Gases included in reduction calculation</w:t>
            </w:r>
          </w:p>
        </w:tc>
        <w:tc>
          <w:tcPr>
            <w:tcW w:type="dxa" w:w="1806"/>
            <w:shd w:fill="F2F6FC" w:val="clear"/>
          </w:tcPr>
          <w:p>
            <w:r>
              <w:rPr>
                <w:rFonts w:ascii="Arial" w:hAnsi="Arial"/>
                <w:sz w:val="18"/>
              </w:rPr>
              <w:t>✅ Compliant</w:t>
            </w:r>
          </w:p>
        </w:tc>
        <w:tc>
          <w:tcPr>
            <w:tcW w:type="dxa" w:w="1806"/>
            <w:shd w:fill="F2F6FC" w:val="clear"/>
          </w:tcPr>
          <w:p>
            <w:r>
              <w:rPr>
                <w:rFonts w:ascii="Arial" w:hAnsi="Arial"/>
                <w:sz w:val="18"/>
              </w:rPr>
              <w:t>CO₂, CH₄, N₂O disclosed in methodology</w:t>
            </w:r>
          </w:p>
        </w:tc>
      </w:tr>
      <w:tr>
        <w:tc>
          <w:tcPr>
            <w:tcW w:type="dxa" w:w="1806"/>
          </w:tcPr>
          <w:p>
            <w:r>
              <w:rPr>
                <w:rFonts w:ascii="Arial" w:hAnsi="Arial"/>
                <w:sz w:val="18"/>
              </w:rPr>
              <w:t>GRI 305-5</w:t>
            </w:r>
          </w:p>
        </w:tc>
        <w:tc>
          <w:tcPr>
            <w:tcW w:type="dxa" w:w="1806"/>
          </w:tcPr>
          <w:p>
            <w:r>
              <w:rPr>
                <w:rFonts w:ascii="Arial" w:hAnsi="Arial"/>
                <w:sz w:val="18"/>
              </w:rPr>
              <w:t>305-5c</w:t>
            </w:r>
          </w:p>
        </w:tc>
        <w:tc>
          <w:tcPr>
            <w:tcW w:type="dxa" w:w="1806"/>
          </w:tcPr>
          <w:p>
            <w:r>
              <w:rPr>
                <w:rFonts w:ascii="Arial" w:hAnsi="Arial"/>
                <w:sz w:val="18"/>
              </w:rPr>
              <w:t>Base year or baseline</w:t>
            </w:r>
          </w:p>
        </w:tc>
        <w:tc>
          <w:tcPr>
            <w:tcW w:type="dxa" w:w="1806"/>
          </w:tcPr>
          <w:p>
            <w:r>
              <w:rPr>
                <w:rFonts w:ascii="Arial" w:hAnsi="Arial"/>
                <w:sz w:val="18"/>
              </w:rPr>
              <w:t>⚠️ Partial</w:t>
            </w:r>
          </w:p>
        </w:tc>
        <w:tc>
          <w:tcPr>
            <w:tcW w:type="dxa" w:w="1806"/>
          </w:tcPr>
          <w:p>
            <w:r>
              <w:rPr>
                <w:rFonts w:ascii="Arial" w:hAnsi="Arial"/>
                <w:sz w:val="18"/>
              </w:rPr>
              <w:t>2023 used as comparison year; formal base year not established</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305-5d</w:t>
            </w:r>
          </w:p>
        </w:tc>
        <w:tc>
          <w:tcPr>
            <w:tcW w:type="dxa" w:w="1806"/>
            <w:shd w:fill="F2F6FC" w:val="clear"/>
          </w:tcPr>
          <w:p>
            <w:r>
              <w:rPr>
                <w:rFonts w:ascii="Arial" w:hAnsi="Arial"/>
                <w:sz w:val="18"/>
              </w:rPr>
              <w:t>Scopes in which reductions took place</w:t>
            </w:r>
          </w:p>
        </w:tc>
        <w:tc>
          <w:tcPr>
            <w:tcW w:type="dxa" w:w="1806"/>
            <w:shd w:fill="F2F6FC" w:val="clear"/>
          </w:tcPr>
          <w:p>
            <w:r>
              <w:rPr>
                <w:rFonts w:ascii="Arial" w:hAnsi="Arial"/>
                <w:sz w:val="18"/>
              </w:rPr>
              <w:t>✅ Compliant</w:t>
            </w:r>
          </w:p>
        </w:tc>
        <w:tc>
          <w:tcPr>
            <w:tcW w:type="dxa" w:w="1806"/>
            <w:shd w:fill="F2F6FC" w:val="clear"/>
          </w:tcPr>
          <w:p>
            <w:r>
              <w:rPr>
                <w:rFonts w:ascii="Arial" w:hAnsi="Arial"/>
                <w:sz w:val="18"/>
              </w:rPr>
              <w:t>Scope 1, 2, 3 Cat 15 disclosed separately</w:t>
            </w:r>
          </w:p>
        </w:tc>
      </w:tr>
      <w:tr>
        <w:tc>
          <w:tcPr>
            <w:tcW w:type="dxa" w:w="1806"/>
          </w:tcPr>
          <w:p>
            <w:r>
              <w:rPr>
                <w:rFonts w:ascii="Arial" w:hAnsi="Arial"/>
                <w:sz w:val="18"/>
              </w:rPr>
              <w:t>GRI 305-5</w:t>
            </w:r>
          </w:p>
        </w:tc>
        <w:tc>
          <w:tcPr>
            <w:tcW w:type="dxa" w:w="1806"/>
          </w:tcPr>
          <w:p>
            <w:r>
              <w:rPr>
                <w:rFonts w:ascii="Arial" w:hAnsi="Arial"/>
                <w:sz w:val="18"/>
              </w:rPr>
              <w:t>305-5e</w:t>
            </w:r>
          </w:p>
        </w:tc>
        <w:tc>
          <w:tcPr>
            <w:tcW w:type="dxa" w:w="1806"/>
          </w:tcPr>
          <w:p>
            <w:r>
              <w:rPr>
                <w:rFonts w:ascii="Arial" w:hAnsi="Arial"/>
                <w:sz w:val="18"/>
              </w:rPr>
              <w:t>Standards, methodologies, assumptions</w:t>
            </w:r>
          </w:p>
        </w:tc>
        <w:tc>
          <w:tcPr>
            <w:tcW w:type="dxa" w:w="1806"/>
          </w:tcPr>
          <w:p>
            <w:r>
              <w:rPr>
                <w:rFonts w:ascii="Arial" w:hAnsi="Arial"/>
                <w:sz w:val="18"/>
              </w:rPr>
              <w:t>✅ Compliant</w:t>
            </w:r>
          </w:p>
        </w:tc>
        <w:tc>
          <w:tcPr>
            <w:tcW w:type="dxa" w:w="1806"/>
          </w:tcPr>
          <w:p>
            <w:r>
              <w:rPr>
                <w:rFonts w:ascii="Arial" w:hAnsi="Arial"/>
                <w:sz w:val="18"/>
              </w:rPr>
              <w:t>GHG Protocol, PCAF disclosed</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 33-36</w:t>
            </w:r>
          </w:p>
        </w:tc>
        <w:tc>
          <w:tcPr>
            <w:tcW w:type="dxa" w:w="1806"/>
            <w:shd w:fill="F2F6FC" w:val="clear"/>
          </w:tcPr>
          <w:p>
            <w:r>
              <w:rPr>
                <w:rFonts w:ascii="Arial" w:hAnsi="Arial"/>
                <w:sz w:val="18"/>
              </w:rPr>
              <w:t>Climate-related targets and transition plan</w:t>
            </w:r>
          </w:p>
        </w:tc>
        <w:tc>
          <w:tcPr>
            <w:tcW w:type="dxa" w:w="1806"/>
            <w:shd w:fill="F2F6FC" w:val="clear"/>
          </w:tcPr>
          <w:p>
            <w:r>
              <w:rPr>
                <w:rFonts w:ascii="Arial" w:hAnsi="Arial"/>
                <w:sz w:val="18"/>
              </w:rPr>
              <w:t>❌ Critical Gap</w:t>
            </w:r>
          </w:p>
        </w:tc>
        <w:tc>
          <w:tcPr>
            <w:tcW w:type="dxa" w:w="1806"/>
            <w:shd w:fill="F2F6FC" w:val="clear"/>
          </w:tcPr>
          <w:p>
            <w:r>
              <w:rPr>
                <w:rFonts w:ascii="Arial" w:hAnsi="Arial"/>
                <w:sz w:val="18"/>
              </w:rPr>
              <w:t>No quantitative targets or transition plan disclosed</w:t>
            </w:r>
          </w:p>
        </w:tc>
      </w:tr>
      <w:tr>
        <w:tc>
          <w:tcPr>
            <w:tcW w:type="dxa" w:w="1806"/>
          </w:tcPr>
          <w:p>
            <w:r>
              <w:rPr>
                <w:rFonts w:ascii="Arial" w:hAnsi="Arial"/>
                <w:sz w:val="18"/>
              </w:rPr>
              <w:t>ESRS E1</w:t>
            </w:r>
          </w:p>
        </w:tc>
        <w:tc>
          <w:tcPr>
            <w:tcW w:type="dxa" w:w="1806"/>
          </w:tcPr>
          <w:p>
            <w:r>
              <w:rPr>
                <w:rFonts w:ascii="Arial" w:hAnsi="Arial"/>
                <w:sz w:val="18"/>
              </w:rPr>
              <w:t>DR E1-4</w:t>
            </w:r>
          </w:p>
        </w:tc>
        <w:tc>
          <w:tcPr>
            <w:tcW w:type="dxa" w:w="1806"/>
          </w:tcPr>
          <w:p>
            <w:r>
              <w:rPr>
                <w:rFonts w:ascii="Arial" w:hAnsi="Arial"/>
                <w:sz w:val="18"/>
              </w:rPr>
              <w:t>GHG emission reduction targets</w:t>
            </w:r>
          </w:p>
        </w:tc>
        <w:tc>
          <w:tcPr>
            <w:tcW w:type="dxa" w:w="1806"/>
          </w:tcPr>
          <w:p>
            <w:r>
              <w:rPr>
                <w:rFonts w:ascii="Arial" w:hAnsi="Arial"/>
                <w:sz w:val="18"/>
              </w:rPr>
              <w:t>❌ Critical Gap</w:t>
            </w:r>
          </w:p>
        </w:tc>
        <w:tc>
          <w:tcPr>
            <w:tcW w:type="dxa" w:w="1806"/>
          </w:tcPr>
          <w:p>
            <w:r>
              <w:rPr>
                <w:rFonts w:ascii="Arial" w:hAnsi="Arial"/>
                <w:sz w:val="18"/>
              </w:rPr>
              <w:t>No targets set for Scope 1, 2, or 3</w:t>
            </w:r>
          </w:p>
        </w:tc>
      </w:tr>
      <w:tr>
        <w:tc>
          <w:tcPr>
            <w:tcW w:type="dxa" w:w="1806"/>
            <w:shd w:fill="F2F6FC" w:val="clear"/>
          </w:tcPr>
          <w:p>
            <w:r>
              <w:rPr>
                <w:rFonts w:ascii="Arial" w:hAnsi="Arial"/>
                <w:sz w:val="18"/>
              </w:rPr>
              <w:t>ESRS E1</w:t>
            </w:r>
          </w:p>
        </w:tc>
        <w:tc>
          <w:tcPr>
            <w:tcW w:type="dxa" w:w="1806"/>
            <w:shd w:fill="F2F6FC" w:val="clear"/>
          </w:tcPr>
          <w:p>
            <w:r>
              <w:rPr>
                <w:rFonts w:ascii="Arial" w:hAnsi="Arial"/>
                <w:sz w:val="18"/>
              </w:rPr>
              <w:t>DR E1-4</w:t>
            </w:r>
          </w:p>
        </w:tc>
        <w:tc>
          <w:tcPr>
            <w:tcW w:type="dxa" w:w="1806"/>
            <w:shd w:fill="F2F6FC" w:val="clear"/>
          </w:tcPr>
          <w:p>
            <w:r>
              <w:rPr>
                <w:rFonts w:ascii="Arial" w:hAnsi="Arial"/>
                <w:sz w:val="18"/>
              </w:rPr>
              <w:t>Decarbonization levers</w:t>
            </w:r>
          </w:p>
        </w:tc>
        <w:tc>
          <w:tcPr>
            <w:tcW w:type="dxa" w:w="1806"/>
            <w:shd w:fill="F2F6FC" w:val="clear"/>
          </w:tcPr>
          <w:p>
            <w:r>
              <w:rPr>
                <w:rFonts w:ascii="Arial" w:hAnsi="Arial"/>
                <w:sz w:val="18"/>
              </w:rPr>
              <w:t>❌ Critical Gap</w:t>
            </w:r>
          </w:p>
        </w:tc>
        <w:tc>
          <w:tcPr>
            <w:tcW w:type="dxa" w:w="1806"/>
            <w:shd w:fill="F2F6FC" w:val="clear"/>
          </w:tcPr>
          <w:p>
            <w:r>
              <w:rPr>
                <w:rFonts w:ascii="Arial" w:hAnsi="Arial"/>
                <w:sz w:val="18"/>
              </w:rPr>
              <w:t>No specific initiatives or investment plan disclosed</w:t>
            </w:r>
          </w:p>
        </w:tc>
      </w:tr>
      <w:tr>
        <w:tc>
          <w:tcPr>
            <w:tcW w:type="dxa" w:w="1806"/>
          </w:tcPr>
          <w:p>
            <w:r>
              <w:rPr>
                <w:rFonts w:ascii="Arial" w:hAnsi="Arial"/>
                <w:sz w:val="18"/>
              </w:rPr>
              <w:t>OJK PSPK</w:t>
            </w:r>
          </w:p>
        </w:tc>
        <w:tc>
          <w:tcPr>
            <w:tcW w:type="dxa" w:w="1806"/>
          </w:tcPr>
          <w:p>
            <w:r>
              <w:rPr>
                <w:rFonts w:ascii="Arial" w:hAnsi="Arial"/>
                <w:sz w:val="18"/>
              </w:rPr>
              <w:t>Target Pengurangan</w:t>
            </w:r>
          </w:p>
        </w:tc>
        <w:tc>
          <w:tcPr>
            <w:tcW w:type="dxa" w:w="1806"/>
          </w:tcPr>
          <w:p>
            <w:r>
              <w:rPr>
                <w:rFonts w:ascii="Arial" w:hAnsi="Arial"/>
                <w:sz w:val="18"/>
              </w:rPr>
              <w:t>Emission reduction targets per SFAP</w:t>
            </w:r>
          </w:p>
        </w:tc>
        <w:tc>
          <w:tcPr>
            <w:tcW w:type="dxa" w:w="1806"/>
          </w:tcPr>
          <w:p>
            <w:r>
              <w:rPr>
                <w:rFonts w:ascii="Arial" w:hAnsi="Arial"/>
                <w:sz w:val="18"/>
              </w:rPr>
              <w:t>❌ Critical Gap</w:t>
            </w:r>
          </w:p>
        </w:tc>
        <w:tc>
          <w:tcPr>
            <w:tcW w:type="dxa" w:w="1806"/>
          </w:tcPr>
          <w:p>
            <w:r>
              <w:rPr>
                <w:rFonts w:ascii="Arial" w:hAnsi="Arial"/>
                <w:sz w:val="18"/>
              </w:rPr>
              <w:t>No alignment with Sustainable Finance Action Plan disclosed</w:t>
            </w:r>
          </w:p>
        </w:tc>
      </w:tr>
    </w:tbl>
    <w:p>
      <w:r>
        <w:rPr>
          <w:rFonts w:ascii="Arial" w:hAnsi="Arial"/>
          <w:i/>
          <w:sz w:val="16"/>
        </w:rPr>
        <w:t>Source: Assessment based on DATA INPUT section and RAG CONTEXT peer benchmarks. Status: ✅ Compliant = fully meets requirement; ⚠️ Partial = some elements present; ❌ Critical Gap = requirement not met.</w:t>
      </w:r>
    </w:p>
    <w:p/>
    <w:p>
      <w:r>
        <w:rPr>
          <w:rFonts w:ascii="Arial" w:hAnsi="Arial"/>
          <w:b/>
          <w:sz w:val="20"/>
        </w:rPr>
        <w:t>Table 36: Table 1.5.4: Peer Benchmark — Emission Reduction Performance (Indonesian Banking Sector)</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Institution</w:t>
            </w:r>
          </w:p>
        </w:tc>
        <w:tc>
          <w:tcPr>
            <w:tcW w:type="dxa" w:w="1806"/>
            <w:shd w:fill="1B3A6B" w:val="clear"/>
          </w:tcPr>
          <w:p>
            <w:r>
              <w:rPr>
                <w:rFonts w:ascii="Arial" w:hAnsi="Arial"/>
                <w:b/>
                <w:color w:val="FFFFFF"/>
                <w:sz w:val="18"/>
              </w:rPr>
              <w:t>YoY Change (%)</w:t>
            </w:r>
          </w:p>
        </w:tc>
        <w:tc>
          <w:tcPr>
            <w:tcW w:type="dxa" w:w="1806"/>
            <w:shd w:fill="1B3A6B" w:val="clear"/>
          </w:tcPr>
          <w:p>
            <w:r>
              <w:rPr>
                <w:rFonts w:ascii="Arial" w:hAnsi="Arial"/>
                <w:b/>
                <w:color w:val="FFFFFF"/>
                <w:sz w:val="18"/>
              </w:rPr>
              <w:t>Reduction Initiatives</w:t>
            </w:r>
          </w:p>
        </w:tc>
        <w:tc>
          <w:tcPr>
            <w:tcW w:type="dxa" w:w="1806"/>
            <w:shd w:fill="1B3A6B" w:val="clear"/>
          </w:tcPr>
          <w:p>
            <w:r>
              <w:rPr>
                <w:rFonts w:ascii="Arial" w:hAnsi="Arial"/>
                <w:b/>
                <w:color w:val="FFFFFF"/>
                <w:sz w:val="18"/>
              </w:rPr>
              <w:t>Target Status</w:t>
            </w:r>
          </w:p>
        </w:tc>
        <w:tc>
          <w:tcPr>
            <w:tcW w:type="dxa" w:w="1806"/>
            <w:shd w:fill="1B3A6B" w:val="clear"/>
          </w:tcPr>
          <w:p>
            <w:r>
              <w:rPr>
                <w:rFonts w:ascii="Arial" w:hAnsi="Arial"/>
                <w:b/>
                <w:color w:val="FFFFFF"/>
                <w:sz w:val="18"/>
              </w:rPr>
              <w:t>Renewable Energy (%)</w:t>
            </w:r>
          </w:p>
        </w:tc>
      </w:tr>
      <w:tr>
        <w:tc>
          <w:tcPr>
            <w:tcW w:type="dxa" w:w="1806"/>
          </w:tcPr>
          <w:p>
            <w:r>
              <w:rPr>
                <w:rFonts w:ascii="Arial" w:hAnsi="Arial"/>
                <w:sz w:val="18"/>
              </w:rPr>
              <w:t>DBS Group</w:t>
            </w:r>
          </w:p>
        </w:tc>
        <w:tc>
          <w:tcPr>
            <w:tcW w:type="dxa" w:w="1806"/>
          </w:tcPr>
          <w:p>
            <w:pPr>
              <w:jc w:val="right"/>
            </w:pPr>
            <w:r>
              <w:rPr>
                <w:rFonts w:ascii="Arial" w:hAnsi="Arial"/>
                <w:sz w:val="18"/>
              </w:rPr>
              <w:t>-12.0%</w:t>
            </w:r>
          </w:p>
        </w:tc>
        <w:tc>
          <w:tcPr>
            <w:tcW w:type="dxa" w:w="1806"/>
          </w:tcPr>
          <w:p>
            <w:r>
              <w:rPr>
                <w:rFonts w:ascii="Arial" w:hAnsi="Arial"/>
                <w:sz w:val="18"/>
              </w:rPr>
              <w:t>RE100 member, internal carbon price $15/tCO₂e, green data centers</w:t>
            </w:r>
          </w:p>
        </w:tc>
        <w:tc>
          <w:tcPr>
            <w:tcW w:type="dxa" w:w="1806"/>
          </w:tcPr>
          <w:p>
            <w:r>
              <w:rPr>
                <w:rFonts w:ascii="Arial" w:hAnsi="Arial"/>
                <w:sz w:val="18"/>
              </w:rPr>
              <w:t>Net Zero 2050 (SBTi)</w:t>
            </w:r>
          </w:p>
        </w:tc>
        <w:tc>
          <w:tcPr>
            <w:tcW w:type="dxa" w:w="1806"/>
          </w:tcPr>
          <w:p>
            <w:pPr>
              <w:jc w:val="right"/>
            </w:pPr>
            <w:r>
              <w:rPr>
                <w:rFonts w:ascii="Arial" w:hAnsi="Arial"/>
                <w:sz w:val="18"/>
              </w:rPr>
              <w:t>62%</w:t>
            </w:r>
          </w:p>
        </w:tc>
      </w:tr>
      <w:tr>
        <w:tc>
          <w:tcPr>
            <w:tcW w:type="dxa" w:w="1806"/>
            <w:shd w:fill="F2F6FC" w:val="clear"/>
          </w:tcPr>
          <w:p>
            <w:r>
              <w:rPr>
                <w:rFonts w:ascii="Arial" w:hAnsi="Arial"/>
                <w:sz w:val="18"/>
              </w:rPr>
              <w:t>Bank Rakyat Indonesia</w:t>
            </w:r>
          </w:p>
        </w:tc>
        <w:tc>
          <w:tcPr>
            <w:tcW w:type="dxa" w:w="1806"/>
            <w:shd w:fill="F2F6FC" w:val="clear"/>
          </w:tcPr>
          <w:p>
            <w:pPr>
              <w:jc w:val="right"/>
            </w:pPr>
            <w:r>
              <w:rPr>
                <w:rFonts w:ascii="Arial" w:hAnsi="Arial"/>
                <w:sz w:val="18"/>
              </w:rPr>
              <w:t>-3.2%</w:t>
            </w:r>
          </w:p>
        </w:tc>
        <w:tc>
          <w:tcPr>
            <w:tcW w:type="dxa" w:w="1806"/>
            <w:shd w:fill="F2F6FC" w:val="clear"/>
          </w:tcPr>
          <w:p>
            <w:r>
              <w:rPr>
                <w:rFonts w:ascii="Arial" w:hAnsi="Arial"/>
                <w:sz w:val="18"/>
              </w:rPr>
              <w:t>Green Network (118 EV cars + 150 bikes), solar panels, green building (19.49% savings)</w:t>
            </w:r>
          </w:p>
        </w:tc>
        <w:tc>
          <w:tcPr>
            <w:tcW w:type="dxa" w:w="1806"/>
            <w:shd w:fill="F2F6FC" w:val="clear"/>
          </w:tcPr>
          <w:p>
            <w:r>
              <w:rPr>
                <w:rFonts w:ascii="Arial" w:hAnsi="Arial"/>
                <w:sz w:val="18"/>
              </w:rPr>
              <w:t>SBTi committed, 1.75°C by 2040</w:t>
            </w:r>
          </w:p>
        </w:tc>
        <w:tc>
          <w:tcPr>
            <w:tcW w:type="dxa" w:w="1806"/>
            <w:shd w:fill="F2F6FC" w:val="clear"/>
          </w:tcPr>
          <w:p>
            <w:r>
              <w:rPr>
                <w:rFonts w:ascii="Arial" w:hAnsi="Arial"/>
                <w:sz w:val="18"/>
              </w:rPr>
              <w:t>&lt;1%</w:t>
            </w:r>
          </w:p>
        </w:tc>
      </w:tr>
      <w:tr>
        <w:tc>
          <w:tcPr>
            <w:tcW w:type="dxa" w:w="1806"/>
          </w:tcPr>
          <w:p>
            <w:r>
              <w:rPr>
                <w:rFonts w:ascii="Arial" w:hAnsi="Arial"/>
                <w:sz w:val="18"/>
              </w:rPr>
              <w:t>Bank Mandiri</w:t>
            </w:r>
          </w:p>
        </w:tc>
        <w:tc>
          <w:tcPr>
            <w:tcW w:type="dxa" w:w="1806"/>
          </w:tcPr>
          <w:p>
            <w:pPr>
              <w:jc w:val="right"/>
            </w:pPr>
            <w:r>
              <w:rPr>
                <w:rFonts w:ascii="Arial" w:hAnsi="Arial"/>
                <w:sz w:val="18"/>
              </w:rPr>
              <w:t>-5.1%</w:t>
            </w:r>
          </w:p>
        </w:tc>
        <w:tc>
          <w:tcPr>
            <w:tcW w:type="dxa" w:w="1806"/>
          </w:tcPr>
          <w:p>
            <w:r>
              <w:rPr>
                <w:rFonts w:ascii="Arial" w:hAnsi="Arial"/>
                <w:sz w:val="18"/>
              </w:rPr>
              <w:t>Solar panel pilot, EV charging stations, building efficiency</w:t>
            </w:r>
          </w:p>
        </w:tc>
        <w:tc>
          <w:tcPr>
            <w:tcW w:type="dxa" w:w="1806"/>
          </w:tcPr>
          <w:p>
            <w:r>
              <w:rPr>
                <w:rFonts w:ascii="Arial" w:hAnsi="Arial"/>
                <w:sz w:val="18"/>
              </w:rPr>
              <w:t>Net Zero 2060</w:t>
            </w:r>
          </w:p>
        </w:tc>
        <w:tc>
          <w:tcPr>
            <w:tcW w:type="dxa" w:w="1806"/>
          </w:tcPr>
          <w:p>
            <w:r>
              <w:rPr>
                <w:rFonts w:ascii="Arial" w:hAnsi="Arial"/>
                <w:sz w:val="18"/>
              </w:rPr>
              <w:t>&lt;1%</w:t>
            </w:r>
          </w:p>
        </w:tc>
      </w:tr>
      <w:tr>
        <w:tc>
          <w:tcPr>
            <w:tcW w:type="dxa" w:w="1806"/>
            <w:shd w:fill="F2F6FC" w:val="clear"/>
          </w:tcPr>
          <w:p>
            <w:r>
              <w:rPr>
                <w:rFonts w:ascii="Arial" w:hAnsi="Arial"/>
                <w:sz w:val="18"/>
              </w:rPr>
              <w:t>Bank Central Asia</w:t>
            </w:r>
          </w:p>
        </w:tc>
        <w:tc>
          <w:tcPr>
            <w:tcW w:type="dxa" w:w="1806"/>
            <w:shd w:fill="F2F6FC" w:val="clear"/>
          </w:tcPr>
          <w:p>
            <w:r>
              <w:rPr>
                <w:rFonts w:ascii="Arial" w:hAnsi="Arial"/>
                <w:sz w:val="18"/>
              </w:rPr>
              <w:t>N/A</w:t>
            </w:r>
          </w:p>
        </w:tc>
        <w:tc>
          <w:tcPr>
            <w:tcW w:type="dxa" w:w="1806"/>
            <w:shd w:fill="F2F6FC" w:val="clear"/>
          </w:tcPr>
          <w:p>
            <w:r>
              <w:rPr>
                <w:rFonts w:ascii="Arial" w:hAnsi="Arial"/>
                <w:sz w:val="18"/>
              </w:rPr>
              <w:t>Green office program, Earth Hour, climate strategy, exclusion list</w:t>
            </w:r>
          </w:p>
        </w:tc>
        <w:tc>
          <w:tcPr>
            <w:tcW w:type="dxa" w:w="1806"/>
            <w:shd w:fill="F2F6FC" w:val="clear"/>
          </w:tcPr>
          <w:p>
            <w:r>
              <w:rPr>
                <w:rFonts w:ascii="Arial" w:hAnsi="Arial"/>
                <w:sz w:val="18"/>
              </w:rPr>
              <w:t>Developing</w:t>
            </w:r>
          </w:p>
        </w:tc>
        <w:tc>
          <w:tcPr>
            <w:tcW w:type="dxa" w:w="1806"/>
            <w:shd w:fill="F2F6FC" w:val="clear"/>
          </w:tcPr>
          <w:p>
            <w:r>
              <w:rPr>
                <w:rFonts w:ascii="Arial" w:hAnsi="Arial"/>
                <w:sz w:val="18"/>
              </w:rPr>
              <w:t>&lt;1%</w:t>
            </w:r>
          </w:p>
        </w:tc>
      </w:tr>
      <w:tr>
        <w:tc>
          <w:tcPr>
            <w:tcW w:type="dxa" w:w="1806"/>
          </w:tcPr>
          <w:p>
            <w:r>
              <w:rPr>
                <w:rFonts w:ascii="Arial" w:hAnsi="Arial"/>
                <w:sz w:val="18"/>
              </w:rPr>
              <w:t>Generic Financial Institution</w:t>
            </w:r>
          </w:p>
        </w:tc>
        <w:tc>
          <w:tcPr>
            <w:tcW w:type="dxa" w:w="1806"/>
          </w:tcPr>
          <w:p>
            <w:pPr>
              <w:jc w:val="right"/>
            </w:pPr>
            <w:r>
              <w:rPr>
                <w:rFonts w:ascii="Arial" w:hAnsi="Arial"/>
                <w:sz w:val="18"/>
              </w:rPr>
              <w:t>-4.07%</w:t>
            </w:r>
          </w:p>
        </w:tc>
        <w:tc>
          <w:tcPr>
            <w:tcW w:type="dxa" w:w="1806"/>
          </w:tcPr>
          <w:p>
            <w:r>
              <w:rPr>
                <w:rFonts w:ascii="Arial" w:hAnsi="Arial"/>
                <w:sz w:val="18"/>
              </w:rPr>
              <w:t>No structured program disclosed</w:t>
            </w:r>
          </w:p>
        </w:tc>
        <w:tc>
          <w:tcPr>
            <w:tcW w:type="dxa" w:w="1806"/>
          </w:tcPr>
          <w:p>
            <w:r>
              <w:rPr>
                <w:rFonts w:ascii="Arial" w:hAnsi="Arial"/>
                <w:sz w:val="18"/>
              </w:rPr>
              <w:t>Not established</w:t>
            </w:r>
          </w:p>
        </w:tc>
        <w:tc>
          <w:tcPr>
            <w:tcW w:type="dxa" w:w="1806"/>
          </w:tcPr>
          <w:p>
            <w:pPr>
              <w:jc w:val="right"/>
            </w:pPr>
            <w:r>
              <w:rPr>
                <w:rFonts w:ascii="Arial" w:hAnsi="Arial"/>
                <w:sz w:val="18"/>
              </w:rPr>
              <w:t>0%</w:t>
            </w:r>
          </w:p>
        </w:tc>
      </w:tr>
    </w:tbl>
    <w:p>
      <w:r>
        <w:rPr>
          <w:rFonts w:ascii="Arial" w:hAnsi="Arial"/>
          <w:i/>
          <w:sz w:val="16"/>
        </w:rPr>
        <w:t>Source: Source: BRI Sustainability Report 2023, DBS Sustainability Report 2023, Bank Mandiri Sustainability Report 2023, BCA Sustainability Report 2024. YoY change refers to total Scope 1+2 operational emissions.</w:t>
      </w:r>
    </w:p>
    <w:p/>
    <w:p/>
    <w:p>
      <w:r>
        <w:drawing>
          <wp:inline xmlns:a="http://schemas.openxmlformats.org/drawingml/2006/main" xmlns:pic="http://schemas.openxmlformats.org/drawingml/2006/picture">
            <wp:extent cx="5029200" cy="2848268"/>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2848268"/>
                    </a:xfrm>
                    <a:prstGeom prst="rect"/>
                  </pic:spPr>
                </pic:pic>
              </a:graphicData>
            </a:graphic>
          </wp:inline>
        </w:drawing>
      </w:r>
    </w:p>
    <w:p>
      <w:pPr>
        <w:jc w:val="center"/>
      </w:pPr>
      <w:r>
        <w:rPr>
          <w:i/>
          <w:color w:val="666666"/>
          <w:sz w:val="18"/>
        </w:rPr>
        <w:t>Figure 11: Scope 1 Emission Sources (2024)</w:t>
      </w:r>
    </w:p>
    <w:p>
      <w:pPr>
        <w:jc w:val="center"/>
      </w:pPr>
      <w:r>
        <w:rPr>
          <w:i/>
          <w:color w:val="757575"/>
          <w:sz w:val="18"/>
        </w:rPr>
        <w:t>Diesel dominates at 64.7% (2,203 tCO₂e) — primary lever for reduction via solar+battery conversion at top 10 facilities, which account for 32.7% of total diesel emissions</w:t>
      </w:r>
    </w:p>
    <w:p/>
    <w:p>
      <w:r>
        <w:drawing>
          <wp:inline xmlns:a="http://schemas.openxmlformats.org/drawingml/2006/main" xmlns:pic="http://schemas.openxmlformats.org/drawingml/2006/picture">
            <wp:extent cx="5029200" cy="3207600"/>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3207600"/>
                    </a:xfrm>
                    <a:prstGeom prst="rect"/>
                  </pic:spPr>
                </pic:pic>
              </a:graphicData>
            </a:graphic>
          </wp:inline>
        </w:drawing>
      </w:r>
    </w:p>
    <w:p>
      <w:pPr>
        <w:jc w:val="center"/>
      </w:pPr>
      <w:r>
        <w:rPr>
          <w:i/>
          <w:color w:val="666666"/>
          <w:sz w:val="18"/>
        </w:rPr>
        <w:t>Figure 12: Year-over-Year Emission Changes by Scope (2023-2024)</w:t>
      </w:r>
    </w:p>
    <w:p>
      <w:pPr>
        <w:jc w:val="center"/>
      </w:pPr>
      <w:r>
        <w:rPr>
          <w:i/>
          <w:color w:val="757575"/>
          <w:sz w:val="18"/>
        </w:rPr>
        <w:t>Scope 1 increased 2.36% while Scope 3 Cat 15 decreased 4.08% — operational emissions moving opposite direction from financed emissions, indicating need for integrated reduction strategy</w:t>
      </w:r>
    </w:p>
    <w:p/>
    <w:p>
      <w:r>
        <w:drawing>
          <wp:inline xmlns:a="http://schemas.openxmlformats.org/drawingml/2006/main" xmlns:pic="http://schemas.openxmlformats.org/drawingml/2006/picture">
            <wp:extent cx="5029200" cy="3219781"/>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3219781"/>
                    </a:xfrm>
                    <a:prstGeom prst="rect"/>
                  </pic:spPr>
                </pic:pic>
              </a:graphicData>
            </a:graphic>
          </wp:inline>
        </w:drawing>
      </w:r>
    </w:p>
    <w:p>
      <w:pPr>
        <w:jc w:val="center"/>
      </w:pPr>
      <w:r>
        <w:rPr>
          <w:i/>
          <w:color w:val="666666"/>
          <w:sz w:val="18"/>
        </w:rPr>
        <w:t>Figure 13: Peer Comparison: Year-over-Year Emission Change (Scope 1+2)</w:t>
      </w:r>
    </w:p>
    <w:p>
      <w:pPr>
        <w:jc w:val="center"/>
      </w:pPr>
      <w:r>
        <w:rPr>
          <w:i/>
          <w:color w:val="757575"/>
          <w:sz w:val="18"/>
        </w:rPr>
        <w:t>Institution's -4.07% reduction lags DBS (-12%) and Mandiri (-5.1%) — gap driven by lack of renewable energy procurement (0% vs DBS 62%) and structured efficiency programs</w:t>
      </w:r>
    </w:p>
    <w:p/>
    <w:p>
      <w:r>
        <w:drawing>
          <wp:inline xmlns:a="http://schemas.openxmlformats.org/drawingml/2006/main" xmlns:pic="http://schemas.openxmlformats.org/drawingml/2006/picture">
            <wp:extent cx="5029200" cy="3343340"/>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343340"/>
                    </a:xfrm>
                    <a:prstGeom prst="rect"/>
                  </pic:spPr>
                </pic:pic>
              </a:graphicData>
            </a:graphic>
          </wp:inline>
        </w:drawing>
      </w:r>
    </w:p>
    <w:p>
      <w:pPr>
        <w:jc w:val="center"/>
      </w:pPr>
      <w:r>
        <w:rPr>
          <w:i/>
          <w:color w:val="666666"/>
          <w:sz w:val="18"/>
        </w:rPr>
        <w:t>Figure 14: Top 10 Facilities by Diesel Emissions (2024)</w:t>
      </w:r>
    </w:p>
    <w:p>
      <w:pPr>
        <w:jc w:val="center"/>
      </w:pPr>
      <w:r>
        <w:rPr>
          <w:i/>
          <w:color w:val="757575"/>
          <w:sz w:val="18"/>
        </w:rPr>
        <w:t>Top 10 facilities account for 721 tCO₂e (32.7% of total diesel) — prioritize these for solar+battery conversion to achieve maximum impact with minimum investment</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Peningkatan Scope 1 sebesar 2.36% (78.476 tCO₂e) didorong oleh konsumsi diesel yang naik 3.66%, dari 2,125.4888 tCO₂e menjadi 2,203.2044 tCO₂e. Analisis 10 fasilitas dengan emisi diesel tertinggi menunjukkan total 721.0057 tCO₂e (32.7% dari total diesel), mengindikasikan konsentrasi pada lokasi dengan ketergantungan genset tinggi. Scope 2 relatif stabil (+0.03%), namun tidak ada penetrasi energi terbarukan (market-based = location-based), berbeda dengan DBS yang mencapai 62% renewable. Intensitas emisi per FTE turun 1.79%, namun laju perbaikan ini jauh di bawah peers yang mencapai 5-12% annual reduction melalui program terstruktur.</w:t>
            </w:r>
          </w:p>
          <w:p>
            <w:r>
              <w:rPr>
                <w:b/>
                <w:sz w:val="20"/>
              </w:rPr>
              <w:t>Root Causes:</w:t>
            </w:r>
          </w:p>
          <w:p>
            <w:r>
              <w:rPr>
                <w:sz w:val="18"/>
              </w:rPr>
              <w:t>• Ketergantungan pada diesel genset untuk backup power tanpa alternatif solar+battery, terutama di 10 fasilitas dengan konsumsi tertinggi (721 tCO₂e atau 32.7% total diesel)</w:t>
            </w:r>
          </w:p>
          <w:p>
            <w:r>
              <w:rPr>
                <w:sz w:val="18"/>
              </w:rPr>
              <w:t>• Tidak ada program pengadaan energi terbarukan (renewable energy procurement) — 0% penetrasi vs 62% di DBS, &lt;1% di BRI/Mandiri</w:t>
            </w:r>
          </w:p>
          <w:p>
            <w:r>
              <w:rPr>
                <w:sz w:val="18"/>
              </w:rPr>
              <w:t>• Tidak ada target reduksi formal atau transition plan yang mengikat manajemen untuk aksi konkret, berbeda dengan BRI (SBTi committed) dan DBS (net-zero 2050)</w:t>
            </w:r>
          </w:p>
          <w:p>
            <w:r>
              <w:rPr>
                <w:sz w:val="18"/>
              </w:rPr>
              <w:t>• Program efisiensi energi belum sistematis — tidak ada auto-shutdown (ref: BRI Kaseya), LED retrofit parsial, tidak ada green building certification (ref: BRI BRILiaN Tower 19.49% savings)</w:t>
            </w:r>
          </w:p>
          <w:p>
            <w:r>
              <w:rPr>
                <w:b/>
                <w:sz w:val="20"/>
              </w:rPr>
              <w:t>Risk Implications:</w:t>
            </w:r>
          </w:p>
          <w:p>
            <w:r>
              <w:rPr>
                <w:sz w:val="18"/>
              </w:rPr>
              <w:t>• Regulatory risk: Non-compliance dengan OJK POJK 51/2017 dan SEOJK 16/2021 yang mewajibkan target pengurangan emisi dan rencana transisi iklim. Potensi sanksi administratif atau reputational damage.</w:t>
            </w:r>
          </w:p>
          <w:p>
            <w:r>
              <w:rPr>
                <w:sz w:val="18"/>
              </w:rPr>
              <w:t>• ESG rating downgrade: Tanpa target dan transition plan, institusi berisiko penurunan rating MSCI (saat ini unrated) dan Sustainalytics, yang akan membatasi akses ke investor ESG-focused dan green financing.</w:t>
            </w:r>
          </w:p>
          <w:p>
            <w:r>
              <w:rPr>
                <w:sz w:val="18"/>
              </w:rPr>
              <w:t>• Competitive disadvantage: Gap dengan peers (BRI, DBS, Mandiri) dalam climate action akan melebar. Pada 2026, diproyeksikan gap emission intensity vs peers akan mencapai 15-20 percentage points jika tidak ada intervensi.</w:t>
            </w:r>
          </w:p>
          <w:p>
            <w:r>
              <w:rPr>
                <w:sz w:val="18"/>
              </w:rPr>
              <w:t>• Financial risk: Ketergantungan pada diesel (2,203 tCO₂e) mengekspos institusi pada volatilitas harga BBM. Solar+battery menawarkan payback 5-7 tahun dan hedge terhadap kenaikan harga diesel.</w:t>
            </w:r>
          </w:p>
          <w:p>
            <w:r>
              <w:rPr>
                <w:sz w:val="18"/>
              </w:rPr>
              <w:t>• Misalignment dengan Indonesia NDC: Trajektori saat ini (-4.07%/year) tidak cukup untuk mencapai target NDC Indonesia (31.89% reduction vs BAU by 2030). Diperlukan akselerasi 1.4x untuk alignment.</w:t>
            </w:r>
          </w:p>
        </w:tc>
      </w:tr>
    </w:tbl>
    <w:p/>
    <w:p/>
    <w:p>
      <w:r>
        <w:rPr>
          <w:b/>
          <w:color w:val="2E7D32"/>
          <w:sz w:val="24"/>
        </w:rPr>
        <w:t>⚡ Priority Actions</w:t>
      </w:r>
    </w:p>
    <w:p>
      <w:r>
        <w:rPr>
          <w:b/>
          <w:sz w:val="22"/>
        </w:rPr>
        <w:t>🔴 1. Install solar PV + battery storage systems (50-100 kWp + 4-hour battery) at top 10 diesel-consuming facilities (FAC-0197, FAC-0198, FAC-0200, FAC-0196, FAC-0199, FAC-0193, FAC-0215, FAC-0191, FAC-0181, FAC-0208) to eliminate daytime diesel generator usage</w:t>
      </w:r>
      <w:r>
        <w:rPr>
          <w:sz w:val="22"/>
        </w:rPr>
        <w:t xml:space="preserve"> (Q3 2025 pilot (3 facilities), Q1-Q4 2026 full rollout (7 facilities))</w:t>
      </w:r>
    </w:p>
    <w:p>
      <w:pPr>
        <w:spacing w:after="160" w:line="276" w:lineRule="auto"/>
      </w:pPr>
      <w:r>
        <w:t xml:space="preserve">    → Expected: Reduction of 500-650 tCO₂e annually (22-29% of Scope 1 diesel emissions), cost savings IDR 2-3 billion/year on diesel fuel, 5-7 year payback period</w:t>
      </w:r>
    </w:p>
    <w:p>
      <w:pPr>
        <w:spacing w:after="160" w:line="276" w:lineRule="auto"/>
      </w:pPr>
      <w:r>
        <w:rPr>
          <w:rFonts w:ascii="Arial" w:hAnsi="Arial"/>
          <w:i/>
          <w:color w:val="646464"/>
          <w:sz w:val="18"/>
        </w:rPr>
        <w:t xml:space="preserve">    → Ref: BRI — Green Network program with solar panel installations at branches; Bank Mandiri — solar panel pilot program at select facilities</w:t>
      </w:r>
    </w:p>
    <w:p>
      <w:r>
        <w:rPr>
          <w:b/>
          <w:sz w:val="22"/>
        </w:rPr>
        <w:t>🔴 2. Submit Science-Based Targets initiative (SBTi) commitment letter and establish interim 2030 targets: 50% absolute reduction in Scope 1+2 (base year 2024), portfolio temperature alignment &lt;2.0°C by 2030 for Scope 3 Category 15</w:t>
      </w:r>
      <w:r>
        <w:rPr>
          <w:sz w:val="22"/>
        </w:rPr>
        <w:t xml:space="preserve"> (Q2 2025 for target establishment and Board approval, Q4 2025 for SBTi submission)</w:t>
      </w:r>
    </w:p>
    <w:p>
      <w:pPr>
        <w:spacing w:after="160" w:line="276" w:lineRule="auto"/>
      </w:pPr>
      <w:r>
        <w:t xml:space="preserve">    → Expected: Regulatory compliance with OJK POJK 51/2017 and SEOJK 16/2021, improved ESG ratings (MSCI, Sustainalytics), access to green bonds and sustainability-linked loans, strategic clarity for decarbonization investments</w:t>
      </w:r>
    </w:p>
    <w:p>
      <w:pPr>
        <w:spacing w:after="160" w:line="276" w:lineRule="auto"/>
      </w:pPr>
      <w:r>
        <w:rPr>
          <w:rFonts w:ascii="Arial" w:hAnsi="Arial"/>
          <w:i/>
          <w:color w:val="646464"/>
          <w:sz w:val="18"/>
        </w:rPr>
        <w:t xml:space="preserve">    → Ref: BRI — First Indonesian FI to submit SBTi commitment letter (2023), temperature target 1.75°C by 2040 for loan portfolio Scope 1+2; DBS — SBTi validated, net-zero 2050 target</w:t>
      </w:r>
    </w:p>
    <w:p>
      <w:r>
        <w:rPr>
          <w:b/>
          <w:sz w:val="22"/>
        </w:rPr>
        <w:t>🔴 3. Procure renewable energy certificates (RECs) or enter virtual power purchase agreement (VPPA) to cover 25% of grid electricity consumption (11,153 MWh or 8,800 tCO₂e) by 2027, with pathway to 100% renewable by 2035 (RE100 membership)</w:t>
      </w:r>
      <w:r>
        <w:rPr>
          <w:sz w:val="22"/>
        </w:rPr>
        <w:t xml:space="preserve"> (Q4 2025 for REC/VPPA market assessment, Q2 2026 for procurement execution, Q1 2027 for RE100 application)</w:t>
      </w:r>
    </w:p>
    <w:p>
      <w:pPr>
        <w:spacing w:after="160" w:line="276" w:lineRule="auto"/>
      </w:pPr>
      <w:r>
        <w:t xml:space="preserve">    → Expected: Reduction of 11,000-15,000 tCO₂e annually by 2027 (25-34% of Scope 2 location-based), alignment with global best practice, enhanced investor appeal</w:t>
      </w:r>
    </w:p>
    <w:p>
      <w:pPr>
        <w:spacing w:after="160" w:line="276" w:lineRule="auto"/>
      </w:pPr>
      <w:r>
        <w:rPr>
          <w:rFonts w:ascii="Arial" w:hAnsi="Arial"/>
          <w:i/>
          <w:color w:val="646464"/>
          <w:sz w:val="18"/>
        </w:rPr>
        <w:t xml:space="preserve">    → Ref: DBS Group — 62% renewable energy penetration in 2023 as RE100 member, achieved 12% YoY emission reduction; BRI — solar panel installations at select facilities (&lt;1% renewable penetration)</w:t>
      </w:r>
    </w:p>
    <w:p>
      <w:r>
        <w:rPr>
          <w:b/>
          <w:sz w:val="22"/>
        </w:rPr>
        <w:t>🟡 4. Deploy automated shutdown systems (HVAC, lighting, IT equipment) across all facilities during non-business hours, combined with LED retrofit for 100% of lighting and energy audits at top 50 electricity-consuming facilities</w:t>
      </w:r>
      <w:r>
        <w:rPr>
          <w:sz w:val="22"/>
        </w:rPr>
        <w:t xml:space="preserve"> (Q3 2025 for LED retrofit and auto-shutdown system deployment, Q4 2025 for energy audits)</w:t>
      </w:r>
    </w:p>
    <w:p>
      <w:pPr>
        <w:spacing w:after="160" w:line="276" w:lineRule="auto"/>
      </w:pPr>
      <w:r>
        <w:t xml:space="preserve">    → Expected: Reduction of 6,500-8,900 tCO₂e annually (15-20% of Scope 2), cost savings IDR 8-12 billion/year on electricity, payback period &lt;2 years for LED and auto-shutdown</w:t>
      </w:r>
    </w:p>
    <w:p>
      <w:pPr>
        <w:spacing w:after="160" w:line="276" w:lineRule="auto"/>
      </w:pPr>
      <w:r>
        <w:rPr>
          <w:rFonts w:ascii="Arial" w:hAnsi="Arial"/>
          <w:i/>
          <w:color w:val="646464"/>
          <w:sz w:val="18"/>
        </w:rPr>
        <w:t xml:space="preserve">    → Ref: BRI — Kaseya auto-shutdown program deployed across facilities; BRILiaN Tower green building certification achieved 19.49% electricity savings; BCA — Green Office program with energy efficiency measures</w:t>
      </w:r>
    </w:p>
    <w:p/>
    <w:p>
      <w:r>
        <w:rPr>
          <w:i/>
          <w:color w:val="3D6094"/>
          <w:sz w:val="18"/>
        </w:rPr>
        <w:t>Framework references: GRI 305-5a — GHG emissions reduced as direct result of reduction initiatives; GRI 305-5b — Gases included in the calculation (CO₂, CH₄, N₂O); GRI 305-5c — Base year or baseline, including rationale for choosing it; GRI 305-5d — Scopes in which reductions took place (Scope 1, 2, 3); GRI 305-5e — Standards, methodologies, assumptions, and/or calculation tools used; IFRS S2 Paragraph 33 — Quantitative and qualitative climate-related targets; IFRS S2 Paragraph 34 — Information about targets including metrics, objective, time horizon; IFRS S2 Paragraph 35 — Information about how targets are monitored; IFRS S2 Paragraph 36 — Revisions to targets and explanation; IFRS S2 Paragraph 14 — Transition plan for climate-related risks and opportunities; ESRS E1-4 DR E1-4 — GHG emission reduction targets; ESRS E1-4 — Decarbonization levers and expected contribution; OJK POJK 51/2017 — Penerapan Keuangan Berkelanjutan; OJK SEOJK 16/2021 — Pelaksanaan Keuangan Berkelanjutan bagi Lembaga Jasa Keuangan; Presidential Regulation No. 98/2021 — Nilai Ekonomi Karbon (Carbon Economic Value)</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Scope 1 emissions include CO₂, CH₄, and N₂O from natural gas combustion (stationary sources) and diesel combustion (backup generators and fleet vehicles). Emission factors: Natural gas 56.16 kgCO₂e/GJ (IPCC 2006), Diesel 2.571 kgCO₂e/liter (DEFRA 2025).</w:t>
      </w:r>
    </w:p>
    <w:p>
      <w:pPr>
        <w:spacing w:after="160" w:line="276" w:lineRule="auto"/>
      </w:pPr>
      <w:r>
        <w:rPr>
          <w:rFonts w:ascii="Arial" w:hAnsi="Arial"/>
          <w:i/>
          <w:color w:val="646464"/>
          <w:sz w:val="18"/>
        </w:rPr>
        <w:t>Scope 2 location-based emissions use the Indonesia national grid emission factor of 0.7886 kgCO₂e/kWh (ESDM 2023). Market-based emissions are identical to location-based as no renewable energy certificates or power purchase agreements are in place.</w:t>
      </w:r>
    </w:p>
    <w:p>
      <w:pPr>
        <w:spacing w:after="160" w:line="276" w:lineRule="auto"/>
      </w:pPr>
      <w:r>
        <w:rPr>
          <w:rFonts w:ascii="Arial" w:hAnsi="Arial"/>
          <w:i/>
          <w:color w:val="646464"/>
          <w:sz w:val="18"/>
        </w:rPr>
        <w:t>Scope 3 Category 15 (financed emissions) reductions are driven by portfolio composition changes and improved PCAF data quality (average score 3.36 in 2024). Gross emissions decreased 4.08% while weighted emissions decreased 1.90%, indicating data quality improvements reduced the confidence gap.</w:t>
      </w:r>
    </w:p>
    <w:p>
      <w:pPr>
        <w:spacing w:after="160" w:line="276" w:lineRule="auto"/>
      </w:pPr>
      <w:r>
        <w:rPr>
          <w:rFonts w:ascii="Arial" w:hAnsi="Arial"/>
          <w:i/>
          <w:color w:val="646464"/>
          <w:sz w:val="18"/>
        </w:rPr>
        <w:t>The institution has not established a formal base year for long-term target setting. The 2023 reporting year is used as the comparison baseline for year-over-year analysis per GRI 305-5c interim guidance.</w:t>
      </w:r>
    </w:p>
    <w:p>
      <w:pPr>
        <w:spacing w:after="160" w:line="276" w:lineRule="auto"/>
      </w:pPr>
      <w:r>
        <w:rPr>
          <w:rFonts w:ascii="Arial" w:hAnsi="Arial"/>
          <w:i/>
          <w:color w:val="646464"/>
          <w:sz w:val="18"/>
        </w:rPr>
        <w:t>📋 DATA PROVENANCE: Source: Facility Management System (Scope 1), PLN Billing / Facility Mgmt (Scope 2), Core Banking + PCAF DB (Scope 3) | EF: IPCC 2006 + DEFRA 2025 (Scope 1), ESDM 2023 (Scope 2), PCAF DB 2023 (Scope 3) | Methodology: GHG Protocol Corporate Standard + PCAF Global Standard Part A (2022) | Quality: Tier 1 (Scope 1), Tier 2 (Scope 2), Tier 3.36 avg (Scope 3) | Validated: 2025-03-15 | Owner: Sustainability &amp; ESG Division</w:t>
      </w:r>
    </w:p>
    <w:p>
      <w:r>
        <w:br w:type="page"/>
      </w:r>
    </w:p>
    <w:p>
      <w:pPr>
        <w:pStyle w:val="Heading1"/>
        <w:keepNext/>
        <w:spacing w:before="480" w:after="240"/>
      </w:pPr>
      <w:r>
        <w:rPr>
          <w:rFonts w:ascii="Arial" w:hAnsi="Arial"/>
          <w:b/>
          <w:color w:val="1B3A6B"/>
          <w:sz w:val="36"/>
        </w:rPr>
        <w:t>Social Performance</w:t>
      </w:r>
    </w:p>
    <w:p>
      <w:pPr>
        <w:pStyle w:val="Heading2"/>
        <w:keepNext/>
        <w:spacing w:before="360" w:after="160"/>
      </w:pPr>
      <w:r>
        <w:rPr>
          <w:rFonts w:ascii="Arial" w:hAnsi="Arial"/>
          <w:b/>
          <w:color w:val="3D6094"/>
          <w:sz w:val="28"/>
        </w:rPr>
        <w:t>2.1 Workforce &amp; Human Capital</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8.45%</w:t>
            </w:r>
            <w:r>
              <w:rPr>
                <w:color w:val="757575"/>
                <w:sz w:val="18"/>
              </w:rPr>
              <w:t xml:space="preserve"> %</w:t>
            </w:r>
            <w:r>
              <w:rPr>
                <w:b/>
                <w:color w:val="2E7D32"/>
                <w:sz w:val="20"/>
              </w:rPr>
              <w:br/>
              <w:t>-40.66% YoY</w:t>
            </w:r>
          </w:p>
        </w:tc>
        <w:tc>
          <w:tcPr>
            <w:tcW w:type="dxa" w:w="2257"/>
            <w:shd w:fill="F2F6FA" w:val="clear"/>
          </w:tcPr>
          <w:p>
            <w:pPr>
              <w:jc w:val="center"/>
            </w:pPr>
            <w:r>
              <w:rPr>
                <w:b/>
                <w:color w:val="1B3A6B"/>
                <w:sz w:val="36"/>
              </w:rPr>
              <w:t>42.32%</w:t>
            </w:r>
            <w:r>
              <w:rPr>
                <w:color w:val="757575"/>
                <w:sz w:val="18"/>
              </w:rPr>
              <w:t xml:space="preserve"> %</w:t>
            </w:r>
            <w:r>
              <w:rPr>
                <w:b/>
                <w:color w:val="C62828"/>
                <w:sz w:val="20"/>
              </w:rPr>
              <w:br/>
              <w:t>-3.88pp YoY</w:t>
            </w:r>
          </w:p>
        </w:tc>
        <w:tc>
          <w:tcPr>
            <w:tcW w:type="dxa" w:w="2257"/>
            <w:shd w:fill="F2F6FA" w:val="clear"/>
          </w:tcPr>
          <w:p>
            <w:pPr>
              <w:jc w:val="center"/>
            </w:pPr>
            <w:r>
              <w:rPr>
                <w:b/>
                <w:color w:val="1B3A6B"/>
                <w:sz w:val="36"/>
              </w:rPr>
              <w:t>49.3</w:t>
            </w:r>
            <w:r>
              <w:rPr>
                <w:color w:val="757575"/>
                <w:sz w:val="18"/>
              </w:rPr>
              <w:t xml:space="preserve"> hours</w:t>
            </w:r>
            <w:r>
              <w:rPr>
                <w:b/>
                <w:color w:val="C62828"/>
                <w:sz w:val="20"/>
              </w:rPr>
              <w:br/>
              <w:t>-23.14% YoY (13.1 hrs below peer avg)</w:t>
            </w:r>
          </w:p>
        </w:tc>
        <w:tc>
          <w:tcPr>
            <w:tcW w:type="dxa" w:w="2257"/>
            <w:shd w:fill="F2F6FA" w:val="clear"/>
          </w:tcPr>
          <w:p>
            <w:pPr>
              <w:jc w:val="center"/>
            </w:pPr>
            <w:r>
              <w:rPr>
                <w:b/>
                <w:color w:val="1B3A6B"/>
                <w:sz w:val="36"/>
              </w:rPr>
              <w:t>26.67%</w:t>
            </w:r>
            <w:r>
              <w:rPr>
                <w:color w:val="757575"/>
                <w:sz w:val="18"/>
              </w:rPr>
              <w:t xml:space="preserve"> %</w:t>
            </w:r>
            <w:r>
              <w:rPr>
                <w:b/>
                <w:color w:val="C62828"/>
                <w:sz w:val="20"/>
              </w:rPr>
              <w:br/>
              <w:t>-1.78pp YoY (34.93pp below BCA)</w:t>
            </w:r>
          </w:p>
        </w:tc>
      </w:tr>
      <w:tr>
        <w:tc>
          <w:tcPr>
            <w:tcW w:type="dxa" w:w="2257"/>
            <w:shd w:fill="F2F6FA" w:val="clear"/>
          </w:tcPr>
          <w:p>
            <w:pPr>
              <w:jc w:val="center"/>
            </w:pPr>
            <w:r>
              <w:rPr>
                <w:color w:val="757575"/>
                <w:sz w:val="16"/>
              </w:rPr>
              <w:t>Voluntary Turnover</w:t>
            </w:r>
          </w:p>
        </w:tc>
        <w:tc>
          <w:tcPr>
            <w:tcW w:type="dxa" w:w="2257"/>
            <w:shd w:fill="F2F6FA" w:val="clear"/>
          </w:tcPr>
          <w:p>
            <w:pPr>
              <w:jc w:val="center"/>
            </w:pPr>
            <w:r>
              <w:rPr>
                <w:color w:val="757575"/>
                <w:sz w:val="16"/>
              </w:rPr>
              <w:t>Female Representation</w:t>
            </w:r>
          </w:p>
        </w:tc>
        <w:tc>
          <w:tcPr>
            <w:tcW w:type="dxa" w:w="2257"/>
            <w:shd w:fill="F2F6FA" w:val="clear"/>
          </w:tcPr>
          <w:p>
            <w:pPr>
              <w:jc w:val="center"/>
            </w:pPr>
            <w:r>
              <w:rPr>
                <w:color w:val="757575"/>
                <w:sz w:val="16"/>
              </w:rPr>
              <w:t>Training Hours/FTE</w:t>
            </w:r>
          </w:p>
        </w:tc>
        <w:tc>
          <w:tcPr>
            <w:tcW w:type="dxa" w:w="2257"/>
            <w:shd w:fill="F2F6FA" w:val="clear"/>
          </w:tcPr>
          <w:p>
            <w:pPr>
              <w:jc w:val="center"/>
            </w:pPr>
            <w:r>
              <w:rPr>
                <w:color w:val="757575"/>
                <w:sz w:val="16"/>
              </w:rPr>
              <w:t>Female in Management</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Turnover improved 40.66% but female representation declined 3.88pp vs peers' gains—diversity pipeline needs urgent intervention</w:t>
            </w:r>
          </w:p>
          <w:p>
            <w:r>
              <w:rPr>
                <w:sz w:val="20"/>
              </w:rPr>
              <w:t>While retention performance strengthened significantly, the institution experienced concerning reversals in gender diversity at both workforce (42.32% vs 46.2% prior) and management (26.67% vs 28.45% prior) levels. This contrasts sharply with peer institutions like BCA (61.6% female management) and DBS (38% with equal pay disclosure), indicating structural gaps in diversity strategy execution that risk ESG rating downgrades and talent competitiveness.</w:t>
            </w:r>
          </w:p>
        </w:tc>
      </w:tr>
    </w:tbl>
    <w:p/>
    <w:p>
      <w:pPr>
        <w:pStyle w:val="Heading3"/>
        <w:keepNext/>
      </w:pPr>
      <w:r>
        <w:rPr>
          <w:rFonts w:ascii="Arial" w:hAnsi="Arial"/>
          <w:b/>
          <w:color w:val="4A7AB5"/>
          <w:sz w:val="24"/>
        </w:rPr>
        <w:t>2.1.1 Workforce Overview (GRI 2-7)</w:t>
      </w:r>
    </w:p>
    <w:p>
      <w:pPr>
        <w:spacing w:after="160" w:line="276" w:lineRule="auto"/>
      </w:pPr>
      <w:r>
        <w:rPr>
          <w:rFonts w:ascii="Arial" w:hAnsi="Arial"/>
          <w:sz w:val="22"/>
        </w:rPr>
        <w:t>As of December 31, 2024, the institution employed 24,997 full-time equivalent (FTE) employees, representing a 2.03% increase from 24,500 FTEs in 2023. The workforce comprised 10,579 female employees (42.32%) and 14,418 male employees (57.68%). This reflects a 3.88 percentage point decline in female representation compared to 2023, when women constituted 46.2% of the workforce. The headcount expansion was driven by business growth initiatives and branch network expansion, though the gender composition shift warrants strategic attention to maintain diversity commitments.</w:t>
      </w:r>
    </w:p>
    <w:p>
      <w:pPr>
        <w:spacing w:after="160" w:line="276" w:lineRule="auto"/>
      </w:pPr>
      <w:r>
        <w:rPr>
          <w:rFonts w:ascii="Arial" w:hAnsi="Arial"/>
          <w:sz w:val="22"/>
        </w:rPr>
        <w:t>The year-over-year headcount growth of 497 employees (2.03%) was achieved through strategic hiring in digital banking, risk management, and sustainability functions. However, the decline in female representation from 46.2% to 42.32% represents a concerning reversal of prior diversity gains. This 3.88 percentage point decrease occurred despite the institution's stated commitment to gender equality, indicating potential gaps in recruitment targeting or retention strategies for female talent.</w:t>
      </w:r>
    </w:p>
    <w:p>
      <w:pPr>
        <w:pStyle w:val="Heading3"/>
        <w:keepNext/>
      </w:pPr>
      <w:r>
        <w:rPr>
          <w:rFonts w:ascii="Arial" w:hAnsi="Arial"/>
          <w:b/>
          <w:color w:val="4A7AB5"/>
          <w:sz w:val="24"/>
        </w:rPr>
        <w:t>2.1.2 Employment (GRI 401-1)</w:t>
      </w:r>
    </w:p>
    <w:p>
      <w:pPr>
        <w:spacing w:after="160" w:line="276" w:lineRule="auto"/>
      </w:pPr>
      <w:r>
        <w:rPr>
          <w:rFonts w:ascii="Arial" w:hAnsi="Arial"/>
          <w:sz w:val="22"/>
        </w:rPr>
        <w:t>During 2024, the institution hired 2,595 new employees, representing a hiring rate of 10.38%. This marks a decrease from the 2023 hiring rate of 12.93%, reflecting a more measured approach to workforce expansion aligned with operational efficiency objectives. The voluntary turnover rate improved significantly to 8.45% in 2024, down from 14.24% in 2023—a 40.66% reduction year-over-year. This substantial improvement in retention indicates enhanced employee satisfaction and the effectiveness of talent management initiatives implemented during the reporting period.</w:t>
      </w:r>
    </w:p>
    <w:p>
      <w:pPr>
        <w:spacing w:after="160" w:line="276" w:lineRule="auto"/>
      </w:pPr>
      <w:r>
        <w:rPr>
          <w:rFonts w:ascii="Arial" w:hAnsi="Arial"/>
          <w:sz w:val="22"/>
        </w:rPr>
        <w:t>The 40.66% reduction in voluntary turnover represents a critical operational achievement, reducing recruitment costs and preserving institutional knowledge. The improved retention rate of 91.55% (inverse of 8.45% turnover) positions the institution favorably within the Indonesian banking sector, though continued monitoring is essential to sustain this performance amid competitive labor market conditions.</w:t>
      </w:r>
    </w:p>
    <w:p>
      <w:pPr>
        <w:pStyle w:val="Heading3"/>
        <w:keepNext/>
      </w:pPr>
      <w:r>
        <w:rPr>
          <w:rFonts w:ascii="Arial" w:hAnsi="Arial"/>
          <w:b/>
          <w:color w:val="4A7AB5"/>
          <w:sz w:val="24"/>
        </w:rPr>
        <w:t>2.1.3 Training &amp; Education (GRI 404-1)</w:t>
      </w:r>
    </w:p>
    <w:p>
      <w:pPr>
        <w:spacing w:after="160" w:line="276" w:lineRule="auto"/>
      </w:pPr>
      <w:r>
        <w:rPr>
          <w:rFonts w:ascii="Arial" w:hAnsi="Arial"/>
          <w:sz w:val="22"/>
        </w:rPr>
        <w:t>The institution provided an average of 49.3 training hours per FTE during 2024, representing a 23.14% decrease from 64.14 hours per FTE in 2023. This reduction reflects a strategic shift toward more targeted, competency-based learning interventions rather than volume-driven training programs. The training curriculum encompassed technical skills development, regulatory compliance, digital transformation capabilities, and sustainability awareness modules delivered through blended learning methodologies combining classroom instruction and digital platforms.</w:t>
      </w:r>
    </w:p>
    <w:p>
      <w:pPr>
        <w:spacing w:after="160" w:line="276" w:lineRule="auto"/>
      </w:pPr>
      <w:r>
        <w:rPr>
          <w:rFonts w:ascii="Arial" w:hAnsi="Arial"/>
          <w:sz w:val="22"/>
        </w:rPr>
        <w:t>While the 23.14% year-over-year decline in training hours may appear concerning, the institution prioritized training quality and relevance over quantity. However, at 49.3 hours per FTE, the institution falls below Indonesian banking sector benchmarks, where leading institutions such as BRI (62.4 hours) and OCBC Indonesia (62.6 hours) demonstrate higher training investments. This gap represents an opportunity to enhance workforce capability development, particularly in ESG competencies and digital transformation skills critical for future competitiveness.</w:t>
      </w:r>
    </w:p>
    <w:p>
      <w:pPr>
        <w:pStyle w:val="Heading3"/>
        <w:keepNext/>
      </w:pPr>
      <w:r>
        <w:rPr>
          <w:rFonts w:ascii="Arial" w:hAnsi="Arial"/>
          <w:b/>
          <w:color w:val="4A7AB5"/>
          <w:sz w:val="24"/>
        </w:rPr>
        <w:t>2.1.4 Diversity &amp; Equal Opportunity (GRI 405-1)</w:t>
      </w:r>
    </w:p>
    <w:p>
      <w:pPr>
        <w:spacing w:after="160" w:line="276" w:lineRule="auto"/>
      </w:pPr>
      <w:r>
        <w:rPr>
          <w:rFonts w:ascii="Arial" w:hAnsi="Arial"/>
          <w:sz w:val="22"/>
        </w:rPr>
        <w:t>Female representation in management positions stood at 26.67% as of December 31, 2024, declining 1.78 percentage points from 28.45% in 2023. This decrease, combined with the overall workforce gender composition shift, indicates challenges in advancing women into leadership roles despite organizational diversity commitments. The institution recognizes that achieving gender balance in management requires sustained focus on talent pipeline development, mentorship programs, and bias mitigation in promotion processes.</w:t>
      </w:r>
    </w:p>
    <w:p>
      <w:pPr>
        <w:spacing w:after="160" w:line="276" w:lineRule="auto"/>
      </w:pPr>
      <w:r>
        <w:rPr>
          <w:rFonts w:ascii="Arial" w:hAnsi="Arial"/>
          <w:sz w:val="22"/>
        </w:rPr>
        <w:t>The 26.67% female representation in management falls significantly below best practice benchmarks in the Indonesian banking sector. BCA achieved 61.6% female representation in management positions, while DBS Group maintains 38% female management representation with documented equal pay ratios of 1:0.99. The 1.78 percentage point decline year-over-year suggests structural barriers in the institution's leadership pipeline that require systematic intervention through targeted succession planning and sponsorship programs for high-potential female talent.</w:t>
      </w:r>
    </w:p>
    <w:p>
      <w:pPr>
        <w:pStyle w:val="Heading3"/>
        <w:keepNext/>
      </w:pPr>
      <w:r>
        <w:rPr>
          <w:rFonts w:ascii="Arial" w:hAnsi="Arial"/>
          <w:b/>
          <w:color w:val="4A7AB5"/>
          <w:sz w:val="24"/>
        </w:rPr>
        <w:t>2.1.5 Non-Discrimination (GRI 406-1)</w:t>
      </w:r>
    </w:p>
    <w:p>
      <w:pPr>
        <w:spacing w:after="160" w:line="276" w:lineRule="auto"/>
      </w:pPr>
      <w:r>
        <w:rPr>
          <w:rFonts w:ascii="Arial" w:hAnsi="Arial"/>
          <w:sz w:val="22"/>
        </w:rPr>
        <w:t>During the 2024 reporting period, the institution recorded 2 incidents of discrimination that were formally reported through internal grievance mechanisms. Both cases were investigated in accordance with the institution's Code of Conduct and Human Rights Policy. Remedial actions were implemented, including disciplinary measures for responsible parties and mandatory anti-discrimination training for affected departments. This represents a reduction from 3 discrimination cases reported in 2023, indicating improved workplace culture and the effectiveness of preventive measures implemented following prior incidents.</w:t>
      </w:r>
    </w:p>
    <w:p>
      <w:pPr>
        <w:spacing w:after="160" w:line="276" w:lineRule="auto"/>
      </w:pPr>
      <w:r>
        <w:rPr>
          <w:rFonts w:ascii="Arial" w:hAnsi="Arial"/>
          <w:sz w:val="22"/>
        </w:rPr>
        <w:t>The institution maintains a zero-tolerance policy toward discrimination based on gender, ethnicity, religion, age, disability, or any other protected characteristic. All reported incidents undergo thorough investigation by the Human Resources Division in coordination with the Compliance function. The institution's whistleblowing mechanism, accessible through multiple confidential channels, ensures employees can report concerns without fear of retaliation. Continuous improvement in discrimination prevention remains a strategic priority, with enhanced training programs and leadership accountability mechanisms planned for 2025.</w:t>
      </w:r>
    </w:p>
    <w:p>
      <w:pPr>
        <w:spacing w:after="160" w:line="276" w:lineRule="auto"/>
      </w:pPr>
      <w:r>
        <w:rPr>
          <w:rFonts w:ascii="Arial" w:hAnsi="Arial"/>
          <w:sz w:val="22"/>
        </w:rPr>
        <w:t>📋 DATA PROVENANCE: Source: HR Information System | EF: N/A | Methodology: GRI 401/404/405/406 | Quality: Tier 1 (primary data) | Validated: 2025-01-15 | Owner: Sustainability &amp; ESG Division</w:t>
      </w:r>
    </w:p>
    <w:p>
      <w:r>
        <w:rPr>
          <w:rFonts w:ascii="Arial" w:hAnsi="Arial"/>
          <w:b/>
          <w:sz w:val="20"/>
        </w:rPr>
        <w:t>Table 38: Table 2.1.1: Workforce Composition by Gender (GRI 2-7)</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Total FTE Employees</w:t>
            </w:r>
          </w:p>
        </w:tc>
        <w:tc>
          <w:tcPr>
            <w:tcW w:type="dxa" w:w="2257"/>
          </w:tcPr>
          <w:p>
            <w:pPr>
              <w:jc w:val="right"/>
            </w:pPr>
            <w:r>
              <w:rPr>
                <w:rFonts w:ascii="Arial" w:hAnsi="Arial"/>
                <w:sz w:val="18"/>
              </w:rPr>
              <w:t>24,997</w:t>
            </w:r>
          </w:p>
        </w:tc>
        <w:tc>
          <w:tcPr>
            <w:tcW w:type="dxa" w:w="2257"/>
          </w:tcPr>
          <w:p>
            <w:pPr>
              <w:jc w:val="right"/>
            </w:pPr>
            <w:r>
              <w:rPr>
                <w:rFonts w:ascii="Arial" w:hAnsi="Arial"/>
                <w:sz w:val="18"/>
              </w:rPr>
              <w:t>24,500</w:t>
            </w:r>
          </w:p>
        </w:tc>
        <w:tc>
          <w:tcPr>
            <w:tcW w:type="dxa" w:w="2257"/>
          </w:tcPr>
          <w:p>
            <w:r>
              <w:rPr>
                <w:rFonts w:ascii="Arial" w:hAnsi="Arial"/>
                <w:sz w:val="18"/>
              </w:rPr>
              <w:t>+497 (+2.03%)</w:t>
            </w:r>
          </w:p>
        </w:tc>
      </w:tr>
      <w:tr>
        <w:tc>
          <w:tcPr>
            <w:tcW w:type="dxa" w:w="2257"/>
            <w:shd w:fill="F2F6FC" w:val="clear"/>
          </w:tcPr>
          <w:p>
            <w:r>
              <w:rPr>
                <w:rFonts w:ascii="Arial" w:hAnsi="Arial"/>
                <w:sz w:val="18"/>
              </w:rPr>
              <w:t>Female Employees</w:t>
            </w:r>
          </w:p>
        </w:tc>
        <w:tc>
          <w:tcPr>
            <w:tcW w:type="dxa" w:w="2257"/>
            <w:shd w:fill="F2F6FC" w:val="clear"/>
          </w:tcPr>
          <w:p>
            <w:pPr>
              <w:jc w:val="right"/>
            </w:pPr>
            <w:r>
              <w:rPr>
                <w:rFonts w:ascii="Arial" w:hAnsi="Arial"/>
                <w:sz w:val="18"/>
              </w:rPr>
              <w:t>10,579</w:t>
            </w:r>
          </w:p>
        </w:tc>
        <w:tc>
          <w:tcPr>
            <w:tcW w:type="dxa" w:w="2257"/>
            <w:shd w:fill="F2F6FC" w:val="clear"/>
          </w:tcPr>
          <w:p>
            <w:pPr>
              <w:jc w:val="right"/>
            </w:pPr>
            <w:r>
              <w:rPr>
                <w:rFonts w:ascii="Arial" w:hAnsi="Arial"/>
                <w:sz w:val="18"/>
              </w:rPr>
              <w:t>11,319</w:t>
            </w:r>
          </w:p>
        </w:tc>
        <w:tc>
          <w:tcPr>
            <w:tcW w:type="dxa" w:w="2257"/>
            <w:shd w:fill="F2F6FC" w:val="clear"/>
          </w:tcPr>
          <w:p>
            <w:r>
              <w:rPr>
                <w:rFonts w:ascii="Arial" w:hAnsi="Arial"/>
                <w:sz w:val="18"/>
              </w:rPr>
              <w:t>-740 (-6.54%)</w:t>
            </w:r>
          </w:p>
        </w:tc>
      </w:tr>
      <w:tr>
        <w:tc>
          <w:tcPr>
            <w:tcW w:type="dxa" w:w="2257"/>
          </w:tcPr>
          <w:p>
            <w:r>
              <w:rPr>
                <w:rFonts w:ascii="Arial" w:hAnsi="Arial"/>
                <w:sz w:val="18"/>
              </w:rPr>
              <w:t>Male Employees</w:t>
            </w:r>
          </w:p>
        </w:tc>
        <w:tc>
          <w:tcPr>
            <w:tcW w:type="dxa" w:w="2257"/>
          </w:tcPr>
          <w:p>
            <w:pPr>
              <w:jc w:val="right"/>
            </w:pPr>
            <w:r>
              <w:rPr>
                <w:rFonts w:ascii="Arial" w:hAnsi="Arial"/>
                <w:sz w:val="18"/>
              </w:rPr>
              <w:t>14,418</w:t>
            </w:r>
          </w:p>
        </w:tc>
        <w:tc>
          <w:tcPr>
            <w:tcW w:type="dxa" w:w="2257"/>
          </w:tcPr>
          <w:p>
            <w:pPr>
              <w:jc w:val="right"/>
            </w:pPr>
            <w:r>
              <w:rPr>
                <w:rFonts w:ascii="Arial" w:hAnsi="Arial"/>
                <w:sz w:val="18"/>
              </w:rPr>
              <w:t>13,181</w:t>
            </w:r>
          </w:p>
        </w:tc>
        <w:tc>
          <w:tcPr>
            <w:tcW w:type="dxa" w:w="2257"/>
          </w:tcPr>
          <w:p>
            <w:r>
              <w:rPr>
                <w:rFonts w:ascii="Arial" w:hAnsi="Arial"/>
                <w:sz w:val="18"/>
              </w:rPr>
              <w:t>+1,237 (+9.38%)</w:t>
            </w:r>
          </w:p>
        </w:tc>
      </w:tr>
      <w:tr>
        <w:tc>
          <w:tcPr>
            <w:tcW w:type="dxa" w:w="2257"/>
            <w:shd w:fill="F2F6FC" w:val="clear"/>
          </w:tcPr>
          <w:p>
            <w:r>
              <w:rPr>
                <w:rFonts w:ascii="Arial" w:hAnsi="Arial"/>
                <w:sz w:val="18"/>
              </w:rPr>
              <w:t>Female Representation (%)</w:t>
            </w:r>
          </w:p>
        </w:tc>
        <w:tc>
          <w:tcPr>
            <w:tcW w:type="dxa" w:w="2257"/>
            <w:shd w:fill="F2F6FC" w:val="clear"/>
          </w:tcPr>
          <w:p>
            <w:pPr>
              <w:jc w:val="right"/>
            </w:pPr>
            <w:r>
              <w:rPr>
                <w:rFonts w:ascii="Arial" w:hAnsi="Arial"/>
                <w:sz w:val="18"/>
              </w:rPr>
              <w:t>42.32%</w:t>
            </w:r>
          </w:p>
        </w:tc>
        <w:tc>
          <w:tcPr>
            <w:tcW w:type="dxa" w:w="2257"/>
            <w:shd w:fill="F2F6FC" w:val="clear"/>
          </w:tcPr>
          <w:p>
            <w:pPr>
              <w:jc w:val="right"/>
            </w:pPr>
            <w:r>
              <w:rPr>
                <w:rFonts w:ascii="Arial" w:hAnsi="Arial"/>
                <w:sz w:val="18"/>
              </w:rPr>
              <w:t>46.2%</w:t>
            </w:r>
          </w:p>
        </w:tc>
        <w:tc>
          <w:tcPr>
            <w:tcW w:type="dxa" w:w="2257"/>
            <w:shd w:fill="F2F6FC" w:val="clear"/>
          </w:tcPr>
          <w:p>
            <w:r>
              <w:rPr>
                <w:rFonts w:ascii="Arial" w:hAnsi="Arial"/>
                <w:sz w:val="18"/>
              </w:rPr>
              <w:t>-3.88 pp</w:t>
            </w:r>
          </w:p>
        </w:tc>
      </w:tr>
      <w:tr>
        <w:tc>
          <w:tcPr>
            <w:tcW w:type="dxa" w:w="2257"/>
          </w:tcPr>
          <w:p>
            <w:r>
              <w:rPr>
                <w:rFonts w:ascii="Arial" w:hAnsi="Arial"/>
                <w:sz w:val="18"/>
              </w:rPr>
              <w:t>Male Representation (%)</w:t>
            </w:r>
          </w:p>
        </w:tc>
        <w:tc>
          <w:tcPr>
            <w:tcW w:type="dxa" w:w="2257"/>
          </w:tcPr>
          <w:p>
            <w:pPr>
              <w:jc w:val="right"/>
            </w:pPr>
            <w:r>
              <w:rPr>
                <w:rFonts w:ascii="Arial" w:hAnsi="Arial"/>
                <w:sz w:val="18"/>
              </w:rPr>
              <w:t>57.68%</w:t>
            </w:r>
          </w:p>
        </w:tc>
        <w:tc>
          <w:tcPr>
            <w:tcW w:type="dxa" w:w="2257"/>
          </w:tcPr>
          <w:p>
            <w:pPr>
              <w:jc w:val="right"/>
            </w:pPr>
            <w:r>
              <w:rPr>
                <w:rFonts w:ascii="Arial" w:hAnsi="Arial"/>
                <w:sz w:val="18"/>
              </w:rPr>
              <w:t>53.8%</w:t>
            </w:r>
          </w:p>
        </w:tc>
        <w:tc>
          <w:tcPr>
            <w:tcW w:type="dxa" w:w="2257"/>
          </w:tcPr>
          <w:p>
            <w:r>
              <w:rPr>
                <w:rFonts w:ascii="Arial" w:hAnsi="Arial"/>
                <w:sz w:val="18"/>
              </w:rPr>
              <w:t>+3.88 pp</w:t>
            </w:r>
          </w:p>
        </w:tc>
      </w:tr>
    </w:tbl>
    <w:p>
      <w:r>
        <w:rPr>
          <w:rFonts w:ascii="Arial" w:hAnsi="Arial"/>
          <w:i/>
          <w:sz w:val="16"/>
        </w:rPr>
        <w:t>Source: Source: HR Information System. Data as of December 31 for each reporting year.</w:t>
      </w:r>
    </w:p>
    <w:p/>
    <w:p>
      <w:r>
        <w:rPr>
          <w:rFonts w:ascii="Arial" w:hAnsi="Arial"/>
          <w:b/>
          <w:sz w:val="20"/>
        </w:rPr>
        <w:t>Table 40: Table 2.1.2: Employment Indicators (GRI 401-1)</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YoY Change</w:t>
            </w:r>
          </w:p>
        </w:tc>
      </w:tr>
      <w:tr>
        <w:tc>
          <w:tcPr>
            <w:tcW w:type="dxa" w:w="2257"/>
          </w:tcPr>
          <w:p>
            <w:r>
              <w:rPr>
                <w:rFonts w:ascii="Arial" w:hAnsi="Arial"/>
                <w:sz w:val="18"/>
              </w:rPr>
              <w:t>New Hires</w:t>
            </w:r>
          </w:p>
        </w:tc>
        <w:tc>
          <w:tcPr>
            <w:tcW w:type="dxa" w:w="2257"/>
          </w:tcPr>
          <w:p>
            <w:pPr>
              <w:jc w:val="right"/>
            </w:pPr>
            <w:r>
              <w:rPr>
                <w:rFonts w:ascii="Arial" w:hAnsi="Arial"/>
                <w:sz w:val="18"/>
              </w:rPr>
              <w:t>2,595</w:t>
            </w:r>
          </w:p>
        </w:tc>
        <w:tc>
          <w:tcPr>
            <w:tcW w:type="dxa" w:w="2257"/>
          </w:tcPr>
          <w:p>
            <w:pPr>
              <w:jc w:val="right"/>
            </w:pPr>
            <w:r>
              <w:rPr>
                <w:rFonts w:ascii="Arial" w:hAnsi="Arial"/>
                <w:sz w:val="18"/>
              </w:rPr>
              <w:t>3,169</w:t>
            </w:r>
          </w:p>
        </w:tc>
        <w:tc>
          <w:tcPr>
            <w:tcW w:type="dxa" w:w="2257"/>
          </w:tcPr>
          <w:p>
            <w:r>
              <w:rPr>
                <w:rFonts w:ascii="Arial" w:hAnsi="Arial"/>
                <w:sz w:val="18"/>
              </w:rPr>
              <w:t>-574 (-18.11%)</w:t>
            </w:r>
          </w:p>
        </w:tc>
      </w:tr>
      <w:tr>
        <w:tc>
          <w:tcPr>
            <w:tcW w:type="dxa" w:w="2257"/>
            <w:shd w:fill="F2F6FC" w:val="clear"/>
          </w:tcPr>
          <w:p>
            <w:r>
              <w:rPr>
                <w:rFonts w:ascii="Arial" w:hAnsi="Arial"/>
                <w:sz w:val="18"/>
              </w:rPr>
              <w:t>Hiring Rate (%)</w:t>
            </w:r>
          </w:p>
        </w:tc>
        <w:tc>
          <w:tcPr>
            <w:tcW w:type="dxa" w:w="2257"/>
            <w:shd w:fill="F2F6FC" w:val="clear"/>
          </w:tcPr>
          <w:p>
            <w:pPr>
              <w:jc w:val="right"/>
            </w:pPr>
            <w:r>
              <w:rPr>
                <w:rFonts w:ascii="Arial" w:hAnsi="Arial"/>
                <w:sz w:val="18"/>
              </w:rPr>
              <w:t>10.38%</w:t>
            </w:r>
          </w:p>
        </w:tc>
        <w:tc>
          <w:tcPr>
            <w:tcW w:type="dxa" w:w="2257"/>
            <w:shd w:fill="F2F6FC" w:val="clear"/>
          </w:tcPr>
          <w:p>
            <w:pPr>
              <w:jc w:val="right"/>
            </w:pPr>
            <w:r>
              <w:rPr>
                <w:rFonts w:ascii="Arial" w:hAnsi="Arial"/>
                <w:sz w:val="18"/>
              </w:rPr>
              <w:t>12.93%</w:t>
            </w:r>
          </w:p>
        </w:tc>
        <w:tc>
          <w:tcPr>
            <w:tcW w:type="dxa" w:w="2257"/>
            <w:shd w:fill="F2F6FC" w:val="clear"/>
          </w:tcPr>
          <w:p>
            <w:r>
              <w:rPr>
                <w:rFonts w:ascii="Arial" w:hAnsi="Arial"/>
                <w:sz w:val="18"/>
              </w:rPr>
              <w:t>-2.55 pp</w:t>
            </w:r>
          </w:p>
        </w:tc>
      </w:tr>
      <w:tr>
        <w:tc>
          <w:tcPr>
            <w:tcW w:type="dxa" w:w="2257"/>
          </w:tcPr>
          <w:p>
            <w:r>
              <w:rPr>
                <w:rFonts w:ascii="Arial" w:hAnsi="Arial"/>
                <w:sz w:val="18"/>
              </w:rPr>
              <w:t>Voluntary Turnover Rate (%)</w:t>
            </w:r>
          </w:p>
        </w:tc>
        <w:tc>
          <w:tcPr>
            <w:tcW w:type="dxa" w:w="2257"/>
          </w:tcPr>
          <w:p>
            <w:pPr>
              <w:jc w:val="right"/>
            </w:pPr>
            <w:r>
              <w:rPr>
                <w:rFonts w:ascii="Arial" w:hAnsi="Arial"/>
                <w:sz w:val="18"/>
              </w:rPr>
              <w:t>8.45%</w:t>
            </w:r>
          </w:p>
        </w:tc>
        <w:tc>
          <w:tcPr>
            <w:tcW w:type="dxa" w:w="2257"/>
          </w:tcPr>
          <w:p>
            <w:pPr>
              <w:jc w:val="right"/>
            </w:pPr>
            <w:r>
              <w:rPr>
                <w:rFonts w:ascii="Arial" w:hAnsi="Arial"/>
                <w:sz w:val="18"/>
              </w:rPr>
              <w:t>14.24%</w:t>
            </w:r>
          </w:p>
        </w:tc>
        <w:tc>
          <w:tcPr>
            <w:tcW w:type="dxa" w:w="2257"/>
          </w:tcPr>
          <w:p>
            <w:r>
              <w:rPr>
                <w:rFonts w:ascii="Arial" w:hAnsi="Arial"/>
                <w:sz w:val="18"/>
              </w:rPr>
              <w:t>-5.79 pp (-40.66%)</w:t>
            </w:r>
          </w:p>
        </w:tc>
      </w:tr>
      <w:tr>
        <w:tc>
          <w:tcPr>
            <w:tcW w:type="dxa" w:w="2257"/>
            <w:shd w:fill="F2F6FC" w:val="clear"/>
          </w:tcPr>
          <w:p>
            <w:r>
              <w:rPr>
                <w:rFonts w:ascii="Arial" w:hAnsi="Arial"/>
                <w:sz w:val="18"/>
              </w:rPr>
              <w:t>Retention Rate (%)</w:t>
            </w:r>
          </w:p>
        </w:tc>
        <w:tc>
          <w:tcPr>
            <w:tcW w:type="dxa" w:w="2257"/>
            <w:shd w:fill="F2F6FC" w:val="clear"/>
          </w:tcPr>
          <w:p>
            <w:pPr>
              <w:jc w:val="right"/>
            </w:pPr>
            <w:r>
              <w:rPr>
                <w:rFonts w:ascii="Arial" w:hAnsi="Arial"/>
                <w:sz w:val="18"/>
              </w:rPr>
              <w:t>91.55%</w:t>
            </w:r>
          </w:p>
        </w:tc>
        <w:tc>
          <w:tcPr>
            <w:tcW w:type="dxa" w:w="2257"/>
            <w:shd w:fill="F2F6FC" w:val="clear"/>
          </w:tcPr>
          <w:p>
            <w:pPr>
              <w:jc w:val="right"/>
            </w:pPr>
            <w:r>
              <w:rPr>
                <w:rFonts w:ascii="Arial" w:hAnsi="Arial"/>
                <w:sz w:val="18"/>
              </w:rPr>
              <w:t>85.76%</w:t>
            </w:r>
          </w:p>
        </w:tc>
        <w:tc>
          <w:tcPr>
            <w:tcW w:type="dxa" w:w="2257"/>
            <w:shd w:fill="F2F6FC" w:val="clear"/>
          </w:tcPr>
          <w:p>
            <w:r>
              <w:rPr>
                <w:rFonts w:ascii="Arial" w:hAnsi="Arial"/>
                <w:sz w:val="18"/>
              </w:rPr>
              <w:t>+5.79 pp</w:t>
            </w:r>
          </w:p>
        </w:tc>
      </w:tr>
    </w:tbl>
    <w:p>
      <w:r>
        <w:rPr>
          <w:rFonts w:ascii="Arial" w:hAnsi="Arial"/>
          <w:i/>
          <w:sz w:val="16"/>
        </w:rPr>
        <w:t>Source: Source: HR Information System. Hiring rate = new hires / average headcount. Voluntary turnover excludes retirements and involuntary separations.</w:t>
      </w:r>
    </w:p>
    <w:p/>
    <w:p>
      <w:r>
        <w:rPr>
          <w:rFonts w:ascii="Arial" w:hAnsi="Arial"/>
          <w:b/>
          <w:sz w:val="20"/>
        </w:rPr>
        <w:t>Table 42: Table 2.1.3: Training &amp; Development Metrics (GRI 404-1)</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YoY Change</w:t>
            </w:r>
          </w:p>
        </w:tc>
      </w:tr>
      <w:tr>
        <w:tc>
          <w:tcPr>
            <w:tcW w:type="dxa" w:w="2257"/>
          </w:tcPr>
          <w:p>
            <w:r>
              <w:rPr>
                <w:rFonts w:ascii="Arial" w:hAnsi="Arial"/>
                <w:sz w:val="18"/>
              </w:rPr>
              <w:t>Average Training Hours per FTE</w:t>
            </w:r>
          </w:p>
        </w:tc>
        <w:tc>
          <w:tcPr>
            <w:tcW w:type="dxa" w:w="2257"/>
          </w:tcPr>
          <w:p>
            <w:pPr>
              <w:jc w:val="right"/>
            </w:pPr>
            <w:r>
              <w:rPr>
                <w:rFonts w:ascii="Arial" w:hAnsi="Arial"/>
                <w:sz w:val="18"/>
              </w:rPr>
              <w:t>49.3</w:t>
            </w:r>
          </w:p>
        </w:tc>
        <w:tc>
          <w:tcPr>
            <w:tcW w:type="dxa" w:w="2257"/>
          </w:tcPr>
          <w:p>
            <w:pPr>
              <w:jc w:val="right"/>
            </w:pPr>
            <w:r>
              <w:rPr>
                <w:rFonts w:ascii="Arial" w:hAnsi="Arial"/>
                <w:sz w:val="18"/>
              </w:rPr>
              <w:t>64.14</w:t>
            </w:r>
          </w:p>
        </w:tc>
        <w:tc>
          <w:tcPr>
            <w:tcW w:type="dxa" w:w="2257"/>
          </w:tcPr>
          <w:p>
            <w:r>
              <w:rPr>
                <w:rFonts w:ascii="Arial" w:hAnsi="Arial"/>
                <w:sz w:val="18"/>
              </w:rPr>
              <w:t>-14.84 (-23.14%)</w:t>
            </w:r>
          </w:p>
        </w:tc>
      </w:tr>
      <w:tr>
        <w:tc>
          <w:tcPr>
            <w:tcW w:type="dxa" w:w="2257"/>
            <w:shd w:fill="F2F6FC" w:val="clear"/>
          </w:tcPr>
          <w:p>
            <w:r>
              <w:rPr>
                <w:rFonts w:ascii="Arial" w:hAnsi="Arial"/>
                <w:sz w:val="18"/>
              </w:rPr>
              <w:t>Total Training Hours Delivered</w:t>
            </w:r>
          </w:p>
        </w:tc>
        <w:tc>
          <w:tcPr>
            <w:tcW w:type="dxa" w:w="2257"/>
            <w:shd w:fill="F2F6FC" w:val="clear"/>
          </w:tcPr>
          <w:p>
            <w:pPr>
              <w:jc w:val="right"/>
            </w:pPr>
            <w:r>
              <w:rPr>
                <w:rFonts w:ascii="Arial" w:hAnsi="Arial"/>
                <w:sz w:val="18"/>
              </w:rPr>
              <w:t>1,232,332</w:t>
            </w:r>
          </w:p>
        </w:tc>
        <w:tc>
          <w:tcPr>
            <w:tcW w:type="dxa" w:w="2257"/>
            <w:shd w:fill="F2F6FC" w:val="clear"/>
          </w:tcPr>
          <w:p>
            <w:pPr>
              <w:jc w:val="right"/>
            </w:pPr>
            <w:r>
              <w:rPr>
                <w:rFonts w:ascii="Arial" w:hAnsi="Arial"/>
                <w:sz w:val="18"/>
              </w:rPr>
              <w:t>1,571,430</w:t>
            </w:r>
          </w:p>
        </w:tc>
        <w:tc>
          <w:tcPr>
            <w:tcW w:type="dxa" w:w="2257"/>
            <w:shd w:fill="F2F6FC" w:val="clear"/>
          </w:tcPr>
          <w:p>
            <w:r>
              <w:rPr>
                <w:rFonts w:ascii="Arial" w:hAnsi="Arial"/>
                <w:sz w:val="18"/>
              </w:rPr>
              <w:t>-339,098 (-21.58%)</w:t>
            </w:r>
          </w:p>
        </w:tc>
      </w:tr>
      <w:tr>
        <w:tc>
          <w:tcPr>
            <w:tcW w:type="dxa" w:w="2257"/>
          </w:tcPr>
          <w:p>
            <w:r>
              <w:rPr>
                <w:rFonts w:ascii="Arial" w:hAnsi="Arial"/>
                <w:sz w:val="18"/>
              </w:rPr>
              <w:t>Training Investment per FTE (IDR million)</w:t>
            </w:r>
          </w:p>
        </w:tc>
        <w:tc>
          <w:tcPr>
            <w:tcW w:type="dxa" w:w="2257"/>
          </w:tcPr>
          <w:p>
            <w:r>
              <w:rPr>
                <w:rFonts w:ascii="Arial" w:hAnsi="Arial"/>
                <w:sz w:val="18"/>
              </w:rPr>
              <w:t>~6.5</w:t>
            </w:r>
          </w:p>
        </w:tc>
        <w:tc>
          <w:tcPr>
            <w:tcW w:type="dxa" w:w="2257"/>
          </w:tcPr>
          <w:p>
            <w:r>
              <w:rPr>
                <w:rFonts w:ascii="Arial" w:hAnsi="Arial"/>
                <w:sz w:val="18"/>
              </w:rPr>
              <w:t>~8.2</w:t>
            </w:r>
          </w:p>
        </w:tc>
        <w:tc>
          <w:tcPr>
            <w:tcW w:type="dxa" w:w="2257"/>
          </w:tcPr>
          <w:p>
            <w:r>
              <w:rPr>
                <w:rFonts w:ascii="Arial" w:hAnsi="Arial"/>
                <w:sz w:val="18"/>
              </w:rPr>
              <w:t>-1.7 (-20.73%)</w:t>
            </w:r>
          </w:p>
        </w:tc>
      </w:tr>
    </w:tbl>
    <w:p>
      <w:r>
        <w:rPr>
          <w:rFonts w:ascii="Arial" w:hAnsi="Arial"/>
          <w:i/>
          <w:sz w:val="16"/>
        </w:rPr>
        <w:t>Source: Source: Learning &amp; Development System. Training hours include classroom, e-learning, and on-the-job training. Investment figures are estimates based on L&amp;D budget allocation.</w:t>
      </w:r>
    </w:p>
    <w:p/>
    <w:p>
      <w:r>
        <w:rPr>
          <w:rFonts w:ascii="Arial" w:hAnsi="Arial"/>
          <w:b/>
          <w:sz w:val="20"/>
        </w:rPr>
        <w:t>Table 44: Table 2.1.4: Diversity Indicators (GRI 405-1)</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Female in Management (%)</w:t>
            </w:r>
          </w:p>
        </w:tc>
        <w:tc>
          <w:tcPr>
            <w:tcW w:type="dxa" w:w="2257"/>
          </w:tcPr>
          <w:p>
            <w:pPr>
              <w:jc w:val="right"/>
            </w:pPr>
            <w:r>
              <w:rPr>
                <w:rFonts w:ascii="Arial" w:hAnsi="Arial"/>
                <w:sz w:val="18"/>
              </w:rPr>
              <w:t>26.67%</w:t>
            </w:r>
          </w:p>
        </w:tc>
        <w:tc>
          <w:tcPr>
            <w:tcW w:type="dxa" w:w="2257"/>
          </w:tcPr>
          <w:p>
            <w:pPr>
              <w:jc w:val="right"/>
            </w:pPr>
            <w:r>
              <w:rPr>
                <w:rFonts w:ascii="Arial" w:hAnsi="Arial"/>
                <w:sz w:val="18"/>
              </w:rPr>
              <w:t>28.45%</w:t>
            </w:r>
          </w:p>
        </w:tc>
        <w:tc>
          <w:tcPr>
            <w:tcW w:type="dxa" w:w="2257"/>
          </w:tcPr>
          <w:p>
            <w:r>
              <w:rPr>
                <w:rFonts w:ascii="Arial" w:hAnsi="Arial"/>
                <w:sz w:val="18"/>
              </w:rPr>
              <w:t>-1.78 pp</w:t>
            </w:r>
          </w:p>
        </w:tc>
      </w:tr>
      <w:tr>
        <w:tc>
          <w:tcPr>
            <w:tcW w:type="dxa" w:w="2257"/>
            <w:shd w:fill="F2F6FC" w:val="clear"/>
          </w:tcPr>
          <w:p>
            <w:r>
              <w:rPr>
                <w:rFonts w:ascii="Arial" w:hAnsi="Arial"/>
                <w:sz w:val="18"/>
              </w:rPr>
              <w:t>Male in Management (%)</w:t>
            </w:r>
          </w:p>
        </w:tc>
        <w:tc>
          <w:tcPr>
            <w:tcW w:type="dxa" w:w="2257"/>
            <w:shd w:fill="F2F6FC" w:val="clear"/>
          </w:tcPr>
          <w:p>
            <w:pPr>
              <w:jc w:val="right"/>
            </w:pPr>
            <w:r>
              <w:rPr>
                <w:rFonts w:ascii="Arial" w:hAnsi="Arial"/>
                <w:sz w:val="18"/>
              </w:rPr>
              <w:t>73.33%</w:t>
            </w:r>
          </w:p>
        </w:tc>
        <w:tc>
          <w:tcPr>
            <w:tcW w:type="dxa" w:w="2257"/>
            <w:shd w:fill="F2F6FC" w:val="clear"/>
          </w:tcPr>
          <w:p>
            <w:pPr>
              <w:jc w:val="right"/>
            </w:pPr>
            <w:r>
              <w:rPr>
                <w:rFonts w:ascii="Arial" w:hAnsi="Arial"/>
                <w:sz w:val="18"/>
              </w:rPr>
              <w:t>71.55%</w:t>
            </w:r>
          </w:p>
        </w:tc>
        <w:tc>
          <w:tcPr>
            <w:tcW w:type="dxa" w:w="2257"/>
            <w:shd w:fill="F2F6FC" w:val="clear"/>
          </w:tcPr>
          <w:p>
            <w:r>
              <w:rPr>
                <w:rFonts w:ascii="Arial" w:hAnsi="Arial"/>
                <w:sz w:val="18"/>
              </w:rPr>
              <w:t>+1.78 pp</w:t>
            </w:r>
          </w:p>
        </w:tc>
      </w:tr>
      <w:tr>
        <w:tc>
          <w:tcPr>
            <w:tcW w:type="dxa" w:w="2257"/>
          </w:tcPr>
          <w:p>
            <w:r>
              <w:rPr>
                <w:rFonts w:ascii="Arial" w:hAnsi="Arial"/>
                <w:sz w:val="18"/>
              </w:rPr>
              <w:t>Overall Female Representation (%)</w:t>
            </w:r>
          </w:p>
        </w:tc>
        <w:tc>
          <w:tcPr>
            <w:tcW w:type="dxa" w:w="2257"/>
          </w:tcPr>
          <w:p>
            <w:pPr>
              <w:jc w:val="right"/>
            </w:pPr>
            <w:r>
              <w:rPr>
                <w:rFonts w:ascii="Arial" w:hAnsi="Arial"/>
                <w:sz w:val="18"/>
              </w:rPr>
              <w:t>42.32%</w:t>
            </w:r>
          </w:p>
        </w:tc>
        <w:tc>
          <w:tcPr>
            <w:tcW w:type="dxa" w:w="2257"/>
          </w:tcPr>
          <w:p>
            <w:pPr>
              <w:jc w:val="right"/>
            </w:pPr>
            <w:r>
              <w:rPr>
                <w:rFonts w:ascii="Arial" w:hAnsi="Arial"/>
                <w:sz w:val="18"/>
              </w:rPr>
              <w:t>46.2%</w:t>
            </w:r>
          </w:p>
        </w:tc>
        <w:tc>
          <w:tcPr>
            <w:tcW w:type="dxa" w:w="2257"/>
          </w:tcPr>
          <w:p>
            <w:r>
              <w:rPr>
                <w:rFonts w:ascii="Arial" w:hAnsi="Arial"/>
                <w:sz w:val="18"/>
              </w:rPr>
              <w:t>-3.88 pp</w:t>
            </w:r>
          </w:p>
        </w:tc>
      </w:tr>
      <w:tr>
        <w:tc>
          <w:tcPr>
            <w:tcW w:type="dxa" w:w="2257"/>
            <w:shd w:fill="F2F6FC" w:val="clear"/>
          </w:tcPr>
          <w:p>
            <w:r>
              <w:rPr>
                <w:rFonts w:ascii="Arial" w:hAnsi="Arial"/>
                <w:sz w:val="18"/>
              </w:rPr>
              <w:t>Gender Pay Ratio (F:M)</w:t>
            </w:r>
          </w:p>
        </w:tc>
        <w:tc>
          <w:tcPr>
            <w:tcW w:type="dxa" w:w="2257"/>
            <w:shd w:fill="F2F6FC" w:val="clear"/>
          </w:tcPr>
          <w:p>
            <w:r>
              <w:rPr>
                <w:rFonts w:ascii="Arial" w:hAnsi="Arial"/>
                <w:sz w:val="18"/>
              </w:rPr>
              <w:t>Not Disclosed</w:t>
            </w:r>
          </w:p>
        </w:tc>
        <w:tc>
          <w:tcPr>
            <w:tcW w:type="dxa" w:w="2257"/>
            <w:shd w:fill="F2F6FC" w:val="clear"/>
          </w:tcPr>
          <w:p>
            <w:r>
              <w:rPr>
                <w:rFonts w:ascii="Arial" w:hAnsi="Arial"/>
                <w:sz w:val="18"/>
              </w:rPr>
              <w:t>Not Disclosed</w:t>
            </w:r>
          </w:p>
        </w:tc>
        <w:tc>
          <w:tcPr>
            <w:tcW w:type="dxa" w:w="2257"/>
            <w:shd w:fill="F2F6FC" w:val="clear"/>
          </w:tcPr>
          <w:p>
            <w:r>
              <w:rPr>
                <w:rFonts w:ascii="Arial" w:hAnsi="Arial"/>
                <w:sz w:val="18"/>
              </w:rPr>
              <w:t>—</w:t>
            </w:r>
          </w:p>
        </w:tc>
      </w:tr>
    </w:tbl>
    <w:p>
      <w:r>
        <w:rPr>
          <w:rFonts w:ascii="Arial" w:hAnsi="Arial"/>
          <w:i/>
          <w:sz w:val="16"/>
        </w:rPr>
        <w:t>Source: Source: HR Information System. Management defined as positions at Assistant Vice President level and above. Gender pay ratio data not yet captured in reporting system.</w:t>
      </w:r>
    </w:p>
    <w:p/>
    <w:p>
      <w:r>
        <w:rPr>
          <w:rFonts w:ascii="Arial" w:hAnsi="Arial"/>
          <w:b/>
          <w:sz w:val="20"/>
        </w:rPr>
        <w:t>Table 46: Table 2.1.5: Non-Discrimination Incidents (GRI 406-1)</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Metric</w:t>
            </w:r>
          </w:p>
        </w:tc>
        <w:tc>
          <w:tcPr>
            <w:tcW w:type="dxa" w:w="3010"/>
            <w:shd w:fill="1B3A6B" w:val="clear"/>
          </w:tcPr>
          <w:p>
            <w:r>
              <w:rPr>
                <w:rFonts w:ascii="Arial" w:hAnsi="Arial"/>
                <w:b/>
                <w:color w:val="FFFFFF"/>
                <w:sz w:val="18"/>
              </w:rPr>
              <w:t>2024</w:t>
            </w:r>
          </w:p>
        </w:tc>
        <w:tc>
          <w:tcPr>
            <w:tcW w:type="dxa" w:w="3010"/>
            <w:shd w:fill="1B3A6B" w:val="clear"/>
          </w:tcPr>
          <w:p>
            <w:r>
              <w:rPr>
                <w:rFonts w:ascii="Arial" w:hAnsi="Arial"/>
                <w:b/>
                <w:color w:val="FFFFFF"/>
                <w:sz w:val="18"/>
              </w:rPr>
              <w:t>2023</w:t>
            </w:r>
          </w:p>
        </w:tc>
      </w:tr>
      <w:tr>
        <w:tc>
          <w:tcPr>
            <w:tcW w:type="dxa" w:w="3010"/>
          </w:tcPr>
          <w:p>
            <w:r>
              <w:rPr>
                <w:rFonts w:ascii="Arial" w:hAnsi="Arial"/>
                <w:sz w:val="18"/>
              </w:rPr>
              <w:t>Discrimination Cases Reported</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r>
        <w:tc>
          <w:tcPr>
            <w:tcW w:type="dxa" w:w="3010"/>
            <w:shd w:fill="F2F6FC" w:val="clear"/>
          </w:tcPr>
          <w:p>
            <w:r>
              <w:rPr>
                <w:rFonts w:ascii="Arial" w:hAnsi="Arial"/>
                <w:sz w:val="18"/>
              </w:rPr>
              <w:t>Cases Investigated</w:t>
            </w:r>
          </w:p>
        </w:tc>
        <w:tc>
          <w:tcPr>
            <w:tcW w:type="dxa" w:w="3010"/>
            <w:shd w:fill="F2F6FC" w:val="clear"/>
          </w:tcPr>
          <w:p>
            <w:pPr>
              <w:jc w:val="right"/>
            </w:pPr>
            <w:r>
              <w:rPr>
                <w:rFonts w:ascii="Arial" w:hAnsi="Arial"/>
                <w:sz w:val="18"/>
              </w:rPr>
              <w:t>2</w:t>
            </w:r>
          </w:p>
        </w:tc>
        <w:tc>
          <w:tcPr>
            <w:tcW w:type="dxa" w:w="3010"/>
            <w:shd w:fill="F2F6FC" w:val="clear"/>
          </w:tcPr>
          <w:p>
            <w:pPr>
              <w:jc w:val="right"/>
            </w:pPr>
            <w:r>
              <w:rPr>
                <w:rFonts w:ascii="Arial" w:hAnsi="Arial"/>
                <w:sz w:val="18"/>
              </w:rPr>
              <w:t>3</w:t>
            </w:r>
          </w:p>
        </w:tc>
      </w:tr>
      <w:tr>
        <w:tc>
          <w:tcPr>
            <w:tcW w:type="dxa" w:w="3010"/>
          </w:tcPr>
          <w:p>
            <w:r>
              <w:rPr>
                <w:rFonts w:ascii="Arial" w:hAnsi="Arial"/>
                <w:sz w:val="18"/>
              </w:rPr>
              <w:t>Cases Substantiated</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r>
        <w:tc>
          <w:tcPr>
            <w:tcW w:type="dxa" w:w="3010"/>
            <w:shd w:fill="F2F6FC" w:val="clear"/>
          </w:tcPr>
          <w:p>
            <w:r>
              <w:rPr>
                <w:rFonts w:ascii="Arial" w:hAnsi="Arial"/>
                <w:sz w:val="18"/>
              </w:rPr>
              <w:t>Remedial Actions Taken</w:t>
            </w:r>
          </w:p>
        </w:tc>
        <w:tc>
          <w:tcPr>
            <w:tcW w:type="dxa" w:w="3010"/>
            <w:shd w:fill="F2F6FC" w:val="clear"/>
          </w:tcPr>
          <w:p>
            <w:pPr>
              <w:jc w:val="right"/>
            </w:pPr>
            <w:r>
              <w:rPr>
                <w:rFonts w:ascii="Arial" w:hAnsi="Arial"/>
                <w:sz w:val="18"/>
              </w:rPr>
              <w:t>2</w:t>
            </w:r>
          </w:p>
        </w:tc>
        <w:tc>
          <w:tcPr>
            <w:tcW w:type="dxa" w:w="3010"/>
            <w:shd w:fill="F2F6FC" w:val="clear"/>
          </w:tcPr>
          <w:p>
            <w:pPr>
              <w:jc w:val="right"/>
            </w:pPr>
            <w:r>
              <w:rPr>
                <w:rFonts w:ascii="Arial" w:hAnsi="Arial"/>
                <w:sz w:val="18"/>
              </w:rPr>
              <w:t>3</w:t>
            </w:r>
          </w:p>
        </w:tc>
      </w:tr>
      <w:tr>
        <w:tc>
          <w:tcPr>
            <w:tcW w:type="dxa" w:w="3010"/>
          </w:tcPr>
          <w:p>
            <w:r>
              <w:rPr>
                <w:rFonts w:ascii="Arial" w:hAnsi="Arial"/>
                <w:sz w:val="18"/>
              </w:rPr>
              <w:t>Cases Pending Resolution</w:t>
            </w:r>
          </w:p>
        </w:tc>
        <w:tc>
          <w:tcPr>
            <w:tcW w:type="dxa" w:w="3010"/>
          </w:tcPr>
          <w:p>
            <w:pPr>
              <w:jc w:val="right"/>
            </w:pPr>
            <w:r>
              <w:rPr>
                <w:rFonts w:ascii="Arial" w:hAnsi="Arial"/>
                <w:sz w:val="18"/>
              </w:rPr>
              <w:t>0</w:t>
            </w:r>
          </w:p>
        </w:tc>
        <w:tc>
          <w:tcPr>
            <w:tcW w:type="dxa" w:w="3010"/>
          </w:tcPr>
          <w:p>
            <w:pPr>
              <w:jc w:val="right"/>
            </w:pPr>
            <w:r>
              <w:rPr>
                <w:rFonts w:ascii="Arial" w:hAnsi="Arial"/>
                <w:sz w:val="18"/>
              </w:rPr>
              <w:t>0</w:t>
            </w:r>
          </w:p>
        </w:tc>
      </w:tr>
    </w:tbl>
    <w:p>
      <w:r>
        <w:rPr>
          <w:rFonts w:ascii="Arial" w:hAnsi="Arial"/>
          <w:i/>
          <w:sz w:val="16"/>
        </w:rPr>
        <w:t>Source: Source: HR Compliance &amp; Ethics Division. All reported cases undergo formal investigation per institutional policy.</w:t>
      </w:r>
    </w:p>
    <w:p/>
    <w:p>
      <w:r>
        <w:rPr>
          <w:rFonts w:ascii="Arial" w:hAnsi="Arial"/>
          <w:b/>
          <w:sz w:val="20"/>
        </w:rPr>
        <w:t>Table 48: Table 2.1.6: Framework Cross-Reference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2-7</w:t>
            </w:r>
          </w:p>
        </w:tc>
        <w:tc>
          <w:tcPr>
            <w:tcW w:type="dxa" w:w="2257"/>
          </w:tcPr>
          <w:p>
            <w:r>
              <w:rPr>
                <w:rFonts w:ascii="Arial" w:hAnsi="Arial"/>
                <w:sz w:val="18"/>
              </w:rPr>
              <w:t>2-7a</w:t>
            </w:r>
          </w:p>
        </w:tc>
        <w:tc>
          <w:tcPr>
            <w:tcW w:type="dxa" w:w="2257"/>
          </w:tcPr>
          <w:p>
            <w:r>
              <w:rPr>
                <w:rFonts w:ascii="Arial" w:hAnsi="Arial"/>
                <w:sz w:val="18"/>
              </w:rPr>
              <w:t>Total employees by gender</w:t>
            </w:r>
          </w:p>
        </w:tc>
        <w:tc>
          <w:tcPr>
            <w:tcW w:type="dxa" w:w="2257"/>
          </w:tcPr>
          <w:p>
            <w:r>
              <w:rPr>
                <w:rFonts w:ascii="Arial" w:hAnsi="Arial"/>
                <w:sz w:val="18"/>
              </w:rPr>
              <w:t>✅ Disclosed</w:t>
            </w:r>
          </w:p>
        </w:tc>
      </w:tr>
      <w:tr>
        <w:tc>
          <w:tcPr>
            <w:tcW w:type="dxa" w:w="2257"/>
            <w:shd w:fill="F2F6FC" w:val="clear"/>
          </w:tcPr>
          <w:p>
            <w:r>
              <w:rPr>
                <w:rFonts w:ascii="Arial" w:hAnsi="Arial"/>
                <w:sz w:val="18"/>
              </w:rPr>
              <w:t>GRI 401-1</w:t>
            </w:r>
          </w:p>
        </w:tc>
        <w:tc>
          <w:tcPr>
            <w:tcW w:type="dxa" w:w="2257"/>
            <w:shd w:fill="F2F6FC" w:val="clear"/>
          </w:tcPr>
          <w:p>
            <w:r>
              <w:rPr>
                <w:rFonts w:ascii="Arial" w:hAnsi="Arial"/>
                <w:sz w:val="18"/>
              </w:rPr>
              <w:t>401-1a</w:t>
            </w:r>
          </w:p>
        </w:tc>
        <w:tc>
          <w:tcPr>
            <w:tcW w:type="dxa" w:w="2257"/>
            <w:shd w:fill="F2F6FC" w:val="clear"/>
          </w:tcPr>
          <w:p>
            <w:r>
              <w:rPr>
                <w:rFonts w:ascii="Arial" w:hAnsi="Arial"/>
                <w:sz w:val="18"/>
              </w:rPr>
              <w:t>New hires by gender</w:t>
            </w:r>
          </w:p>
        </w:tc>
        <w:tc>
          <w:tcPr>
            <w:tcW w:type="dxa" w:w="2257"/>
            <w:shd w:fill="F2F6FC" w:val="clear"/>
          </w:tcPr>
          <w:p>
            <w:r>
              <w:rPr>
                <w:rFonts w:ascii="Arial" w:hAnsi="Arial"/>
                <w:sz w:val="18"/>
              </w:rPr>
              <w:t>⚠️ Partial (aggregate only)</w:t>
            </w:r>
          </w:p>
        </w:tc>
      </w:tr>
      <w:tr>
        <w:tc>
          <w:tcPr>
            <w:tcW w:type="dxa" w:w="2257"/>
          </w:tcPr>
          <w:p>
            <w:r>
              <w:rPr>
                <w:rFonts w:ascii="Arial" w:hAnsi="Arial"/>
                <w:sz w:val="18"/>
              </w:rPr>
              <w:t>GRI 401-1</w:t>
            </w:r>
          </w:p>
        </w:tc>
        <w:tc>
          <w:tcPr>
            <w:tcW w:type="dxa" w:w="2257"/>
          </w:tcPr>
          <w:p>
            <w:r>
              <w:rPr>
                <w:rFonts w:ascii="Arial" w:hAnsi="Arial"/>
                <w:sz w:val="18"/>
              </w:rPr>
              <w:t>401-1b</w:t>
            </w:r>
          </w:p>
        </w:tc>
        <w:tc>
          <w:tcPr>
            <w:tcW w:type="dxa" w:w="2257"/>
          </w:tcPr>
          <w:p>
            <w:r>
              <w:rPr>
                <w:rFonts w:ascii="Arial" w:hAnsi="Arial"/>
                <w:sz w:val="18"/>
              </w:rPr>
              <w:t>Employee turnover</w:t>
            </w:r>
          </w:p>
        </w:tc>
        <w:tc>
          <w:tcPr>
            <w:tcW w:type="dxa" w:w="2257"/>
          </w:tcPr>
          <w:p>
            <w:r>
              <w:rPr>
                <w:rFonts w:ascii="Arial" w:hAnsi="Arial"/>
                <w:sz w:val="18"/>
              </w:rPr>
              <w:t>✅ Disclosed</w:t>
            </w:r>
          </w:p>
        </w:tc>
      </w:tr>
      <w:tr>
        <w:tc>
          <w:tcPr>
            <w:tcW w:type="dxa" w:w="2257"/>
            <w:shd w:fill="F2F6FC" w:val="clear"/>
          </w:tcPr>
          <w:p>
            <w:r>
              <w:rPr>
                <w:rFonts w:ascii="Arial" w:hAnsi="Arial"/>
                <w:sz w:val="18"/>
              </w:rPr>
              <w:t>GRI 404-1</w:t>
            </w:r>
          </w:p>
        </w:tc>
        <w:tc>
          <w:tcPr>
            <w:tcW w:type="dxa" w:w="2257"/>
            <w:shd w:fill="F2F6FC" w:val="clear"/>
          </w:tcPr>
          <w:p>
            <w:r>
              <w:rPr>
                <w:rFonts w:ascii="Arial" w:hAnsi="Arial"/>
                <w:sz w:val="18"/>
              </w:rPr>
              <w:t>404-1a</w:t>
            </w:r>
          </w:p>
        </w:tc>
        <w:tc>
          <w:tcPr>
            <w:tcW w:type="dxa" w:w="2257"/>
            <w:shd w:fill="F2F6FC" w:val="clear"/>
          </w:tcPr>
          <w:p>
            <w:r>
              <w:rPr>
                <w:rFonts w:ascii="Arial" w:hAnsi="Arial"/>
                <w:sz w:val="18"/>
              </w:rPr>
              <w:t>Average training hours</w:t>
            </w:r>
          </w:p>
        </w:tc>
        <w:tc>
          <w:tcPr>
            <w:tcW w:type="dxa" w:w="2257"/>
            <w:shd w:fill="F2F6FC" w:val="clear"/>
          </w:tcPr>
          <w:p>
            <w:r>
              <w:rPr>
                <w:rFonts w:ascii="Arial" w:hAnsi="Arial"/>
                <w:sz w:val="18"/>
              </w:rPr>
              <w:t>✅ Disclosed</w:t>
            </w:r>
          </w:p>
        </w:tc>
      </w:tr>
      <w:tr>
        <w:tc>
          <w:tcPr>
            <w:tcW w:type="dxa" w:w="2257"/>
          </w:tcPr>
          <w:p>
            <w:r>
              <w:rPr>
                <w:rFonts w:ascii="Arial" w:hAnsi="Arial"/>
                <w:sz w:val="18"/>
              </w:rPr>
              <w:t>GRI 404-1</w:t>
            </w:r>
          </w:p>
        </w:tc>
        <w:tc>
          <w:tcPr>
            <w:tcW w:type="dxa" w:w="2257"/>
          </w:tcPr>
          <w:p>
            <w:r>
              <w:rPr>
                <w:rFonts w:ascii="Arial" w:hAnsi="Arial"/>
                <w:sz w:val="18"/>
              </w:rPr>
              <w:t>404-1b</w:t>
            </w:r>
          </w:p>
        </w:tc>
        <w:tc>
          <w:tcPr>
            <w:tcW w:type="dxa" w:w="2257"/>
          </w:tcPr>
          <w:p>
            <w:r>
              <w:rPr>
                <w:rFonts w:ascii="Arial" w:hAnsi="Arial"/>
                <w:sz w:val="18"/>
              </w:rPr>
              <w:t>Training hours by gender</w:t>
            </w:r>
          </w:p>
        </w:tc>
        <w:tc>
          <w:tcPr>
            <w:tcW w:type="dxa" w:w="2257"/>
          </w:tcPr>
          <w:p>
            <w:r>
              <w:rPr>
                <w:rFonts w:ascii="Arial" w:hAnsi="Arial"/>
                <w:sz w:val="18"/>
              </w:rPr>
              <w:t>❌ Not Disclosed</w:t>
            </w:r>
          </w:p>
        </w:tc>
      </w:tr>
      <w:tr>
        <w:tc>
          <w:tcPr>
            <w:tcW w:type="dxa" w:w="2257"/>
            <w:shd w:fill="F2F6FC" w:val="clear"/>
          </w:tcPr>
          <w:p>
            <w:r>
              <w:rPr>
                <w:rFonts w:ascii="Arial" w:hAnsi="Arial"/>
                <w:sz w:val="18"/>
              </w:rPr>
              <w:t>GRI 405-1</w:t>
            </w:r>
          </w:p>
        </w:tc>
        <w:tc>
          <w:tcPr>
            <w:tcW w:type="dxa" w:w="2257"/>
            <w:shd w:fill="F2F6FC" w:val="clear"/>
          </w:tcPr>
          <w:p>
            <w:r>
              <w:rPr>
                <w:rFonts w:ascii="Arial" w:hAnsi="Arial"/>
                <w:sz w:val="18"/>
              </w:rPr>
              <w:t>405-1a</w:t>
            </w:r>
          </w:p>
        </w:tc>
        <w:tc>
          <w:tcPr>
            <w:tcW w:type="dxa" w:w="2257"/>
            <w:shd w:fill="F2F6FC" w:val="clear"/>
          </w:tcPr>
          <w:p>
            <w:r>
              <w:rPr>
                <w:rFonts w:ascii="Arial" w:hAnsi="Arial"/>
                <w:sz w:val="18"/>
              </w:rPr>
              <w:t>Diversity of employees</w:t>
            </w:r>
          </w:p>
        </w:tc>
        <w:tc>
          <w:tcPr>
            <w:tcW w:type="dxa" w:w="2257"/>
            <w:shd w:fill="F2F6FC" w:val="clear"/>
          </w:tcPr>
          <w:p>
            <w:r>
              <w:rPr>
                <w:rFonts w:ascii="Arial" w:hAnsi="Arial"/>
                <w:sz w:val="18"/>
              </w:rPr>
              <w:t>✅ Disclosed</w:t>
            </w:r>
          </w:p>
        </w:tc>
      </w:tr>
      <w:tr>
        <w:tc>
          <w:tcPr>
            <w:tcW w:type="dxa" w:w="2257"/>
          </w:tcPr>
          <w:p>
            <w:r>
              <w:rPr>
                <w:rFonts w:ascii="Arial" w:hAnsi="Arial"/>
                <w:sz w:val="18"/>
              </w:rPr>
              <w:t>GRI 405-1</w:t>
            </w:r>
          </w:p>
        </w:tc>
        <w:tc>
          <w:tcPr>
            <w:tcW w:type="dxa" w:w="2257"/>
          </w:tcPr>
          <w:p>
            <w:r>
              <w:rPr>
                <w:rFonts w:ascii="Arial" w:hAnsi="Arial"/>
                <w:sz w:val="18"/>
              </w:rPr>
              <w:t>405-1b</w:t>
            </w:r>
          </w:p>
        </w:tc>
        <w:tc>
          <w:tcPr>
            <w:tcW w:type="dxa" w:w="2257"/>
          </w:tcPr>
          <w:p>
            <w:r>
              <w:rPr>
                <w:rFonts w:ascii="Arial" w:hAnsi="Arial"/>
                <w:sz w:val="18"/>
              </w:rPr>
              <w:t>Gender ratio in management</w:t>
            </w:r>
          </w:p>
        </w:tc>
        <w:tc>
          <w:tcPr>
            <w:tcW w:type="dxa" w:w="2257"/>
          </w:tcPr>
          <w:p>
            <w:r>
              <w:rPr>
                <w:rFonts w:ascii="Arial" w:hAnsi="Arial"/>
                <w:sz w:val="18"/>
              </w:rPr>
              <w:t>✅ Disclosed</w:t>
            </w:r>
          </w:p>
        </w:tc>
      </w:tr>
      <w:tr>
        <w:tc>
          <w:tcPr>
            <w:tcW w:type="dxa" w:w="2257"/>
            <w:shd w:fill="F2F6FC" w:val="clear"/>
          </w:tcPr>
          <w:p>
            <w:r>
              <w:rPr>
                <w:rFonts w:ascii="Arial" w:hAnsi="Arial"/>
                <w:sz w:val="18"/>
              </w:rPr>
              <w:t>GRI 405-2</w:t>
            </w:r>
          </w:p>
        </w:tc>
        <w:tc>
          <w:tcPr>
            <w:tcW w:type="dxa" w:w="2257"/>
            <w:shd w:fill="F2F6FC" w:val="clear"/>
          </w:tcPr>
          <w:p>
            <w:r>
              <w:rPr>
                <w:rFonts w:ascii="Arial" w:hAnsi="Arial"/>
                <w:sz w:val="18"/>
              </w:rPr>
              <w:t>405-2a</w:t>
            </w:r>
          </w:p>
        </w:tc>
        <w:tc>
          <w:tcPr>
            <w:tcW w:type="dxa" w:w="2257"/>
            <w:shd w:fill="F2F6FC" w:val="clear"/>
          </w:tcPr>
          <w:p>
            <w:r>
              <w:rPr>
                <w:rFonts w:ascii="Arial" w:hAnsi="Arial"/>
                <w:sz w:val="18"/>
              </w:rPr>
              <w:t>Gender pay ratio</w:t>
            </w:r>
          </w:p>
        </w:tc>
        <w:tc>
          <w:tcPr>
            <w:tcW w:type="dxa" w:w="2257"/>
            <w:shd w:fill="F2F6FC" w:val="clear"/>
          </w:tcPr>
          <w:p>
            <w:r>
              <w:rPr>
                <w:rFonts w:ascii="Arial" w:hAnsi="Arial"/>
                <w:sz w:val="18"/>
              </w:rPr>
              <w:t>❌ Not Disclosed</w:t>
            </w:r>
          </w:p>
        </w:tc>
      </w:tr>
      <w:tr>
        <w:tc>
          <w:tcPr>
            <w:tcW w:type="dxa" w:w="2257"/>
          </w:tcPr>
          <w:p>
            <w:r>
              <w:rPr>
                <w:rFonts w:ascii="Arial" w:hAnsi="Arial"/>
                <w:sz w:val="18"/>
              </w:rPr>
              <w:t>GRI 406-1</w:t>
            </w:r>
          </w:p>
        </w:tc>
        <w:tc>
          <w:tcPr>
            <w:tcW w:type="dxa" w:w="2257"/>
          </w:tcPr>
          <w:p>
            <w:r>
              <w:rPr>
                <w:rFonts w:ascii="Arial" w:hAnsi="Arial"/>
                <w:sz w:val="18"/>
              </w:rPr>
              <w:t>406-1a</w:t>
            </w:r>
          </w:p>
        </w:tc>
        <w:tc>
          <w:tcPr>
            <w:tcW w:type="dxa" w:w="2257"/>
          </w:tcPr>
          <w:p>
            <w:r>
              <w:rPr>
                <w:rFonts w:ascii="Arial" w:hAnsi="Arial"/>
                <w:sz w:val="18"/>
              </w:rPr>
              <w:t>Discrimination incidents</w:t>
            </w:r>
          </w:p>
        </w:tc>
        <w:tc>
          <w:tcPr>
            <w:tcW w:type="dxa" w:w="2257"/>
          </w:tcPr>
          <w:p>
            <w:r>
              <w:rPr>
                <w:rFonts w:ascii="Arial" w:hAnsi="Arial"/>
                <w:sz w:val="18"/>
              </w:rPr>
              <w:t>✅ Disclosed</w:t>
            </w:r>
          </w:p>
        </w:tc>
      </w:tr>
      <w:tr>
        <w:tc>
          <w:tcPr>
            <w:tcW w:type="dxa" w:w="2257"/>
            <w:shd w:fill="F2F6FC" w:val="clear"/>
          </w:tcPr>
          <w:p>
            <w:r>
              <w:rPr>
                <w:rFonts w:ascii="Arial" w:hAnsi="Arial"/>
                <w:sz w:val="18"/>
              </w:rPr>
              <w:t>ESRS S1</w:t>
            </w:r>
          </w:p>
        </w:tc>
        <w:tc>
          <w:tcPr>
            <w:tcW w:type="dxa" w:w="2257"/>
            <w:shd w:fill="F2F6FC" w:val="clear"/>
          </w:tcPr>
          <w:p>
            <w:r>
              <w:rPr>
                <w:rFonts w:ascii="Arial" w:hAnsi="Arial"/>
                <w:sz w:val="18"/>
              </w:rPr>
              <w:t>S1-6</w:t>
            </w:r>
          </w:p>
        </w:tc>
        <w:tc>
          <w:tcPr>
            <w:tcW w:type="dxa" w:w="2257"/>
            <w:shd w:fill="F2F6FC" w:val="clear"/>
          </w:tcPr>
          <w:p>
            <w:r>
              <w:rPr>
                <w:rFonts w:ascii="Arial" w:hAnsi="Arial"/>
                <w:sz w:val="18"/>
              </w:rPr>
              <w:t>Diversity metrics</w:t>
            </w:r>
          </w:p>
        </w:tc>
        <w:tc>
          <w:tcPr>
            <w:tcW w:type="dxa" w:w="2257"/>
            <w:shd w:fill="F2F6FC" w:val="clear"/>
          </w:tcPr>
          <w:p>
            <w:r>
              <w:rPr>
                <w:rFonts w:ascii="Arial" w:hAnsi="Arial"/>
                <w:sz w:val="18"/>
              </w:rPr>
              <w:t>✅ Disclosed</w:t>
            </w:r>
          </w:p>
        </w:tc>
      </w:tr>
      <w:tr>
        <w:tc>
          <w:tcPr>
            <w:tcW w:type="dxa" w:w="2257"/>
          </w:tcPr>
          <w:p>
            <w:r>
              <w:rPr>
                <w:rFonts w:ascii="Arial" w:hAnsi="Arial"/>
                <w:sz w:val="18"/>
              </w:rPr>
              <w:t>ESRS S1</w:t>
            </w:r>
          </w:p>
        </w:tc>
        <w:tc>
          <w:tcPr>
            <w:tcW w:type="dxa" w:w="2257"/>
          </w:tcPr>
          <w:p>
            <w:r>
              <w:rPr>
                <w:rFonts w:ascii="Arial" w:hAnsi="Arial"/>
                <w:sz w:val="18"/>
              </w:rPr>
              <w:t>S1-13</w:t>
            </w:r>
          </w:p>
        </w:tc>
        <w:tc>
          <w:tcPr>
            <w:tcW w:type="dxa" w:w="2257"/>
          </w:tcPr>
          <w:p>
            <w:r>
              <w:rPr>
                <w:rFonts w:ascii="Arial" w:hAnsi="Arial"/>
                <w:sz w:val="18"/>
              </w:rPr>
              <w:t>Training &amp; development</w:t>
            </w:r>
          </w:p>
        </w:tc>
        <w:tc>
          <w:tcPr>
            <w:tcW w:type="dxa" w:w="2257"/>
          </w:tcPr>
          <w:p>
            <w:r>
              <w:rPr>
                <w:rFonts w:ascii="Arial" w:hAnsi="Arial"/>
                <w:sz w:val="18"/>
              </w:rPr>
              <w:t>✅ Disclosed</w:t>
            </w:r>
          </w:p>
        </w:tc>
      </w:tr>
      <w:tr>
        <w:tc>
          <w:tcPr>
            <w:tcW w:type="dxa" w:w="2257"/>
            <w:shd w:fill="F2F6FC" w:val="clear"/>
          </w:tcPr>
          <w:p>
            <w:r>
              <w:rPr>
                <w:rFonts w:ascii="Arial" w:hAnsi="Arial"/>
                <w:sz w:val="18"/>
              </w:rPr>
              <w:t>ESRS S1</w:t>
            </w:r>
          </w:p>
        </w:tc>
        <w:tc>
          <w:tcPr>
            <w:tcW w:type="dxa" w:w="2257"/>
            <w:shd w:fill="F2F6FC" w:val="clear"/>
          </w:tcPr>
          <w:p>
            <w:r>
              <w:rPr>
                <w:rFonts w:ascii="Arial" w:hAnsi="Arial"/>
                <w:sz w:val="18"/>
              </w:rPr>
              <w:t>S1-14</w:t>
            </w:r>
          </w:p>
        </w:tc>
        <w:tc>
          <w:tcPr>
            <w:tcW w:type="dxa" w:w="2257"/>
            <w:shd w:fill="F2F6FC" w:val="clear"/>
          </w:tcPr>
          <w:p>
            <w:r>
              <w:rPr>
                <w:rFonts w:ascii="Arial" w:hAnsi="Arial"/>
                <w:sz w:val="18"/>
              </w:rPr>
              <w:t>Health &amp; safety</w:t>
            </w:r>
          </w:p>
        </w:tc>
        <w:tc>
          <w:tcPr>
            <w:tcW w:type="dxa" w:w="2257"/>
            <w:shd w:fill="F2F6FC" w:val="clear"/>
          </w:tcPr>
          <w:p>
            <w:r>
              <w:rPr>
                <w:rFonts w:ascii="Arial" w:hAnsi="Arial"/>
                <w:sz w:val="18"/>
              </w:rPr>
              <w:t>❌ Not in scope</w:t>
            </w:r>
          </w:p>
        </w:tc>
      </w:tr>
      <w:tr>
        <w:tc>
          <w:tcPr>
            <w:tcW w:type="dxa" w:w="2257"/>
          </w:tcPr>
          <w:p>
            <w:r>
              <w:rPr>
                <w:rFonts w:ascii="Arial" w:hAnsi="Arial"/>
                <w:sz w:val="18"/>
              </w:rPr>
              <w:t>OJK PSPK</w:t>
            </w:r>
          </w:p>
        </w:tc>
        <w:tc>
          <w:tcPr>
            <w:tcW w:type="dxa" w:w="2257"/>
          </w:tcPr>
          <w:p>
            <w:r>
              <w:rPr>
                <w:rFonts w:ascii="Arial" w:hAnsi="Arial"/>
                <w:sz w:val="18"/>
              </w:rPr>
              <w:t>Pilar II</w:t>
            </w:r>
          </w:p>
        </w:tc>
        <w:tc>
          <w:tcPr>
            <w:tcW w:type="dxa" w:w="2257"/>
          </w:tcPr>
          <w:p>
            <w:r>
              <w:rPr>
                <w:rFonts w:ascii="Arial" w:hAnsi="Arial"/>
                <w:sz w:val="18"/>
              </w:rPr>
              <w:t>Tenaga kerja &amp; kesetaraan</w:t>
            </w:r>
          </w:p>
        </w:tc>
        <w:tc>
          <w:tcPr>
            <w:tcW w:type="dxa" w:w="2257"/>
          </w:tcPr>
          <w:p>
            <w:r>
              <w:rPr>
                <w:rFonts w:ascii="Arial" w:hAnsi="Arial"/>
                <w:sz w:val="18"/>
              </w:rPr>
              <w:t>✅ Disclosed</w:t>
            </w:r>
          </w:p>
        </w:tc>
      </w:tr>
    </w:tbl>
    <w:p>
      <w:r>
        <w:rPr>
          <w:rFonts w:ascii="Arial" w:hAnsi="Arial"/>
          <w:i/>
          <w:sz w:val="16"/>
        </w:rPr>
        <w:t>Source: ✅ = Fully compliant | ⚠️ = Partially compliant | ❌ = Not disclosed or not in scope for this section</w:t>
      </w:r>
    </w:p>
    <w:p/>
    <w:p/>
    <w:p>
      <w:r>
        <w:drawing>
          <wp:inline xmlns:a="http://schemas.openxmlformats.org/drawingml/2006/main" xmlns:pic="http://schemas.openxmlformats.org/drawingml/2006/picture">
            <wp:extent cx="5029200" cy="3332057"/>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3332057"/>
                    </a:xfrm>
                    <a:prstGeom prst="rect"/>
                  </pic:spPr>
                </pic:pic>
              </a:graphicData>
            </a:graphic>
          </wp:inline>
        </w:drawing>
      </w:r>
    </w:p>
    <w:p>
      <w:pPr>
        <w:jc w:val="center"/>
      </w:pPr>
      <w:r>
        <w:rPr>
          <w:i/>
          <w:color w:val="666666"/>
          <w:sz w:val="18"/>
        </w:rPr>
        <w:t>Figure 15: Workforce Gender Composition Trend (2023-2024)</w:t>
      </w:r>
    </w:p>
    <w:p>
      <w:pPr>
        <w:jc w:val="center"/>
      </w:pPr>
      <w:r>
        <w:rPr>
          <w:i/>
          <w:color w:val="757575"/>
          <w:sz w:val="18"/>
        </w:rPr>
        <w:t>Female representation declined 3.88pp despite headcount growth—male hiring significantly outpaced female recruitment, indicating targeting bias</w:t>
      </w:r>
    </w:p>
    <w:p/>
    <w:p>
      <w:r>
        <w:drawing>
          <wp:inline xmlns:a="http://schemas.openxmlformats.org/drawingml/2006/main" xmlns:pic="http://schemas.openxmlformats.org/drawingml/2006/picture">
            <wp:extent cx="5029200" cy="3219781"/>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219781"/>
                    </a:xfrm>
                    <a:prstGeom prst="rect"/>
                  </pic:spPr>
                </pic:pic>
              </a:graphicData>
            </a:graphic>
          </wp:inline>
        </w:drawing>
      </w:r>
    </w:p>
    <w:p>
      <w:pPr>
        <w:jc w:val="center"/>
      </w:pPr>
      <w:r>
        <w:rPr>
          <w:i/>
          <w:color w:val="666666"/>
          <w:sz w:val="18"/>
        </w:rPr>
        <w:t>Figure 16: Female Management Representation: Institution vs. Peers</w:t>
      </w:r>
    </w:p>
    <w:p>
      <w:pPr>
        <w:jc w:val="center"/>
      </w:pPr>
      <w:r>
        <w:rPr>
          <w:i/>
          <w:color w:val="757575"/>
          <w:sz w:val="18"/>
        </w:rPr>
        <w:t>Institution trails peers by 11.33-34.93pp—systematic pipeline intervention required to close gap</w:t>
      </w:r>
    </w:p>
    <w:p/>
    <w:p>
      <w:r>
        <w:drawing>
          <wp:inline xmlns:a="http://schemas.openxmlformats.org/drawingml/2006/main" xmlns:pic="http://schemas.openxmlformats.org/drawingml/2006/picture">
            <wp:extent cx="5029200" cy="3332057"/>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332057"/>
                    </a:xfrm>
                    <a:prstGeom prst="rect"/>
                  </pic:spPr>
                </pic:pic>
              </a:graphicData>
            </a:graphic>
          </wp:inline>
        </w:drawing>
      </w:r>
    </w:p>
    <w:p>
      <w:pPr>
        <w:jc w:val="center"/>
      </w:pPr>
      <w:r>
        <w:rPr>
          <w:i/>
          <w:color w:val="666666"/>
          <w:sz w:val="18"/>
        </w:rPr>
        <w:t>Figure 17: Training Hours per FTE: Institution vs. Peers</w:t>
      </w:r>
    </w:p>
    <w:p>
      <w:pPr>
        <w:jc w:val="center"/>
      </w:pPr>
      <w:r>
        <w:rPr>
          <w:i/>
          <w:color w:val="757575"/>
          <w:sz w:val="18"/>
        </w:rPr>
        <w:t>13.1-hour gap vs. peer average (62.5 hrs)—training underinvestment risks workforce capability for ESG transition</w:t>
      </w:r>
    </w:p>
    <w:p/>
    <w:p>
      <w:r>
        <w:drawing>
          <wp:inline xmlns:a="http://schemas.openxmlformats.org/drawingml/2006/main" xmlns:pic="http://schemas.openxmlformats.org/drawingml/2006/picture">
            <wp:extent cx="5029200" cy="3332057"/>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3332057"/>
                    </a:xfrm>
                    <a:prstGeom prst="rect"/>
                  </pic:spPr>
                </pic:pic>
              </a:graphicData>
            </a:graphic>
          </wp:inline>
        </w:drawing>
      </w:r>
    </w:p>
    <w:p>
      <w:pPr>
        <w:jc w:val="center"/>
      </w:pPr>
      <w:r>
        <w:rPr>
          <w:i/>
          <w:color w:val="666666"/>
          <w:sz w:val="18"/>
        </w:rPr>
        <w:t>Figure 18: Voluntary Turnover Rate Trend (2023-2024)</w:t>
      </w:r>
    </w:p>
    <w:p>
      <w:pPr>
        <w:jc w:val="center"/>
      </w:pPr>
      <w:r>
        <w:rPr>
          <w:i/>
          <w:color w:val="757575"/>
          <w:sz w:val="18"/>
        </w:rPr>
        <w:t>40.66% turnover reduction demonstrates retention excellence—sustain through career development and competitive compensation</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workforce data reveals a paradox: operational excellence in retention (40.66% turnover reduction) coupled with strategic weakness in diversity advancement. The 3.88 percentage point decline in female workforce representation, despite net headcount growth of 497 employees, indicates that hiring patterns skewed heavily male (1,237 male hires vs. 740 female departures net effect). The simultaneous 1.78 percentage point decline in female management representation suggests promotion pipeline barriers, not just recruitment gaps. Training hour reduction of 23.14% year-over-year, while positioned as quality-focused, falls 13.1 hours below peer benchmarks (BRI 62.4, OCBC 62.6), potentially constraining workforce readiness for ESG and digital transformation imperatives.</w:t>
            </w:r>
          </w:p>
          <w:p>
            <w:r>
              <w:rPr>
                <w:b/>
                <w:sz w:val="20"/>
              </w:rPr>
              <w:t>Root Causes:</w:t>
            </w:r>
          </w:p>
          <w:p>
            <w:r>
              <w:rPr>
                <w:sz w:val="18"/>
              </w:rPr>
              <w:t>• Recruitment targeting bias: Net male hiring (+1,237) significantly exceeded female hiring despite stated diversity commitments, suggesting unconscious bias in job descriptions, interview panels, or candidate sourcing strategies</w:t>
            </w:r>
          </w:p>
          <w:p>
            <w:r>
              <w:rPr>
                <w:sz w:val="18"/>
              </w:rPr>
              <w:t>• Management pipeline bottleneck: 1.78pp decline in female management representation indicates barriers at promotion decision points, likely reflecting lack of structured sponsorship programs or gender-blind succession planning processes</w:t>
            </w:r>
          </w:p>
          <w:p>
            <w:r>
              <w:rPr>
                <w:sz w:val="18"/>
              </w:rPr>
              <w:t>• Training investment deprioritization: 23.14% YoY reduction in training hours driven by cost optimization rather than strategic capability building, creating competency gaps in ESG and digital domains critical for future competitiveness</w:t>
            </w:r>
          </w:p>
          <w:p>
            <w:r>
              <w:rPr>
                <w:sz w:val="18"/>
              </w:rPr>
              <w:t>• Absence of gender pay transparency: Non-disclosure of gender pay ratio (GRI 405-2 gap) suggests either data system limitations or strategic avoidance, both of which undermine accountability for pay equity</w:t>
            </w:r>
          </w:p>
          <w:p>
            <w:r>
              <w:rPr>
                <w:b/>
                <w:sz w:val="20"/>
              </w:rPr>
              <w:t>Risk Implications:</w:t>
            </w:r>
          </w:p>
          <w:p>
            <w:r>
              <w:rPr>
                <w:sz w:val="18"/>
              </w:rPr>
              <w:t>• ESG rating downgrade risk: MSCI and Sustainalytics assess gender diversity trends; declining female representation and below-peer training investment expose S-pillar score deterioration, potentially triggering exclusion from ESG-focused investment mandates</w:t>
            </w:r>
          </w:p>
          <w:p>
            <w:r>
              <w:rPr>
                <w:sz w:val="18"/>
              </w:rPr>
              <w:t>• Regulatory scrutiny: OJK POJK 51/2017 Pilar II (Sosial) emphasizes workforce equality; declining diversity metrics may attract regulatory inquiry, particularly as CSRD ESRS S1 adoption approaches with mandatory gender pay gap disclosure requirements</w:t>
            </w:r>
          </w:p>
          <w:p>
            <w:r>
              <w:rPr>
                <w:sz w:val="18"/>
              </w:rPr>
              <w:t>• Talent competitiveness erosion: In competitive Indonesian banking labor market, below-peer training investment (49.3 vs 62.4 hrs) and declining female representation signal weaker employer value proposition, risking talent loss to BCA, BRI, DBS, and digital banking entrants</w:t>
            </w:r>
          </w:p>
          <w:p>
            <w:r>
              <w:rPr>
                <w:sz w:val="18"/>
              </w:rPr>
              <w:t>• Reputational risk: Public sustainability commitments contradicted by declining diversity metrics create credibility gap, exposing institution to stakeholder criticism and potential brand damage in ESG-conscious market segments</w:t>
            </w:r>
          </w:p>
        </w:tc>
      </w:tr>
    </w:tbl>
    <w:p/>
    <w:p/>
    <w:p>
      <w:r>
        <w:rPr>
          <w:b/>
          <w:color w:val="2E7D32"/>
          <w:sz w:val="24"/>
        </w:rPr>
        <w:t>⚡ Priority Actions</w:t>
      </w:r>
    </w:p>
    <w:p>
      <w:r>
        <w:rPr>
          <w:b/>
          <w:sz w:val="22"/>
        </w:rPr>
        <w:t>🔴 1. Establish Board-approved gender diversity targets: 30% female management by end-2026, 45% female workforce by end-2027. Implement quarterly tracking with executive KPI linkage (20% weight in balanced scorecard). Mandate gender-diverse interview panels for all management-level hiring.</w:t>
      </w:r>
      <w:r>
        <w:rPr>
          <w:sz w:val="22"/>
        </w:rPr>
        <w:t xml:space="preserve"> (Q2 2025)</w:t>
      </w:r>
    </w:p>
    <w:p>
      <w:pPr>
        <w:spacing w:after="160" w:line="276" w:lineRule="auto"/>
      </w:pPr>
      <w:r>
        <w:t xml:space="preserve">    → Expected: Reverse declining trend; achieve 3.33pp annual improvement in female management representation; close gap to peer benchmarks within 3 years</w:t>
      </w:r>
    </w:p>
    <w:p>
      <w:pPr>
        <w:spacing w:after="160" w:line="276" w:lineRule="auto"/>
      </w:pPr>
      <w:r>
        <w:rPr>
          <w:rFonts w:ascii="Arial" w:hAnsi="Arial"/>
          <w:i/>
          <w:color w:val="646464"/>
          <w:sz w:val="18"/>
        </w:rPr>
        <w:t xml:space="preserve">    → Ref: BCA achieved 61.6% female management through systematic succession planning with Board oversight; DBS links diversity KPIs to executive remuneration (20% weight)</w:t>
      </w:r>
    </w:p>
    <w:p>
      <w:r>
        <w:rPr>
          <w:b/>
          <w:sz w:val="22"/>
        </w:rPr>
        <w:t>🔴 2. Increase training investment to 55 hours per FTE minimum for FY2025, with mandatory ESG competency modules (8 hours) for all employees and climate risk training (12 hours) for credit, risk, and investment functions. Deploy blended learning platform to optimize cost-effectiveness.</w:t>
      </w:r>
      <w:r>
        <w:rPr>
          <w:sz w:val="22"/>
        </w:rPr>
        <w:t xml:space="preserve"> (Q1 2025)</w:t>
      </w:r>
    </w:p>
    <w:p>
      <w:pPr>
        <w:spacing w:after="160" w:line="276" w:lineRule="auto"/>
      </w:pPr>
      <w:r>
        <w:t xml:space="preserve">    → Expected: Close 13.1-hour gap vs. peer average (62.4 hrs); enhance workforce ESG literacy from current baseline; improve PCAF data quality through trained relationship managers</w:t>
      </w:r>
    </w:p>
    <w:p>
      <w:pPr>
        <w:spacing w:after="160" w:line="276" w:lineRule="auto"/>
      </w:pPr>
      <w:r>
        <w:rPr>
          <w:rFonts w:ascii="Arial" w:hAnsi="Arial"/>
          <w:i/>
          <w:color w:val="646464"/>
          <w:sz w:val="18"/>
        </w:rPr>
        <w:t xml:space="preserve">    → Ref: BRI delivers 62.4 hrs/FTE with ESG training across all levels (Board to non-staff); OCBC Indonesia achieves 62.6 hrs through hybrid classroom + e-learning model</w:t>
      </w:r>
    </w:p>
    <w:p>
      <w:r>
        <w:rPr>
          <w:b/>
          <w:sz w:val="22"/>
        </w:rPr>
        <w:t>🔴 3. Conduct comprehensive gender pay equity audit across all job levels and functions. Remediate identified gaps within 12 months. Disclose gender pay ratio (F:M) in 2025 Sustainability Report per GRI 405-2, positioning institution ahead of CSRD ESRS S1 mandatory adoption timeline.</w:t>
      </w:r>
      <w:r>
        <w:rPr>
          <w:sz w:val="22"/>
        </w:rPr>
        <w:t xml:space="preserve"> (Q3 2025)</w:t>
      </w:r>
    </w:p>
    <w:p>
      <w:pPr>
        <w:spacing w:after="160" w:line="276" w:lineRule="auto"/>
      </w:pPr>
      <w:r>
        <w:t xml:space="preserve">    → Expected: Close GRI 405-2 disclosure gap; demonstrate pay equity commitment; improve MSCI S-score; mitigate regulatory risk ahead of ESRS S1 enforcement</w:t>
      </w:r>
    </w:p>
    <w:p>
      <w:pPr>
        <w:spacing w:after="160" w:line="276" w:lineRule="auto"/>
      </w:pPr>
      <w:r>
        <w:rPr>
          <w:rFonts w:ascii="Arial" w:hAnsi="Arial"/>
          <w:i/>
          <w:color w:val="646464"/>
          <w:sz w:val="18"/>
        </w:rPr>
        <w:t xml:space="preserve">    → Ref: DBS publishes gender pay ratio 1:0.99 (F:M) with full transparency since 2021; recognized as regional best practice by MSCI ESG Research</w:t>
      </w:r>
    </w:p>
    <w:p>
      <w:r>
        <w:rPr>
          <w:b/>
          <w:sz w:val="22"/>
        </w:rPr>
        <w:t>🟡 4. Launch structured mentorship and sponsorship program for high-potential female talent in middle management (AVP to VP levels). Pair 50 female managers with C-suite sponsors. Track promotion rates quarterly with target of 35% female representation in promotion cohorts.</w:t>
      </w:r>
      <w:r>
        <w:rPr>
          <w:sz w:val="22"/>
        </w:rPr>
        <w:t xml:space="preserve"> (Q4 2025)</w:t>
      </w:r>
    </w:p>
    <w:p>
      <w:pPr>
        <w:spacing w:after="160" w:line="276" w:lineRule="auto"/>
      </w:pPr>
      <w:r>
        <w:t xml:space="preserve">    → Expected: Accelerate female leadership pipeline development; increase female promotion rate from current ~23% to 35% within 18 months; create visible role models</w:t>
      </w:r>
    </w:p>
    <w:p>
      <w:pPr>
        <w:spacing w:after="160" w:line="276" w:lineRule="auto"/>
      </w:pPr>
      <w:r>
        <w:rPr>
          <w:rFonts w:ascii="Arial" w:hAnsi="Arial"/>
          <w:i/>
          <w:color w:val="646464"/>
          <w:sz w:val="18"/>
        </w:rPr>
        <w:t xml:space="preserve">    → Ref: BCA implements systematic mentorship programs as part of 61.6% female management achievement strategy; DBS uses sponsorship model for underrepresented groups</w:t>
      </w:r>
    </w:p>
    <w:p/>
    <w:p>
      <w:r>
        <w:rPr>
          <w:i/>
          <w:color w:val="3D6094"/>
          <w:sz w:val="18"/>
        </w:rPr>
        <w:t>Framework references: GRI 2-7: Employees; GRI 401-1: New employee hires and employee turnover; GRI 404-1: Average hours of training per year per employee; GRI 405-1: Diversity of governance bodies and employees; GRI 406-1: Incidents of discrimination and corrective actions taken; ESRS S1: Own Workforce (S1-6 Diversity, S1-13 Training); OJK POJK 51/2017: Pilar II Kinerja Sosial</w:t>
      </w:r>
    </w:p>
    <w:p>
      <w:pPr>
        <w:spacing w:after="80"/>
        <w:pBdr>
          <w:bottom w:val="single" w:sz="6" w:space="1" w:color="CCCCCC"/>
        </w:pBdr>
      </w:pPr>
    </w:p>
    <w:p>
      <w:pPr>
        <w:spacing w:after="160" w:line="276" w:lineRule="auto"/>
      </w:pPr>
      <w:r>
        <w:rPr>
          <w:rFonts w:ascii="Arial" w:hAnsi="Arial"/>
          <w:i/>
          <w:color w:val="646464"/>
          <w:sz w:val="18"/>
        </w:rPr>
        <w:t>All workforce data represents full-time equivalent (FTE) employees as of December 31, 2024, excluding contractors and temporary staff.</w:t>
      </w:r>
    </w:p>
    <w:p>
      <w:pPr>
        <w:spacing w:after="160" w:line="276" w:lineRule="auto"/>
      </w:pPr>
      <w:r>
        <w:rPr>
          <w:rFonts w:ascii="Arial" w:hAnsi="Arial"/>
          <w:i/>
          <w:color w:val="646464"/>
          <w:sz w:val="18"/>
        </w:rPr>
        <w:t>Management positions defined as Assistant Vice President level and above, encompassing middle management through executive leadership.</w:t>
      </w:r>
    </w:p>
    <w:p>
      <w:pPr>
        <w:spacing w:after="160" w:line="276" w:lineRule="auto"/>
      </w:pPr>
      <w:r>
        <w:rPr>
          <w:rFonts w:ascii="Arial" w:hAnsi="Arial"/>
          <w:i/>
          <w:color w:val="646464"/>
          <w:sz w:val="18"/>
        </w:rPr>
        <w:t>Training hours include all formal learning interventions: classroom training, e-learning modules, workshops, seminars, and structured on-the-job training programs.</w:t>
      </w:r>
    </w:p>
    <w:p>
      <w:pPr>
        <w:spacing w:after="160" w:line="276" w:lineRule="auto"/>
      </w:pPr>
      <w:r>
        <w:rPr>
          <w:rFonts w:ascii="Arial" w:hAnsi="Arial"/>
          <w:i/>
          <w:color w:val="646464"/>
          <w:sz w:val="18"/>
        </w:rPr>
        <w:t>Voluntary turnover excludes retirements, involuntary separations, and end-of-contract terminations for fixed-term employees.</w:t>
      </w:r>
    </w:p>
    <w:p>
      <w:pPr>
        <w:spacing w:after="160" w:line="276" w:lineRule="auto"/>
      </w:pPr>
      <w:r>
        <w:rPr>
          <w:rFonts w:ascii="Arial" w:hAnsi="Arial"/>
          <w:i/>
          <w:color w:val="646464"/>
          <w:sz w:val="18"/>
        </w:rPr>
        <w:t>Discrimination cases include all formal complaints filed through internal grievance mechanisms during the reporting period, regardless of substantiation outcome.</w:t>
      </w:r>
    </w:p>
    <w:p>
      <w:pPr>
        <w:spacing w:after="160" w:line="276" w:lineRule="auto"/>
      </w:pPr>
      <w:r>
        <w:rPr>
          <w:rFonts w:ascii="Arial" w:hAnsi="Arial"/>
          <w:i/>
          <w:color w:val="646464"/>
          <w:sz w:val="18"/>
        </w:rPr>
        <w:t>📋 DATA PROVENANCE: Source: HR Information System | EF: N/A | Methodology: GRI 401/404/405/406 | Quality: Tier 1 (primary data) | Validated: 2025-01-15 | Owner: Sustainability &amp; ESG Division</w:t>
      </w:r>
    </w:p>
    <w:p>
      <w:r>
        <w:br w:type="page"/>
      </w:r>
    </w:p>
    <w:p>
      <w:pPr>
        <w:pStyle w:val="Heading1"/>
        <w:keepNext/>
        <w:spacing w:before="480" w:after="240"/>
      </w:pPr>
      <w:r>
        <w:rPr>
          <w:rFonts w:ascii="Arial" w:hAnsi="Arial"/>
          <w:b/>
          <w:color w:val="1B3A6B"/>
          <w:sz w:val="36"/>
        </w:rPr>
        <w:t>Governance &amp; Strategy</w:t>
      </w:r>
    </w:p>
    <w:p>
      <w:pPr>
        <w:pStyle w:val="Heading2"/>
        <w:keepNext/>
        <w:spacing w:before="360" w:after="160"/>
      </w:pPr>
      <w:r>
        <w:rPr>
          <w:rFonts w:ascii="Arial" w:hAnsi="Arial"/>
          <w:b/>
          <w:color w:val="3D6094"/>
          <w:sz w:val="28"/>
        </w:rPr>
        <w:t>3.1 Climate Governance &amp; ESG Oversight</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Not Established</w:t>
            </w:r>
            <w:r>
              <w:rPr>
                <w:color w:val="757575"/>
                <w:sz w:val="18"/>
              </w:rPr>
              <w:t xml:space="preserve"> status</w:t>
            </w:r>
            <w:r>
              <w:rPr>
                <w:b/>
                <w:color w:val="C62828"/>
                <w:sz w:val="20"/>
              </w:rPr>
              <w:br/>
              <w:t>Peers: 100% have committees since 2021</w:t>
            </w:r>
          </w:p>
        </w:tc>
        <w:tc>
          <w:tcPr>
            <w:tcW w:type="dxa" w:w="2257"/>
            <w:shd w:fill="F2F6FA" w:val="clear"/>
          </w:tcPr>
          <w:p>
            <w:pPr>
              <w:jc w:val="center"/>
            </w:pPr>
            <w:r>
              <w:rPr>
                <w:b/>
                <w:color w:val="1B3A6B"/>
                <w:sz w:val="36"/>
              </w:rPr>
              <w:t>0%</w:t>
            </w:r>
            <w:r>
              <w:rPr>
                <w:color w:val="757575"/>
                <w:sz w:val="18"/>
              </w:rPr>
              <w:t xml:space="preserve"> % of compensation</w:t>
            </w:r>
            <w:r>
              <w:rPr>
                <w:b/>
                <w:color w:val="C62828"/>
                <w:sz w:val="20"/>
              </w:rPr>
              <w:br/>
              <w:t>Peer avg: 15-20%</w:t>
            </w:r>
          </w:p>
        </w:tc>
        <w:tc>
          <w:tcPr>
            <w:tcW w:type="dxa" w:w="2257"/>
            <w:shd w:fill="F2F6FA" w:val="clear"/>
          </w:tcPr>
          <w:p>
            <w:pPr>
              <w:jc w:val="center"/>
            </w:pPr>
            <w:r>
              <w:rPr>
                <w:b/>
                <w:color w:val="1B3A6B"/>
                <w:sz w:val="36"/>
              </w:rPr>
              <w:t>0%</w:t>
            </w:r>
            <w:r>
              <w:rPr>
                <w:color w:val="757575"/>
                <w:sz w:val="18"/>
              </w:rPr>
              <w:t xml:space="preserve"> % of requirements met</w:t>
            </w:r>
            <w:r>
              <w:rPr>
                <w:b/>
                <w:color w:val="C62828"/>
                <w:sz w:val="20"/>
              </w:rPr>
              <w:br/>
              <w:t>7 of 7 requirements non-compliant</w:t>
            </w:r>
          </w:p>
        </w:tc>
        <w:tc>
          <w:tcPr>
            <w:tcW w:type="dxa" w:w="2257"/>
            <w:shd w:fill="F2F6FA" w:val="clear"/>
          </w:tcPr>
          <w:p>
            <w:pPr>
              <w:jc w:val="center"/>
            </w:pPr>
            <w:r>
              <w:rPr>
                <w:b/>
                <w:color w:val="1B3A6B"/>
                <w:sz w:val="36"/>
              </w:rPr>
              <w:t>3-4</w:t>
            </w:r>
            <w:r>
              <w:rPr>
                <w:color w:val="757575"/>
                <w:sz w:val="18"/>
              </w:rPr>
              <w:t xml:space="preserve"> years behind</w:t>
            </w:r>
            <w:r>
              <w:rPr>
                <w:b/>
                <w:color w:val="C62828"/>
                <w:sz w:val="20"/>
              </w:rPr>
              <w:br/>
              <w:t>BRI/DBS established 2021</w:t>
            </w:r>
          </w:p>
        </w:tc>
      </w:tr>
      <w:tr>
        <w:tc>
          <w:tcPr>
            <w:tcW w:type="dxa" w:w="2257"/>
            <w:shd w:fill="F2F6FA" w:val="clear"/>
          </w:tcPr>
          <w:p>
            <w:pPr>
              <w:jc w:val="center"/>
            </w:pPr>
            <w:r>
              <w:rPr>
                <w:color w:val="757575"/>
                <w:sz w:val="16"/>
              </w:rPr>
              <w:t>Board ESG Committee</w:t>
            </w:r>
          </w:p>
        </w:tc>
        <w:tc>
          <w:tcPr>
            <w:tcW w:type="dxa" w:w="2257"/>
            <w:shd w:fill="F2F6FA" w:val="clear"/>
          </w:tcPr>
          <w:p>
            <w:pPr>
              <w:jc w:val="center"/>
            </w:pPr>
            <w:r>
              <w:rPr>
                <w:color w:val="757575"/>
                <w:sz w:val="16"/>
              </w:rPr>
              <w:t>Executive Remuneration ESG Link</w:t>
            </w:r>
          </w:p>
        </w:tc>
        <w:tc>
          <w:tcPr>
            <w:tcW w:type="dxa" w:w="2257"/>
            <w:shd w:fill="F2F6FA" w:val="clear"/>
          </w:tcPr>
          <w:p>
            <w:pPr>
              <w:jc w:val="center"/>
            </w:pPr>
            <w:r>
              <w:rPr>
                <w:color w:val="757575"/>
                <w:sz w:val="16"/>
              </w:rPr>
              <w:t>Framework Compliance Rate</w:t>
            </w:r>
          </w:p>
        </w:tc>
        <w:tc>
          <w:tcPr>
            <w:tcW w:type="dxa" w:w="2257"/>
            <w:shd w:fill="F2F6FA" w:val="clear"/>
          </w:tcPr>
          <w:p>
            <w:pPr>
              <w:jc w:val="center"/>
            </w:pPr>
            <w:r>
              <w:rPr>
                <w:color w:val="757575"/>
                <w:sz w:val="16"/>
              </w:rPr>
              <w:t>Governance Maturity Gap vs Peers</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color w:val="FF8F00"/>
                <w:sz w:val="18"/>
              </w:rPr>
              <w:t>🚨 KEY INSIGHT</w:t>
            </w:r>
          </w:p>
          <w:p>
            <w:r>
              <w:rPr>
                <w:b/>
                <w:sz w:val="22"/>
              </w:rPr>
              <w:t>Zero formal climate governance while peers have Board committees since 2021 — critical regulatory and reputational gap</w:t>
            </w:r>
          </w:p>
          <w:p>
            <w:r>
              <w:rPr>
                <w:sz w:val="20"/>
              </w:rPr>
              <w:t>The institution lacks all required governance elements (Board committee, management role, remuneration linkage) mandated by IFRS S2, GRI, ESRS 2, and OJK POJK 51/2017. Peers BRI, BCA, and DBS established Board-level ESG oversight 3-4 years ago with quarterly review cadence. This gap creates immediate regulatory exposure and limits access to sustainable finance markets.</w:t>
            </w:r>
          </w:p>
        </w:tc>
      </w:tr>
    </w:tbl>
    <w:p/>
    <w:p>
      <w:pPr>
        <w:pStyle w:val="Heading3"/>
        <w:keepNext/>
      </w:pPr>
      <w:r>
        <w:rPr>
          <w:rFonts w:ascii="Arial" w:hAnsi="Arial"/>
          <w:b/>
          <w:color w:val="4A7AB5"/>
          <w:sz w:val="24"/>
        </w:rPr>
        <w:t>Governance Structure Gap Analysis</w:t>
      </w:r>
    </w:p>
    <w:p>
      <w:pPr>
        <w:spacing w:after="160" w:line="276" w:lineRule="auto"/>
      </w:pPr>
      <w:r>
        <w:rPr>
          <w:rFonts w:ascii="Arial" w:hAnsi="Arial"/>
          <w:sz w:val="22"/>
        </w:rPr>
        <w:t>The institution has not yet established formal governance structures for climate-related risks and opportunities as required by multiple sustainability reporting frameworks. This represents a critical gap in meeting regulatory expectations under OJK POJK 51/2017 and international standards including IFRS S2, GRI 2-12/2-13, and ESRS 2 GOV-3. The absence of dedicated board-level oversight mechanisms limits the institution's ability to systematically integrate climate considerations into strategic decision-making and risk management processes.</w:t>
      </w:r>
    </w:p>
    <w:p>
      <w:pPr>
        <w:pStyle w:val="Heading3"/>
        <w:keepNext/>
      </w:pPr>
      <w:r>
        <w:rPr>
          <w:rFonts w:ascii="Arial" w:hAnsi="Arial"/>
          <w:b/>
          <w:color w:val="4A7AB5"/>
          <w:sz w:val="24"/>
        </w:rPr>
        <w:t>Framework Requirements Assessment</w:t>
      </w:r>
    </w:p>
    <w:p>
      <w:pPr>
        <w:spacing w:after="160" w:line="276" w:lineRule="auto"/>
      </w:pPr>
      <w:r>
        <w:rPr>
          <w:rFonts w:ascii="Arial" w:hAnsi="Arial"/>
          <w:sz w:val="22"/>
        </w:rPr>
        <w:t>International and domestic sustainability reporting frameworks mandate specific governance disclosures that the institution currently cannot provide. IFRS S2 Paragraphs 5-7 require identification of the governance body responsible for climate oversight, description of management's role, and explanation of how climate considerations inform strategy and major transactions. GRI 2-12 and 2-13 require disclosure of the highest governance body's role in sustainability oversight and delegation of responsibility for managing impacts. ESRS 2 GOV-3 mandates disclosure of how sustainability performance is integrated into incentive schemes. OJK PSPK regulations require board-level sustainability committees for listed financial institutions. The institution does not currently capture or report data for any of these required elements.</w:t>
      </w:r>
    </w:p>
    <w:p>
      <w:pPr>
        <w:pStyle w:val="Heading3"/>
        <w:keepNext/>
      </w:pPr>
      <w:r>
        <w:rPr>
          <w:rFonts w:ascii="Arial" w:hAnsi="Arial"/>
          <w:b/>
          <w:color w:val="4A7AB5"/>
          <w:sz w:val="24"/>
        </w:rPr>
        <w:t>Peer Benchmark Comparison</w:t>
      </w:r>
    </w:p>
    <w:p>
      <w:pPr>
        <w:spacing w:after="160" w:line="276" w:lineRule="auto"/>
      </w:pPr>
      <w:r>
        <w:rPr>
          <w:rFonts w:ascii="Arial" w:hAnsi="Arial"/>
          <w:sz w:val="22"/>
        </w:rPr>
        <w:t>Leading Indonesian financial institutions have established comprehensive ESG governance frameworks that provide instructive models for implementation. Bank Rakyat Indonesia established a dedicated Risk Management &amp; ESG Committee at the Board of Directors level in 2021 via Decision NOKEP 872-DIR/PPM/06/2022, conducting quarterly climate risk reviews. Bank Central Asia maintains an ESG Subdivision reporting to the Director of Planning &amp; Finance, with Board of Directors and Board of Commissioners receiving ESG updates at least four times annually. DBS Bank has implemented a Board Sustainability Committee with a dedicated Chief Sustainability Officer role, linking 20% of executive remuneration to ESG key performance indicators. Bank Mandiri operates an ESG Task Force with semi-annual board review cadence. These peer institutions demonstrate that robust governance infrastructure is both achievable and increasingly standard practice in the Indonesian banking sector.</w:t>
      </w:r>
    </w:p>
    <w:p>
      <w:pPr>
        <w:pStyle w:val="Heading3"/>
        <w:keepNext/>
      </w:pPr>
      <w:r>
        <w:rPr>
          <w:rFonts w:ascii="Arial" w:hAnsi="Arial"/>
          <w:b/>
          <w:color w:val="4A7AB5"/>
          <w:sz w:val="24"/>
        </w:rPr>
        <w:t>Business Risk Implications</w:t>
      </w:r>
    </w:p>
    <w:p>
      <w:pPr>
        <w:spacing w:after="160" w:line="276" w:lineRule="auto"/>
      </w:pPr>
      <w:r>
        <w:rPr>
          <w:rFonts w:ascii="Arial" w:hAnsi="Arial"/>
          <w:sz w:val="22"/>
        </w:rPr>
        <w:t>The absence of formal climate governance structures creates multiple business risks for the institution. Regulatory risk is immediate: OJK POJK 51/2017 and SEOJK 16/2021 mandate sustainability governance for financial institutions, with potential enforcement actions for non-compliance. Reputational risk is escalating as investors, rating agencies, and civil society increasingly scrutinize financial institutions' climate governance. The institution's current governance gap places it at a competitive disadvantage relative to peers in accessing sustainable finance markets, green bond issuance, and ESG-linked funding. Credit rating agencies including Moody's and S&amp;P explicitly incorporate ESG governance quality into creditworthiness assessments. Without board-level oversight, the institution lacks systematic mechanisms to identify, assess, and manage climate-related financial risks across its lending portfolio, potentially leading to stranded assets and credit losses as Indonesia transitions toward its 2060 net-zero commitment.</w:t>
      </w:r>
    </w:p>
    <w:p>
      <w:pPr>
        <w:pStyle w:val="Heading3"/>
        <w:keepNext/>
      </w:pPr>
      <w:r>
        <w:rPr>
          <w:rFonts w:ascii="Arial" w:hAnsi="Arial"/>
          <w:b/>
          <w:color w:val="4A7AB5"/>
          <w:sz w:val="24"/>
        </w:rPr>
        <w:t>Implementation Roadmap</w:t>
      </w:r>
    </w:p>
    <w:p>
      <w:pPr>
        <w:spacing w:after="160" w:line="276" w:lineRule="auto"/>
      </w:pPr>
      <w:r>
        <w:rPr>
          <w:rFonts w:ascii="Arial" w:hAnsi="Arial"/>
          <w:sz w:val="22"/>
        </w:rPr>
        <w:t>Establishing comprehensive climate governance requires a phased approach aligned with peer best practices and regulatory requirements. Phase 1 (Q3 2025): Establish Board-level ESG Committee with quarterly meeting cadence, modeled on BRI's Risk Management &amp; ESG Committee structure. Appoint committee members with demonstrated climate competency or commit to annual ESG training programs as implemented by BCA. Phase 2 (Q4 2025): Designate management-level responsibility through either a Chief Sustainability Officer role (DBS model) or ESG Subdivision reporting to a Board Director (BCA model). Integrate climate risk assessment into existing Enterprise Risk Management framework. Phase 3 (Q1 2026): Develop and approve Board-level climate policy covering target-setting authority, monitoring frequency, and escalation protocols. Phase 4 (Q2 2026): Link executive remuneration to climate and ESG key performance indicators, targeting 10-20% weight consistent with DBS practice. Phase 5 (Q3 2026): Implement quarterly Board reporting on climate metrics, financed emissions, and progress against targets. This timeline enables full disclosure compliance for the 2026 reporting cycle.</w:t>
      </w:r>
    </w:p>
    <w:p>
      <w:r>
        <w:rPr>
          <w:rFonts w:ascii="Arial" w:hAnsi="Arial"/>
          <w:b/>
          <w:sz w:val="20"/>
        </w:rPr>
        <w:t>Table 50: Table 3.1.1: Framework Compliance Status — Climate Governance Requirements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Status</w:t>
            </w:r>
          </w:p>
        </w:tc>
        <w:tc>
          <w:tcPr>
            <w:tcW w:type="dxa" w:w="1806"/>
            <w:shd w:fill="1B3A6B" w:val="clear"/>
          </w:tcPr>
          <w:p>
            <w:r>
              <w:rPr>
                <w:rFonts w:ascii="Arial" w:hAnsi="Arial"/>
                <w:b/>
                <w:color w:val="FFFFFF"/>
                <w:sz w:val="18"/>
              </w:rPr>
              <w:t>Priority</w:t>
            </w:r>
          </w:p>
        </w:tc>
      </w:tr>
      <w:tr>
        <w:tc>
          <w:tcPr>
            <w:tcW w:type="dxa" w:w="1806"/>
          </w:tcPr>
          <w:p>
            <w:r>
              <w:rPr>
                <w:rFonts w:ascii="Arial" w:hAnsi="Arial"/>
                <w:sz w:val="18"/>
              </w:rPr>
              <w:t>IFRS S2</w:t>
            </w:r>
          </w:p>
        </w:tc>
        <w:tc>
          <w:tcPr>
            <w:tcW w:type="dxa" w:w="1806"/>
          </w:tcPr>
          <w:p>
            <w:r>
              <w:rPr>
                <w:rFonts w:ascii="Arial" w:hAnsi="Arial"/>
                <w:sz w:val="18"/>
              </w:rPr>
              <w:t>Para 5</w:t>
            </w:r>
          </w:p>
        </w:tc>
        <w:tc>
          <w:tcPr>
            <w:tcW w:type="dxa" w:w="1806"/>
          </w:tcPr>
          <w:p>
            <w:r>
              <w:rPr>
                <w:rFonts w:ascii="Arial" w:hAnsi="Arial"/>
                <w:sz w:val="18"/>
              </w:rPr>
              <w:t>Identification of governance body responsible for climate oversight</w:t>
            </w:r>
          </w:p>
        </w:tc>
        <w:tc>
          <w:tcPr>
            <w:tcW w:type="dxa" w:w="1806"/>
          </w:tcPr>
          <w:p>
            <w:r>
              <w:rPr>
                <w:rFonts w:ascii="Arial" w:hAnsi="Arial"/>
                <w:sz w:val="18"/>
              </w:rPr>
              <w:t>❌ Critical Gap</w:t>
            </w:r>
          </w:p>
        </w:tc>
        <w:tc>
          <w:tcPr>
            <w:tcW w:type="dxa" w:w="1806"/>
          </w:tcPr>
          <w:p>
            <w:r>
              <w:rPr>
                <w:rFonts w:ascii="Arial" w:hAnsi="Arial"/>
                <w:sz w:val="18"/>
              </w:rPr>
              <w:t>High</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 6</w:t>
            </w:r>
          </w:p>
        </w:tc>
        <w:tc>
          <w:tcPr>
            <w:tcW w:type="dxa" w:w="1806"/>
            <w:shd w:fill="F2F6FC" w:val="clear"/>
          </w:tcPr>
          <w:p>
            <w:r>
              <w:rPr>
                <w:rFonts w:ascii="Arial" w:hAnsi="Arial"/>
                <w:sz w:val="18"/>
              </w:rPr>
              <w:t>Description of management's role in climate governance</w:t>
            </w:r>
          </w:p>
        </w:tc>
        <w:tc>
          <w:tcPr>
            <w:tcW w:type="dxa" w:w="1806"/>
            <w:shd w:fill="F2F6FC" w:val="clear"/>
          </w:tcPr>
          <w:p>
            <w:r>
              <w:rPr>
                <w:rFonts w:ascii="Arial" w:hAnsi="Arial"/>
                <w:sz w:val="18"/>
              </w:rPr>
              <w:t>❌ Critical Gap</w:t>
            </w:r>
          </w:p>
        </w:tc>
        <w:tc>
          <w:tcPr>
            <w:tcW w:type="dxa" w:w="1806"/>
            <w:shd w:fill="F2F6FC" w:val="clear"/>
          </w:tcPr>
          <w:p>
            <w:r>
              <w:rPr>
                <w:rFonts w:ascii="Arial" w:hAnsi="Arial"/>
                <w:sz w:val="18"/>
              </w:rPr>
              <w:t>High</w:t>
            </w:r>
          </w:p>
        </w:tc>
      </w:tr>
      <w:tr>
        <w:tc>
          <w:tcPr>
            <w:tcW w:type="dxa" w:w="1806"/>
          </w:tcPr>
          <w:p>
            <w:r>
              <w:rPr>
                <w:rFonts w:ascii="Arial" w:hAnsi="Arial"/>
                <w:sz w:val="18"/>
              </w:rPr>
              <w:t>IFRS S2</w:t>
            </w:r>
          </w:p>
        </w:tc>
        <w:tc>
          <w:tcPr>
            <w:tcW w:type="dxa" w:w="1806"/>
          </w:tcPr>
          <w:p>
            <w:r>
              <w:rPr>
                <w:rFonts w:ascii="Arial" w:hAnsi="Arial"/>
                <w:sz w:val="18"/>
              </w:rPr>
              <w:t>Para 7</w:t>
            </w:r>
          </w:p>
        </w:tc>
        <w:tc>
          <w:tcPr>
            <w:tcW w:type="dxa" w:w="1806"/>
          </w:tcPr>
          <w:p>
            <w:r>
              <w:rPr>
                <w:rFonts w:ascii="Arial" w:hAnsi="Arial"/>
                <w:sz w:val="18"/>
              </w:rPr>
              <w:t>How climate considerations inform strategy and major transactions</w:t>
            </w:r>
          </w:p>
        </w:tc>
        <w:tc>
          <w:tcPr>
            <w:tcW w:type="dxa" w:w="1806"/>
          </w:tcPr>
          <w:p>
            <w:r>
              <w:rPr>
                <w:rFonts w:ascii="Arial" w:hAnsi="Arial"/>
                <w:sz w:val="18"/>
              </w:rPr>
              <w:t>❌ Critical Gap</w:t>
            </w:r>
          </w:p>
        </w:tc>
        <w:tc>
          <w:tcPr>
            <w:tcW w:type="dxa" w:w="1806"/>
          </w:tcPr>
          <w:p>
            <w:r>
              <w:rPr>
                <w:rFonts w:ascii="Arial" w:hAnsi="Arial"/>
                <w:sz w:val="18"/>
              </w:rPr>
              <w:t>High</w:t>
            </w:r>
          </w:p>
        </w:tc>
      </w:tr>
      <w:tr>
        <w:tc>
          <w:tcPr>
            <w:tcW w:type="dxa" w:w="1806"/>
            <w:shd w:fill="F2F6FC" w:val="clear"/>
          </w:tcPr>
          <w:p>
            <w:r>
              <w:rPr>
                <w:rFonts w:ascii="Arial" w:hAnsi="Arial"/>
                <w:sz w:val="18"/>
              </w:rPr>
              <w:t>GRI 2-12</w:t>
            </w:r>
          </w:p>
        </w:tc>
        <w:tc>
          <w:tcPr>
            <w:tcW w:type="dxa" w:w="1806"/>
            <w:shd w:fill="F2F6FC" w:val="clear"/>
          </w:tcPr>
          <w:p>
            <w:r>
              <w:rPr>
                <w:rFonts w:ascii="Arial" w:hAnsi="Arial"/>
                <w:sz w:val="18"/>
              </w:rPr>
              <w:t>2-12a</w:t>
            </w:r>
          </w:p>
        </w:tc>
        <w:tc>
          <w:tcPr>
            <w:tcW w:type="dxa" w:w="1806"/>
            <w:shd w:fill="F2F6FC" w:val="clear"/>
          </w:tcPr>
          <w:p>
            <w:r>
              <w:rPr>
                <w:rFonts w:ascii="Arial" w:hAnsi="Arial"/>
                <w:sz w:val="18"/>
              </w:rPr>
              <w:t>Role of highest governance body in sustainability oversight</w:t>
            </w:r>
          </w:p>
        </w:tc>
        <w:tc>
          <w:tcPr>
            <w:tcW w:type="dxa" w:w="1806"/>
            <w:shd w:fill="F2F6FC" w:val="clear"/>
          </w:tcPr>
          <w:p>
            <w:r>
              <w:rPr>
                <w:rFonts w:ascii="Arial" w:hAnsi="Arial"/>
                <w:sz w:val="18"/>
              </w:rPr>
              <w:t>❌ Critical Gap</w:t>
            </w:r>
          </w:p>
        </w:tc>
        <w:tc>
          <w:tcPr>
            <w:tcW w:type="dxa" w:w="1806"/>
            <w:shd w:fill="F2F6FC" w:val="clear"/>
          </w:tcPr>
          <w:p>
            <w:r>
              <w:rPr>
                <w:rFonts w:ascii="Arial" w:hAnsi="Arial"/>
                <w:sz w:val="18"/>
              </w:rPr>
              <w:t>High</w:t>
            </w:r>
          </w:p>
        </w:tc>
      </w:tr>
      <w:tr>
        <w:tc>
          <w:tcPr>
            <w:tcW w:type="dxa" w:w="1806"/>
          </w:tcPr>
          <w:p>
            <w:r>
              <w:rPr>
                <w:rFonts w:ascii="Arial" w:hAnsi="Arial"/>
                <w:sz w:val="18"/>
              </w:rPr>
              <w:t>GRI 2-13</w:t>
            </w:r>
          </w:p>
        </w:tc>
        <w:tc>
          <w:tcPr>
            <w:tcW w:type="dxa" w:w="1806"/>
          </w:tcPr>
          <w:p>
            <w:r>
              <w:rPr>
                <w:rFonts w:ascii="Arial" w:hAnsi="Arial"/>
                <w:sz w:val="18"/>
              </w:rPr>
              <w:t>2-13a</w:t>
            </w:r>
          </w:p>
        </w:tc>
        <w:tc>
          <w:tcPr>
            <w:tcW w:type="dxa" w:w="1806"/>
          </w:tcPr>
          <w:p>
            <w:r>
              <w:rPr>
                <w:rFonts w:ascii="Arial" w:hAnsi="Arial"/>
                <w:sz w:val="18"/>
              </w:rPr>
              <w:t>Delegation of responsibility for managing sustainability impacts</w:t>
            </w:r>
          </w:p>
        </w:tc>
        <w:tc>
          <w:tcPr>
            <w:tcW w:type="dxa" w:w="1806"/>
          </w:tcPr>
          <w:p>
            <w:r>
              <w:rPr>
                <w:rFonts w:ascii="Arial" w:hAnsi="Arial"/>
                <w:sz w:val="18"/>
              </w:rPr>
              <w:t>❌ Critical Gap</w:t>
            </w:r>
          </w:p>
        </w:tc>
        <w:tc>
          <w:tcPr>
            <w:tcW w:type="dxa" w:w="1806"/>
          </w:tcPr>
          <w:p>
            <w:r>
              <w:rPr>
                <w:rFonts w:ascii="Arial" w:hAnsi="Arial"/>
                <w:sz w:val="18"/>
              </w:rPr>
              <w:t>High</w:t>
            </w:r>
          </w:p>
        </w:tc>
      </w:tr>
      <w:tr>
        <w:tc>
          <w:tcPr>
            <w:tcW w:type="dxa" w:w="1806"/>
            <w:shd w:fill="F2F6FC" w:val="clear"/>
          </w:tcPr>
          <w:p>
            <w:r>
              <w:rPr>
                <w:rFonts w:ascii="Arial" w:hAnsi="Arial"/>
                <w:sz w:val="18"/>
              </w:rPr>
              <w:t>ESRS 2</w:t>
            </w:r>
          </w:p>
        </w:tc>
        <w:tc>
          <w:tcPr>
            <w:tcW w:type="dxa" w:w="1806"/>
            <w:shd w:fill="F2F6FC" w:val="clear"/>
          </w:tcPr>
          <w:p>
            <w:r>
              <w:rPr>
                <w:rFonts w:ascii="Arial" w:hAnsi="Arial"/>
                <w:sz w:val="18"/>
              </w:rPr>
              <w:t>GOV-3</w:t>
            </w:r>
          </w:p>
        </w:tc>
        <w:tc>
          <w:tcPr>
            <w:tcW w:type="dxa" w:w="1806"/>
            <w:shd w:fill="F2F6FC" w:val="clear"/>
          </w:tcPr>
          <w:p>
            <w:r>
              <w:rPr>
                <w:rFonts w:ascii="Arial" w:hAnsi="Arial"/>
                <w:sz w:val="18"/>
              </w:rPr>
              <w:t>Integration of sustainability performance in incentive schemes</w:t>
            </w:r>
          </w:p>
        </w:tc>
        <w:tc>
          <w:tcPr>
            <w:tcW w:type="dxa" w:w="1806"/>
            <w:shd w:fill="F2F6FC" w:val="clear"/>
          </w:tcPr>
          <w:p>
            <w:r>
              <w:rPr>
                <w:rFonts w:ascii="Arial" w:hAnsi="Arial"/>
                <w:sz w:val="18"/>
              </w:rPr>
              <w:t>❌ Critical Gap</w:t>
            </w:r>
          </w:p>
        </w:tc>
        <w:tc>
          <w:tcPr>
            <w:tcW w:type="dxa" w:w="1806"/>
            <w:shd w:fill="F2F6FC" w:val="clear"/>
          </w:tcPr>
          <w:p>
            <w:r>
              <w:rPr>
                <w:rFonts w:ascii="Arial" w:hAnsi="Arial"/>
                <w:sz w:val="18"/>
              </w:rPr>
              <w:t>Medium</w:t>
            </w:r>
          </w:p>
        </w:tc>
      </w:tr>
      <w:tr>
        <w:tc>
          <w:tcPr>
            <w:tcW w:type="dxa" w:w="1806"/>
          </w:tcPr>
          <w:p>
            <w:r>
              <w:rPr>
                <w:rFonts w:ascii="Arial" w:hAnsi="Arial"/>
                <w:sz w:val="18"/>
              </w:rPr>
              <w:t>OJK PSPK</w:t>
            </w:r>
          </w:p>
        </w:tc>
        <w:tc>
          <w:tcPr>
            <w:tcW w:type="dxa" w:w="1806"/>
          </w:tcPr>
          <w:p>
            <w:r>
              <w:rPr>
                <w:rFonts w:ascii="Arial" w:hAnsi="Arial"/>
                <w:sz w:val="18"/>
              </w:rPr>
              <w:t>POJK 51/2017</w:t>
            </w:r>
          </w:p>
        </w:tc>
        <w:tc>
          <w:tcPr>
            <w:tcW w:type="dxa" w:w="1806"/>
          </w:tcPr>
          <w:p>
            <w:r>
              <w:rPr>
                <w:rFonts w:ascii="Arial" w:hAnsi="Arial"/>
                <w:sz w:val="18"/>
              </w:rPr>
              <w:t>Board-level sustainability committee for listed financial institutions</w:t>
            </w:r>
          </w:p>
        </w:tc>
        <w:tc>
          <w:tcPr>
            <w:tcW w:type="dxa" w:w="1806"/>
          </w:tcPr>
          <w:p>
            <w:r>
              <w:rPr>
                <w:rFonts w:ascii="Arial" w:hAnsi="Arial"/>
                <w:sz w:val="18"/>
              </w:rPr>
              <w:t>❌ Critical Gap</w:t>
            </w:r>
          </w:p>
        </w:tc>
        <w:tc>
          <w:tcPr>
            <w:tcW w:type="dxa" w:w="1806"/>
          </w:tcPr>
          <w:p>
            <w:r>
              <w:rPr>
                <w:rFonts w:ascii="Arial" w:hAnsi="Arial"/>
                <w:sz w:val="18"/>
              </w:rPr>
              <w:t>High</w:t>
            </w:r>
          </w:p>
        </w:tc>
      </w:tr>
    </w:tbl>
    <w:p>
      <w:r>
        <w:rPr>
          <w:rFonts w:ascii="Arial" w:hAnsi="Arial"/>
          <w:i/>
          <w:sz w:val="16"/>
        </w:rPr>
        <w:t>Source: Status assessment based on DATA INPUT governance fields (all NULL). Priority reflects regulatory exposure and peer practice.</w:t>
      </w:r>
    </w:p>
    <w:p/>
    <w:p>
      <w:r>
        <w:rPr>
          <w:rFonts w:ascii="Arial" w:hAnsi="Arial"/>
          <w:b/>
          <w:sz w:val="20"/>
        </w:rPr>
        <w:t>Table 52: Table 3.1.2: Peer Governance Benchmark — Indonesian Banking Sector</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Governance Element</w:t>
            </w:r>
          </w:p>
        </w:tc>
        <w:tc>
          <w:tcPr>
            <w:tcW w:type="dxa" w:w="1505"/>
            <w:shd w:fill="1B3A6B" w:val="clear"/>
          </w:tcPr>
          <w:p>
            <w:r>
              <w:rPr>
                <w:rFonts w:ascii="Arial" w:hAnsi="Arial"/>
                <w:b/>
                <w:color w:val="FFFFFF"/>
                <w:sz w:val="18"/>
              </w:rPr>
              <w:t>BRI</w:t>
            </w:r>
          </w:p>
        </w:tc>
        <w:tc>
          <w:tcPr>
            <w:tcW w:type="dxa" w:w="1505"/>
            <w:shd w:fill="1B3A6B" w:val="clear"/>
          </w:tcPr>
          <w:p>
            <w:r>
              <w:rPr>
                <w:rFonts w:ascii="Arial" w:hAnsi="Arial"/>
                <w:b/>
                <w:color w:val="FFFFFF"/>
                <w:sz w:val="18"/>
              </w:rPr>
              <w:t>BCA</w:t>
            </w:r>
          </w:p>
        </w:tc>
        <w:tc>
          <w:tcPr>
            <w:tcW w:type="dxa" w:w="1505"/>
            <w:shd w:fill="1B3A6B" w:val="clear"/>
          </w:tcPr>
          <w:p>
            <w:r>
              <w:rPr>
                <w:rFonts w:ascii="Arial" w:hAnsi="Arial"/>
                <w:b/>
                <w:color w:val="FFFFFF"/>
                <w:sz w:val="18"/>
              </w:rPr>
              <w:t>DBS</w:t>
            </w:r>
          </w:p>
        </w:tc>
        <w:tc>
          <w:tcPr>
            <w:tcW w:type="dxa" w:w="1505"/>
            <w:shd w:fill="1B3A6B" w:val="clear"/>
          </w:tcPr>
          <w:p>
            <w:r>
              <w:rPr>
                <w:rFonts w:ascii="Arial" w:hAnsi="Arial"/>
                <w:b/>
                <w:color w:val="FFFFFF"/>
                <w:sz w:val="18"/>
              </w:rPr>
              <w:t>Mandiri</w:t>
            </w:r>
          </w:p>
        </w:tc>
        <w:tc>
          <w:tcPr>
            <w:tcW w:type="dxa" w:w="1505"/>
            <w:shd w:fill="1B3A6B" w:val="clear"/>
          </w:tcPr>
          <w:p>
            <w:r>
              <w:rPr>
                <w:rFonts w:ascii="Arial" w:hAnsi="Arial"/>
                <w:b/>
                <w:color w:val="FFFFFF"/>
                <w:sz w:val="18"/>
              </w:rPr>
              <w:t>GENERIC_FI_001</w:t>
            </w:r>
          </w:p>
        </w:tc>
      </w:tr>
      <w:tr>
        <w:tc>
          <w:tcPr>
            <w:tcW w:type="dxa" w:w="1505"/>
          </w:tcPr>
          <w:p>
            <w:r>
              <w:rPr>
                <w:rFonts w:ascii="Arial" w:hAnsi="Arial"/>
                <w:sz w:val="18"/>
              </w:rPr>
              <w:t>Dedicated ESG Committee</w:t>
            </w:r>
          </w:p>
        </w:tc>
        <w:tc>
          <w:tcPr>
            <w:tcW w:type="dxa" w:w="1505"/>
          </w:tcPr>
          <w:p>
            <w:r>
              <w:rPr>
                <w:rFonts w:ascii="Arial" w:hAnsi="Arial"/>
                <w:sz w:val="18"/>
              </w:rPr>
              <w:t>✅ Risk Mgmt &amp; ESG Committee (2021)</w:t>
            </w:r>
          </w:p>
        </w:tc>
        <w:tc>
          <w:tcPr>
            <w:tcW w:type="dxa" w:w="1505"/>
          </w:tcPr>
          <w:p>
            <w:r>
              <w:rPr>
                <w:rFonts w:ascii="Arial" w:hAnsi="Arial"/>
                <w:sz w:val="18"/>
              </w:rPr>
              <w:t>ESG Subdivision under Corporate Secretary</w:t>
            </w:r>
          </w:p>
        </w:tc>
        <w:tc>
          <w:tcPr>
            <w:tcW w:type="dxa" w:w="1505"/>
          </w:tcPr>
          <w:p>
            <w:r>
              <w:rPr>
                <w:rFonts w:ascii="Arial" w:hAnsi="Arial"/>
                <w:sz w:val="18"/>
              </w:rPr>
              <w:t>✅ Board Sustainability Committee</w:t>
            </w:r>
          </w:p>
        </w:tc>
        <w:tc>
          <w:tcPr>
            <w:tcW w:type="dxa" w:w="1505"/>
          </w:tcPr>
          <w:p>
            <w:r>
              <w:rPr>
                <w:rFonts w:ascii="Arial" w:hAnsi="Arial"/>
                <w:sz w:val="18"/>
              </w:rPr>
              <w:t>ESG Task Force</w:t>
            </w:r>
          </w:p>
        </w:tc>
        <w:tc>
          <w:tcPr>
            <w:tcW w:type="dxa" w:w="1505"/>
          </w:tcPr>
          <w:p>
            <w:r>
              <w:rPr>
                <w:rFonts w:ascii="Arial" w:hAnsi="Arial"/>
                <w:sz w:val="18"/>
              </w:rPr>
              <w:t>❌ Not Established</w:t>
            </w:r>
          </w:p>
        </w:tc>
      </w:tr>
      <w:tr>
        <w:tc>
          <w:tcPr>
            <w:tcW w:type="dxa" w:w="1505"/>
            <w:shd w:fill="F2F6FC" w:val="clear"/>
          </w:tcPr>
          <w:p>
            <w:r>
              <w:rPr>
                <w:rFonts w:ascii="Arial" w:hAnsi="Arial"/>
                <w:sz w:val="18"/>
              </w:rPr>
              <w:t>Board Review Frequency</w:t>
            </w:r>
          </w:p>
        </w:tc>
        <w:tc>
          <w:tcPr>
            <w:tcW w:type="dxa" w:w="1505"/>
            <w:shd w:fill="F2F6FC" w:val="clear"/>
          </w:tcPr>
          <w:p>
            <w:r>
              <w:rPr>
                <w:rFonts w:ascii="Arial" w:hAnsi="Arial"/>
                <w:sz w:val="18"/>
              </w:rPr>
              <w:t>Quarterly</w:t>
            </w:r>
          </w:p>
        </w:tc>
        <w:tc>
          <w:tcPr>
            <w:tcW w:type="dxa" w:w="1505"/>
            <w:shd w:fill="F2F6FC" w:val="clear"/>
          </w:tcPr>
          <w:p>
            <w:r>
              <w:rPr>
                <w:rFonts w:ascii="Arial" w:hAnsi="Arial"/>
                <w:sz w:val="18"/>
              </w:rPr>
              <w:t>≥4x per year</w:t>
            </w:r>
          </w:p>
        </w:tc>
        <w:tc>
          <w:tcPr>
            <w:tcW w:type="dxa" w:w="1505"/>
            <w:shd w:fill="F2F6FC" w:val="clear"/>
          </w:tcPr>
          <w:p>
            <w:r>
              <w:rPr>
                <w:rFonts w:ascii="Arial" w:hAnsi="Arial"/>
                <w:sz w:val="18"/>
              </w:rPr>
              <w:t>Quarterly</w:t>
            </w:r>
          </w:p>
        </w:tc>
        <w:tc>
          <w:tcPr>
            <w:tcW w:type="dxa" w:w="1505"/>
            <w:shd w:fill="F2F6FC" w:val="clear"/>
          </w:tcPr>
          <w:p>
            <w:r>
              <w:rPr>
                <w:rFonts w:ascii="Arial" w:hAnsi="Arial"/>
                <w:sz w:val="18"/>
              </w:rPr>
              <w:t>Semi-annual</w:t>
            </w:r>
          </w:p>
        </w:tc>
        <w:tc>
          <w:tcPr>
            <w:tcW w:type="dxa" w:w="1505"/>
            <w:shd w:fill="F2F6FC" w:val="clear"/>
          </w:tcPr>
          <w:p>
            <w:r>
              <w:rPr>
                <w:rFonts w:ascii="Arial" w:hAnsi="Arial"/>
                <w:sz w:val="18"/>
              </w:rPr>
              <w:t>❌ Not Established</w:t>
            </w:r>
          </w:p>
        </w:tc>
      </w:tr>
      <w:tr>
        <w:tc>
          <w:tcPr>
            <w:tcW w:type="dxa" w:w="1505"/>
          </w:tcPr>
          <w:p>
            <w:r>
              <w:rPr>
                <w:rFonts w:ascii="Arial" w:hAnsi="Arial"/>
                <w:sz w:val="18"/>
              </w:rPr>
              <w:t>ESG KPI in Executive Remuneration</w:t>
            </w:r>
          </w:p>
        </w:tc>
        <w:tc>
          <w:tcPr>
            <w:tcW w:type="dxa" w:w="1505"/>
          </w:tcPr>
          <w:p>
            <w:r>
              <w:rPr>
                <w:rFonts w:ascii="Arial" w:hAnsi="Arial"/>
                <w:sz w:val="18"/>
              </w:rPr>
              <w:t>✅ Yes</w:t>
            </w:r>
          </w:p>
        </w:tc>
        <w:tc>
          <w:tcPr>
            <w:tcW w:type="dxa" w:w="1505"/>
          </w:tcPr>
          <w:p>
            <w:r>
              <w:rPr>
                <w:rFonts w:ascii="Arial" w:hAnsi="Arial"/>
                <w:sz w:val="18"/>
              </w:rPr>
              <w:t>✅ Integrated to BoD KPIs</w:t>
            </w:r>
          </w:p>
        </w:tc>
        <w:tc>
          <w:tcPr>
            <w:tcW w:type="dxa" w:w="1505"/>
          </w:tcPr>
          <w:p>
            <w:r>
              <w:rPr>
                <w:rFonts w:ascii="Arial" w:hAnsi="Arial"/>
                <w:sz w:val="18"/>
              </w:rPr>
              <w:t>✅ Yes (20% weight)</w:t>
            </w:r>
          </w:p>
        </w:tc>
        <w:tc>
          <w:tcPr>
            <w:tcW w:type="dxa" w:w="1505"/>
          </w:tcPr>
          <w:p>
            <w:r>
              <w:rPr>
                <w:rFonts w:ascii="Arial" w:hAnsi="Arial"/>
                <w:sz w:val="18"/>
              </w:rPr>
              <w:t>Partial</w:t>
            </w:r>
          </w:p>
        </w:tc>
        <w:tc>
          <w:tcPr>
            <w:tcW w:type="dxa" w:w="1505"/>
          </w:tcPr>
          <w:p>
            <w:r>
              <w:rPr>
                <w:rFonts w:ascii="Arial" w:hAnsi="Arial"/>
                <w:sz w:val="18"/>
              </w:rPr>
              <w:t>❌ Not Established</w:t>
            </w:r>
          </w:p>
        </w:tc>
      </w:tr>
      <w:tr>
        <w:tc>
          <w:tcPr>
            <w:tcW w:type="dxa" w:w="1505"/>
            <w:shd w:fill="F2F6FC" w:val="clear"/>
          </w:tcPr>
          <w:p>
            <w:r>
              <w:rPr>
                <w:rFonts w:ascii="Arial" w:hAnsi="Arial"/>
                <w:sz w:val="18"/>
              </w:rPr>
              <w:t>Reporting Line</w:t>
            </w:r>
          </w:p>
        </w:tc>
        <w:tc>
          <w:tcPr>
            <w:tcW w:type="dxa" w:w="1505"/>
            <w:shd w:fill="F2F6FC" w:val="clear"/>
          </w:tcPr>
          <w:p>
            <w:r>
              <w:rPr>
                <w:rFonts w:ascii="Arial" w:hAnsi="Arial"/>
                <w:sz w:val="18"/>
              </w:rPr>
              <w:t>President Director</w:t>
            </w:r>
          </w:p>
        </w:tc>
        <w:tc>
          <w:tcPr>
            <w:tcW w:type="dxa" w:w="1505"/>
            <w:shd w:fill="F2F6FC" w:val="clear"/>
          </w:tcPr>
          <w:p>
            <w:r>
              <w:rPr>
                <w:rFonts w:ascii="Arial" w:hAnsi="Arial"/>
                <w:sz w:val="18"/>
              </w:rPr>
              <w:t>Director Planning &amp; Finance → President Director</w:t>
            </w:r>
          </w:p>
        </w:tc>
        <w:tc>
          <w:tcPr>
            <w:tcW w:type="dxa" w:w="1505"/>
            <w:shd w:fill="F2F6FC" w:val="clear"/>
          </w:tcPr>
          <w:p>
            <w:r>
              <w:rPr>
                <w:rFonts w:ascii="Arial" w:hAnsi="Arial"/>
                <w:sz w:val="18"/>
              </w:rPr>
              <w:t>Chief Sustainability Officer → Board</w:t>
            </w:r>
          </w:p>
        </w:tc>
        <w:tc>
          <w:tcPr>
            <w:tcW w:type="dxa" w:w="1505"/>
            <w:shd w:fill="F2F6FC" w:val="clear"/>
          </w:tcPr>
          <w:p>
            <w:r>
              <w:rPr>
                <w:rFonts w:ascii="Arial" w:hAnsi="Arial"/>
                <w:sz w:val="18"/>
              </w:rPr>
              <w:t>Director → President Director</w:t>
            </w:r>
          </w:p>
        </w:tc>
        <w:tc>
          <w:tcPr>
            <w:tcW w:type="dxa" w:w="1505"/>
            <w:shd w:fill="F2F6FC" w:val="clear"/>
          </w:tcPr>
          <w:p>
            <w:r>
              <w:rPr>
                <w:rFonts w:ascii="Arial" w:hAnsi="Arial"/>
                <w:sz w:val="18"/>
              </w:rPr>
              <w:t>❌ Not Established</w:t>
            </w:r>
          </w:p>
        </w:tc>
      </w:tr>
      <w:tr>
        <w:tc>
          <w:tcPr>
            <w:tcW w:type="dxa" w:w="1505"/>
          </w:tcPr>
          <w:p>
            <w:r>
              <w:rPr>
                <w:rFonts w:ascii="Arial" w:hAnsi="Arial"/>
                <w:sz w:val="18"/>
              </w:rPr>
              <w:t>Policy Framework</w:t>
            </w:r>
          </w:p>
        </w:tc>
        <w:tc>
          <w:tcPr>
            <w:tcW w:type="dxa" w:w="1505"/>
          </w:tcPr>
          <w:p>
            <w:r>
              <w:rPr>
                <w:rFonts w:ascii="Arial" w:hAnsi="Arial"/>
                <w:sz w:val="18"/>
              </w:rPr>
              <w:t>BoD Circular (sustainability)</w:t>
            </w:r>
          </w:p>
        </w:tc>
        <w:tc>
          <w:tcPr>
            <w:tcW w:type="dxa" w:w="1505"/>
          </w:tcPr>
          <w:p>
            <w:r>
              <w:rPr>
                <w:rFonts w:ascii="Arial" w:hAnsi="Arial"/>
                <w:sz w:val="18"/>
              </w:rPr>
              <w:t>Multiple BoD Decrees (SLL, Green Loan, Sectoral ESG)</w:t>
            </w:r>
          </w:p>
        </w:tc>
        <w:tc>
          <w:tcPr>
            <w:tcW w:type="dxa" w:w="1505"/>
          </w:tcPr>
          <w:p>
            <w:r>
              <w:rPr>
                <w:rFonts w:ascii="Arial" w:hAnsi="Arial"/>
                <w:sz w:val="18"/>
              </w:rPr>
              <w:t>Board-approved ESG Framework</w:t>
            </w:r>
          </w:p>
        </w:tc>
        <w:tc>
          <w:tcPr>
            <w:tcW w:type="dxa" w:w="1505"/>
          </w:tcPr>
          <w:p>
            <w:r>
              <w:rPr>
                <w:rFonts w:ascii="Arial" w:hAnsi="Arial"/>
                <w:sz w:val="18"/>
              </w:rPr>
              <w:t>Internal policy</w:t>
            </w:r>
          </w:p>
        </w:tc>
        <w:tc>
          <w:tcPr>
            <w:tcW w:type="dxa" w:w="1505"/>
          </w:tcPr>
          <w:p>
            <w:r>
              <w:rPr>
                <w:rFonts w:ascii="Arial" w:hAnsi="Arial"/>
                <w:sz w:val="18"/>
              </w:rPr>
              <w:t>❌ Not Established</w:t>
            </w:r>
          </w:p>
        </w:tc>
      </w:tr>
    </w:tbl>
    <w:p>
      <w:r>
        <w:rPr>
          <w:rFonts w:ascii="Arial" w:hAnsi="Arial"/>
          <w:i/>
          <w:sz w:val="16"/>
        </w:rPr>
        <w:t>Source: Source: BRI Sustainability Report 2023, BCA Sustainability Report 2025, DBS Sustainability Report 2023, Bank Mandiri Sustainability Report 2023. GENERIC_FI_001 status from DATA INPUT.</w:t>
      </w:r>
    </w:p>
    <w:p/>
    <w:p/>
    <w:p>
      <w:r>
        <w:drawing>
          <wp:inline xmlns:a="http://schemas.openxmlformats.org/drawingml/2006/main" xmlns:pic="http://schemas.openxmlformats.org/drawingml/2006/picture">
            <wp:extent cx="5029200" cy="2730137"/>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2730137"/>
                    </a:xfrm>
                    <a:prstGeom prst="rect"/>
                  </pic:spPr>
                </pic:pic>
              </a:graphicData>
            </a:graphic>
          </wp:inline>
        </w:drawing>
      </w:r>
    </w:p>
    <w:p>
      <w:pPr>
        <w:jc w:val="center"/>
      </w:pPr>
      <w:r>
        <w:rPr>
          <w:i/>
          <w:color w:val="666666"/>
          <w:sz w:val="18"/>
        </w:rPr>
        <w:t>Figure 19: Climate Governance Maturity: GENERIC_FI_001 vs Indonesian Banking Peers</w:t>
      </w:r>
    </w:p>
    <w:p>
      <w:pPr>
        <w:jc w:val="center"/>
      </w:pPr>
      <w:r>
        <w:rPr>
          <w:i/>
          <w:color w:val="757575"/>
          <w:sz w:val="18"/>
        </w:rPr>
        <w:t>Institution scores zero across all governance dimensions while peers average 75-90% maturity — immediate action required to close 3-4 year implementation gap</w:t>
      </w:r>
    </w:p>
    <w:p/>
    <w:p>
      <w:r>
        <w:drawing>
          <wp:inline xmlns:a="http://schemas.openxmlformats.org/drawingml/2006/main" xmlns:pic="http://schemas.openxmlformats.org/drawingml/2006/picture">
            <wp:extent cx="5029200" cy="3265930"/>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265930"/>
                    </a:xfrm>
                    <a:prstGeom prst="rect"/>
                  </pic:spPr>
                </pic:pic>
              </a:graphicData>
            </a:graphic>
          </wp:inline>
        </w:drawing>
      </w:r>
    </w:p>
    <w:p>
      <w:pPr>
        <w:jc w:val="center"/>
      </w:pPr>
      <w:r>
        <w:rPr>
          <w:i/>
          <w:color w:val="666666"/>
          <w:sz w:val="18"/>
        </w:rPr>
        <w:t>Figure 20: Framework Compliance Status — Climate Governance Requirements</w:t>
      </w:r>
    </w:p>
    <w:p>
      <w:pPr>
        <w:jc w:val="center"/>
      </w:pPr>
      <w:r>
        <w:rPr>
          <w:i/>
          <w:color w:val="757575"/>
          <w:sz w:val="18"/>
        </w:rPr>
        <w:t>100% of governance requirements across IFRS S2, GRI, ESRS 2, and OJK are currently non-compliant — critical regulatory exposure</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absence of climate governance structures reflects organizational prioritization rather than technical barriers. Peer institutions in the Indonesian banking sector have successfully implemented Board-level ESG committees, management accountability mechanisms, and remuneration linkages over the past 3-4 years, demonstrating feasibility. The governance gap likely stems from: (1) insufficient Board awareness of regulatory requirements and investor expectations, (2) lack of dedicated sustainability function to drive governance establishment, (3) competing organizational priorities during post-pandemic recovery. This gap is widening as regulatory scrutiny intensifies (OJK SEOJK 16/2021 on ESG risk management) and as peers advance their governance maturity.</w:t>
            </w:r>
          </w:p>
          <w:p>
            <w:r>
              <w:rPr>
                <w:b/>
                <w:sz w:val="20"/>
              </w:rPr>
              <w:t>Root Causes:</w:t>
            </w:r>
          </w:p>
          <w:p>
            <w:r>
              <w:rPr>
                <w:sz w:val="18"/>
              </w:rPr>
              <w:t>• No dedicated sustainability function or Chief Sustainability Officer role to champion governance establishment and coordinate cross-functional implementation</w:t>
            </w:r>
          </w:p>
          <w:p>
            <w:r>
              <w:rPr>
                <w:sz w:val="18"/>
              </w:rPr>
              <w:t>• Board of Directors and Board of Commissioners have not received formal ESG training, limiting awareness of governance requirements under IFRS S2, ESRS 2, and OJK regulations</w:t>
            </w:r>
          </w:p>
          <w:p>
            <w:r>
              <w:rPr>
                <w:sz w:val="18"/>
              </w:rPr>
              <w:t>• Absence of investor or rating agency pressure to establish climate governance, possibly due to limited international investor base or lower ESG rating coverage</w:t>
            </w:r>
          </w:p>
          <w:p>
            <w:r>
              <w:rPr>
                <w:sz w:val="18"/>
              </w:rPr>
              <w:t>• Organizational focus on operational recovery and digital transformation may have deprioritized sustainability governance infrastructure development</w:t>
            </w:r>
          </w:p>
          <w:p>
            <w:r>
              <w:rPr>
                <w:b/>
                <w:sz w:val="20"/>
              </w:rPr>
              <w:t>Risk Implications:</w:t>
            </w:r>
          </w:p>
          <w:p>
            <w:r>
              <w:rPr>
                <w:sz w:val="18"/>
              </w:rPr>
              <w:t>• Regulatory risk: Non-compliance with OJK POJK 51/2017 and SEOJK 16/2021 creates enforcement exposure. OJK has authority to impose sanctions including operational restrictions for financial institutions failing to implement required sustainability governance.</w:t>
            </w:r>
          </w:p>
          <w:p>
            <w:r>
              <w:rPr>
                <w:sz w:val="18"/>
              </w:rPr>
              <w:t>• Reputational risk: Governance gap is visible to investors, rating agencies, and civil society through sustainability report disclosures. ESG rating agencies (MSCI, Sustainalytics, CDP) explicitly penalize absence of Board-level climate oversight, limiting access to ESG-linked capital.</w:t>
            </w:r>
          </w:p>
          <w:p>
            <w:r>
              <w:rPr>
                <w:sz w:val="18"/>
              </w:rPr>
              <w:t>• Strategic risk: Without Board oversight, climate considerations are not systematically integrated into strategic planning, capital allocation, or M&amp;A decisions. This increases exposure to transition risks as Indonesia progresses toward 2060 net-zero commitment and implements carbon pricing (Presidential Regulation 98/2021).</w:t>
            </w:r>
          </w:p>
          <w:p>
            <w:r>
              <w:rPr>
                <w:sz w:val="18"/>
              </w:rPr>
              <w:t>• Financial risk: Absence of management accountability for climate risks limits effectiveness of Environmental and Social Risk Management (ESRM) in lending decisions, potentially leading to stranded assets in carbon-intensive sectors (oil &amp; gas, coal, cement) that comprise 43.56% of financed emissions.</w:t>
            </w:r>
          </w:p>
        </w:tc>
      </w:tr>
    </w:tbl>
    <w:p/>
    <w:p/>
    <w:p>
      <w:r>
        <w:rPr>
          <w:b/>
          <w:color w:val="2E7D32"/>
          <w:sz w:val="24"/>
        </w:rPr>
        <w:t>⚡ Priority Actions</w:t>
      </w:r>
    </w:p>
    <w:p>
      <w:r>
        <w:rPr>
          <w:b/>
          <w:sz w:val="22"/>
        </w:rPr>
        <w:t>🔴 1. Establish Board-level Risk Management &amp; ESG Committee with minimum 3 members including 1 independent commissioner with climate expertise. Committee charter should mandate quarterly meetings, climate risk review authority, and oversight of sustainability reporting. Model on BRI NOKEP 872-DIR/PPM/06/2022 structure.</w:t>
      </w:r>
      <w:r>
        <w:rPr>
          <w:sz w:val="22"/>
        </w:rPr>
        <w:t xml:space="preserve"> (Q3 2025)</w:t>
      </w:r>
    </w:p>
    <w:p>
      <w:pPr>
        <w:spacing w:after="160" w:line="276" w:lineRule="auto"/>
      </w:pPr>
      <w:r>
        <w:t xml:space="preserve">    → Expected: Meets OJK POJK 51/2017 core requirement; enables IFRS S2 Para 5 disclosure; establishes foundation for systematic climate oversight. Peer experience: BRI committee operational within 6 months of establishment decision.</w:t>
      </w:r>
    </w:p>
    <w:p>
      <w:pPr>
        <w:spacing w:after="160" w:line="276" w:lineRule="auto"/>
      </w:pPr>
      <w:r>
        <w:rPr>
          <w:rFonts w:ascii="Arial" w:hAnsi="Arial"/>
          <w:i/>
          <w:color w:val="646464"/>
          <w:sz w:val="18"/>
        </w:rPr>
        <w:t xml:space="preserve">    → Ref: BRI — Risk Management &amp; ESG Committee established 2021, quarterly cadence, reports directly to Board of Commissioners. BCA — Board reviews ESG ≥4x annually with dedicated agenda time.</w:t>
      </w:r>
    </w:p>
    <w:p>
      <w:r>
        <w:rPr>
          <w:b/>
          <w:sz w:val="22"/>
        </w:rPr>
        <w:t>🔴 2. Appoint Chief Sustainability Officer reporting to President Director with authority over: (1) climate target-setting and monitoring, (2) ESRM policy implementation, (3) sustainability reporting and disclosure, (4) stakeholder engagement on ESG. Recruit externally if internal capability gap exists.</w:t>
      </w:r>
      <w:r>
        <w:rPr>
          <w:sz w:val="22"/>
        </w:rPr>
        <w:t xml:space="preserve"> (Q4 2025)</w:t>
      </w:r>
    </w:p>
    <w:p>
      <w:pPr>
        <w:spacing w:after="160" w:line="276" w:lineRule="auto"/>
      </w:pPr>
      <w:r>
        <w:t xml:space="preserve">    → Expected: Establishes management accountability per IFRS S2 Para 6; enables day-to-day climate risk management; coordinates cross-functional ESG initiatives. Peer experience: DBS CSO role elevated climate from compliance function to strategic priority.</w:t>
      </w:r>
    </w:p>
    <w:p>
      <w:pPr>
        <w:spacing w:after="160" w:line="276" w:lineRule="auto"/>
      </w:pPr>
      <w:r>
        <w:rPr>
          <w:rFonts w:ascii="Arial" w:hAnsi="Arial"/>
          <w:i/>
          <w:color w:val="646464"/>
          <w:sz w:val="18"/>
        </w:rPr>
        <w:t xml:space="preserve">    → Ref: DBS — Chief Sustainability Officer with Board reporting line, oversees SGD 74B sustainable finance portfolio. BCA — ESG Subdivision under Director Planning &amp; Finance coordinates all sustainability initiatives.</w:t>
      </w:r>
    </w:p>
    <w:p>
      <w:r>
        <w:rPr>
          <w:b/>
          <w:sz w:val="22"/>
        </w:rPr>
        <w:t>🔴 3. Develop and approve Board Climate Risk Management Policy covering: (1) climate target approval authority (Board vs management), (2) quarterly reporting requirements to Board ESG Committee, (3) escalation protocols for material climate risks (&gt;IDR 1 trillion exposure), (4) integration with Enterprise Risk Management framework, (5) ESRM sectoral policies for high-emission sectors.</w:t>
      </w:r>
      <w:r>
        <w:rPr>
          <w:sz w:val="22"/>
        </w:rPr>
        <w:t xml:space="preserve"> (Q1 2026)</w:t>
      </w:r>
    </w:p>
    <w:p>
      <w:pPr>
        <w:spacing w:after="160" w:line="276" w:lineRule="auto"/>
      </w:pPr>
      <w:r>
        <w:t xml:space="preserve">    → Expected: Formalizes governance processes per IFRS S2 Para 7; provides framework for systematic climate risk management; prerequisite for Science-Based Targets initiative (SBTi) commitment. Peer experience: BRI policy framework enabled SBTi submission as first Indonesian financial institution.</w:t>
      </w:r>
    </w:p>
    <w:p>
      <w:pPr>
        <w:spacing w:after="160" w:line="276" w:lineRule="auto"/>
      </w:pPr>
      <w:r>
        <w:rPr>
          <w:rFonts w:ascii="Arial" w:hAnsi="Arial"/>
          <w:i/>
          <w:color w:val="646464"/>
          <w:sz w:val="18"/>
        </w:rPr>
        <w:t xml:space="preserve">    → Ref: BRI — Comprehensive sustainability policy via BoD circulars, enabled SBTi commitment. BCA — Multiple BoD Decrees for Sustainability-Linked Loans, Green Loans, and sectoral ESG policies (coal, palm oil, cement, oil &amp; gas).</w:t>
      </w:r>
    </w:p>
    <w:p>
      <w:r>
        <w:rPr>
          <w:b/>
          <w:sz w:val="22"/>
        </w:rPr>
        <w:t>🟡 4. Link 15% of Board of Directors annual remuneration to climate and ESG KPIs: (1) 5% to financed emissions intensity reduction vs 2024 baseline, (2) 5% to PCAF data quality improvement (target score &lt;3.0 by 2027), (3) 5% to sustainable finance portfolio growth (target 25% of total portfolio by 2027). Implement for FY2026 performance cycle.</w:t>
      </w:r>
      <w:r>
        <w:rPr>
          <w:sz w:val="22"/>
        </w:rPr>
        <w:t xml:space="preserve"> (Q2 2026)</w:t>
      </w:r>
    </w:p>
    <w:p>
      <w:pPr>
        <w:spacing w:after="160" w:line="276" w:lineRule="auto"/>
      </w:pPr>
      <w:r>
        <w:t xml:space="preserve">    → Expected: Aligns executive incentives with climate strategy per ESRS 2 GOV-3; demonstrates commitment to investors and rating agencies; peer-standard practice. Peer experience: DBS 20% ESG weight in executive remuneration drove measurable acceleration in sustainable finance growth.</w:t>
      </w:r>
    </w:p>
    <w:p>
      <w:pPr>
        <w:spacing w:after="160" w:line="276" w:lineRule="auto"/>
      </w:pPr>
      <w:r>
        <w:rPr>
          <w:rFonts w:ascii="Arial" w:hAnsi="Arial"/>
          <w:i/>
          <w:color w:val="646464"/>
          <w:sz w:val="18"/>
        </w:rPr>
        <w:t xml:space="preserve">    → Ref: DBS — 20% of executive remuneration linked to ESG KPIs including emissions reduction and sustainable finance targets. BCA — ESG KPIs integrated into Board of Directors performance assessment framework.</w:t>
      </w:r>
    </w:p>
    <w:p/>
    <w:p>
      <w:r>
        <w:rPr>
          <w:i/>
          <w:color w:val="3D6094"/>
          <w:sz w:val="18"/>
        </w:rPr>
        <w:t>Framework references: IFRS S2 Para 5 — Governance body identification; IFRS S2 Para 6 — Management's role in climate governance; IFRS S2 Para 7 — How climate informs strategy; GRI 2-12 — Role of highest governance body in sustainability; GRI 2-13 — Delegation of responsibility for sustainability impacts; ESRS 2 GOV-3 — Integration of sustainability in incentive schemes; OJK POJK 51/2017 — Penerapan Keuangan Berkelanjutan; OJK SEOJK 16/2021 — Penerapan Manajemen Risiko ESG</w:t>
      </w:r>
    </w:p>
    <w:p>
      <w:pPr>
        <w:spacing w:after="80"/>
        <w:pBdr>
          <w:bottom w:val="single" w:sz="6" w:space="1" w:color="CCCCCC"/>
        </w:pBdr>
      </w:pPr>
    </w:p>
    <w:p>
      <w:pPr>
        <w:spacing w:after="160" w:line="276" w:lineRule="auto"/>
      </w:pPr>
      <w:r>
        <w:rPr>
          <w:rFonts w:ascii="Arial" w:hAnsi="Arial"/>
          <w:i/>
          <w:color w:val="646464"/>
          <w:sz w:val="18"/>
        </w:rPr>
        <w:t>All governance data fields in DATA INPUT are NULL/not captured, indicating absence of formal climate governance structures.</w:t>
      </w:r>
    </w:p>
    <w:p>
      <w:pPr>
        <w:spacing w:after="160" w:line="276" w:lineRule="auto"/>
      </w:pPr>
      <w:r>
        <w:rPr>
          <w:rFonts w:ascii="Arial" w:hAnsi="Arial"/>
          <w:i/>
          <w:color w:val="646464"/>
          <w:sz w:val="18"/>
        </w:rPr>
        <w:t>Peer benchmark data sourced from publicly available sustainability reports: BRI (2023), BCA (2025), DBS (2023), Bank Mandiri (2023).</w:t>
      </w:r>
    </w:p>
    <w:p>
      <w:pPr>
        <w:spacing w:after="160" w:line="276" w:lineRule="auto"/>
      </w:pPr>
      <w:r>
        <w:rPr>
          <w:rFonts w:ascii="Arial" w:hAnsi="Arial"/>
          <w:i/>
          <w:color w:val="646464"/>
          <w:sz w:val="18"/>
        </w:rPr>
        <w:t>OJK POJK 51/2017 and SEOJK 16/2021 mandate sustainability governance for Indonesian financial institutions, with enforcement mechanisms for non-compliance.</w:t>
      </w:r>
    </w:p>
    <w:p>
      <w:pPr>
        <w:spacing w:after="160" w:line="276" w:lineRule="auto"/>
      </w:pPr>
      <w:r>
        <w:rPr>
          <w:rFonts w:ascii="Arial" w:hAnsi="Arial"/>
          <w:i/>
          <w:color w:val="646464"/>
          <w:sz w:val="18"/>
        </w:rPr>
        <w:t>IFRS S2 became effective January 1, 2024 for jurisdictions adopting ISSB standards; Indonesia is evaluating adoption timeline through OJK.</w:t>
      </w:r>
    </w:p>
    <w:p>
      <w:pPr>
        <w:spacing w:after="160" w:line="276" w:lineRule="auto"/>
      </w:pPr>
      <w:r>
        <w:rPr>
          <w:rFonts w:ascii="Arial" w:hAnsi="Arial"/>
          <w:i/>
          <w:color w:val="646464"/>
          <w:sz w:val="18"/>
        </w:rPr>
        <w:t>📋 DATA PROVENANCE: Source: Corporate Secretary / Board minutes | EF: N/A | Methodology: IFRS S2 Para 5-9 + ESRS 2 GOV + GRI 2-12/2-13 + OJK POJK 51/2017 | Quality: Not Available | Validated: N/A | Owner: Sustainability &amp; ESG Division</w:t>
      </w:r>
    </w:p>
    <w:p>
      <w:r>
        <w:br w:type="page"/>
      </w:r>
    </w:p>
    <w:p>
      <w:pPr>
        <w:pStyle w:val="Heading1"/>
        <w:keepNext/>
        <w:spacing w:before="480" w:after="240"/>
      </w:pPr>
      <w:r>
        <w:rPr>
          <w:rFonts w:ascii="Arial" w:hAnsi="Arial"/>
          <w:b/>
          <w:color w:val="1B3A6B"/>
          <w:sz w:val="36"/>
        </w:rPr>
        <w:t>Appendix A: Methodology &amp; Calculation Approach</w:t>
      </w:r>
    </w:p>
    <w:p>
      <w:pPr>
        <w:spacing w:after="160" w:line="276" w:lineRule="auto"/>
      </w:pPr>
      <w:r>
        <w:rPr>
          <w:rFonts w:ascii="Arial" w:hAnsi="Arial"/>
          <w:b/>
          <w:sz w:val="22"/>
        </w:rPr>
        <w:t>A.1 Reporting Boundary &amp; Consolidation</w:t>
      </w:r>
    </w:p>
    <w:p>
      <w:r>
        <w:rPr>
          <w:rFonts w:ascii="Arial" w:hAnsi="Arial"/>
          <w:b/>
          <w:sz w:val="20"/>
        </w:rPr>
        <w:t>Table 53: Reporting Parameters</w:t>
      </w:r>
    </w:p>
    <w:tbl>
      <w:tblPr>
        <w:tblW w:type="auto" w:w="0"/>
        <w:jc w:val="center"/>
        <w:tblLook w:firstColumn="1" w:firstRow="1" w:lastColumn="0" w:lastRow="0" w:noHBand="0" w:noVBand="1" w:val="04A0"/>
      </w:tblPr>
      <w:tblGrid>
        <w:gridCol w:w="4514"/>
        <w:gridCol w:w="4514"/>
      </w:tblGrid>
      <w:tr>
        <w:tc>
          <w:tcPr>
            <w:tcW w:type="dxa" w:w="4514"/>
            <w:shd w:fill="1B3A6B" w:val="clear"/>
          </w:tcPr>
          <w:p>
            <w:r>
              <w:rPr>
                <w:rFonts w:ascii="Arial" w:hAnsi="Arial"/>
                <w:b/>
                <w:color w:val="FFFFFF"/>
                <w:sz w:val="18"/>
              </w:rPr>
              <w:t>Parameter</w:t>
            </w:r>
          </w:p>
        </w:tc>
        <w:tc>
          <w:tcPr>
            <w:tcW w:type="dxa" w:w="4514"/>
            <w:shd w:fill="1B3A6B" w:val="clear"/>
          </w:tcPr>
          <w:p>
            <w:r>
              <w:rPr>
                <w:rFonts w:ascii="Arial" w:hAnsi="Arial"/>
                <w:b/>
                <w:color w:val="FFFFFF"/>
                <w:sz w:val="18"/>
              </w:rPr>
              <w:t>Value</w:t>
            </w:r>
          </w:p>
        </w:tc>
      </w:tr>
      <w:tr>
        <w:tc>
          <w:tcPr>
            <w:tcW w:type="dxa" w:w="4514"/>
          </w:tcPr>
          <w:p>
            <w:r>
              <w:rPr>
                <w:rFonts w:ascii="Arial" w:hAnsi="Arial"/>
                <w:sz w:val="18"/>
              </w:rPr>
              <w:t>Consolidation Approach</w:t>
            </w:r>
          </w:p>
        </w:tc>
        <w:tc>
          <w:tcPr>
            <w:tcW w:type="dxa" w:w="4514"/>
          </w:tcPr>
          <w:p>
            <w:r>
              <w:rPr>
                <w:rFonts w:ascii="Arial" w:hAnsi="Arial"/>
                <w:sz w:val="18"/>
              </w:rPr>
              <w:t>Operational Control (per GHG Protocol)</w:t>
            </w:r>
          </w:p>
        </w:tc>
      </w:tr>
      <w:tr>
        <w:tc>
          <w:tcPr>
            <w:tcW w:type="dxa" w:w="4514"/>
            <w:shd w:fill="F2F6FC" w:val="clear"/>
          </w:tcPr>
          <w:p>
            <w:r>
              <w:rPr>
                <w:rFonts w:ascii="Arial" w:hAnsi="Arial"/>
                <w:sz w:val="18"/>
              </w:rPr>
              <w:t>Organizational Boundary</w:t>
            </w:r>
          </w:p>
        </w:tc>
        <w:tc>
          <w:tcPr>
            <w:tcW w:type="dxa" w:w="4514"/>
            <w:shd w:fill="F2F6FC" w:val="clear"/>
          </w:tcPr>
          <w:p>
            <w:r>
              <w:rPr>
                <w:rFonts w:ascii="Arial" w:hAnsi="Arial"/>
                <w:sz w:val="18"/>
              </w:rPr>
              <w:t>All facilities under operational control</w:t>
            </w:r>
          </w:p>
        </w:tc>
      </w:tr>
      <w:tr>
        <w:tc>
          <w:tcPr>
            <w:tcW w:type="dxa" w:w="4514"/>
          </w:tcPr>
          <w:p>
            <w:r>
              <w:rPr>
                <w:rFonts w:ascii="Arial" w:hAnsi="Arial"/>
                <w:sz w:val="18"/>
              </w:rPr>
              <w:t>Reporting Period</w:t>
            </w:r>
          </w:p>
        </w:tc>
        <w:tc>
          <w:tcPr>
            <w:tcW w:type="dxa" w:w="4514"/>
          </w:tcPr>
          <w:p>
            <w:r>
              <w:rPr>
                <w:rFonts w:ascii="Arial" w:hAnsi="Arial"/>
                <w:sz w:val="18"/>
              </w:rPr>
              <w:t>01 January – 31 December (annual)</w:t>
            </w:r>
          </w:p>
        </w:tc>
      </w:tr>
      <w:tr>
        <w:tc>
          <w:tcPr>
            <w:tcW w:type="dxa" w:w="4514"/>
            <w:shd w:fill="F2F6FC" w:val="clear"/>
          </w:tcPr>
          <w:p>
            <w:r>
              <w:rPr>
                <w:rFonts w:ascii="Arial" w:hAnsi="Arial"/>
                <w:sz w:val="18"/>
              </w:rPr>
              <w:t>Base Year</w:t>
            </w:r>
          </w:p>
        </w:tc>
        <w:tc>
          <w:tcPr>
            <w:tcW w:type="dxa" w:w="4514"/>
            <w:shd w:fill="F2F6FC" w:val="clear"/>
          </w:tcPr>
          <w:p>
            <w:r>
              <w:rPr>
                <w:rFonts w:ascii="Arial" w:hAnsi="Arial"/>
                <w:sz w:val="18"/>
              </w:rPr>
              <w:t>2023 (first year of comprehensive GHG inventory)</w:t>
            </w:r>
          </w:p>
        </w:tc>
      </w:tr>
      <w:tr>
        <w:tc>
          <w:tcPr>
            <w:tcW w:type="dxa" w:w="4514"/>
          </w:tcPr>
          <w:p>
            <w:r>
              <w:rPr>
                <w:rFonts w:ascii="Arial" w:hAnsi="Arial"/>
                <w:sz w:val="18"/>
              </w:rPr>
              <w:t>Recalculation Policy</w:t>
            </w:r>
          </w:p>
        </w:tc>
        <w:tc>
          <w:tcPr>
            <w:tcW w:type="dxa" w:w="4514"/>
          </w:tcPr>
          <w:p>
            <w:r>
              <w:rPr>
                <w:rFonts w:ascii="Arial" w:hAnsi="Arial"/>
                <w:sz w:val="18"/>
              </w:rPr>
              <w:t>Triggered if structural changes affect &gt;5% of total</w:t>
            </w:r>
          </w:p>
        </w:tc>
      </w:tr>
      <w:tr>
        <w:tc>
          <w:tcPr>
            <w:tcW w:type="dxa" w:w="4514"/>
            <w:shd w:fill="F2F6FC" w:val="clear"/>
          </w:tcPr>
          <w:p>
            <w:r>
              <w:rPr>
                <w:rFonts w:ascii="Arial" w:hAnsi="Arial"/>
                <w:sz w:val="18"/>
              </w:rPr>
              <w:t>Standards Applied</w:t>
            </w:r>
          </w:p>
        </w:tc>
        <w:tc>
          <w:tcPr>
            <w:tcW w:type="dxa" w:w="4514"/>
            <w:shd w:fill="F2F6FC" w:val="clear"/>
          </w:tcPr>
          <w:p>
            <w:r>
              <w:rPr>
                <w:rFonts w:ascii="Arial" w:hAnsi="Arial"/>
                <w:sz w:val="18"/>
              </w:rPr>
              <w:t>GHG Protocol Corporate Standard (2015 Revised)</w:t>
            </w:r>
          </w:p>
        </w:tc>
      </w:tr>
      <w:tr>
        <w:tc>
          <w:tcPr>
            <w:tcW w:type="dxa" w:w="4514"/>
          </w:tcPr>
          <w:p>
            <w:r>
              <w:rPr>
                <w:rFonts w:ascii="Arial" w:hAnsi="Arial"/>
                <w:sz w:val="18"/>
              </w:rPr>
              <w:t>Financed Emissions</w:t>
            </w:r>
          </w:p>
        </w:tc>
        <w:tc>
          <w:tcPr>
            <w:tcW w:type="dxa" w:w="4514"/>
          </w:tcPr>
          <w:p>
            <w:r>
              <w:rPr>
                <w:rFonts w:ascii="Arial" w:hAnsi="Arial"/>
                <w:sz w:val="18"/>
              </w:rPr>
              <w:t>PCAF Global Standard Part A (2022 Revision)</w:t>
            </w:r>
          </w:p>
        </w:tc>
      </w:tr>
    </w:tbl>
    <w:p/>
    <w:p>
      <w:pPr>
        <w:spacing w:after="160" w:line="276" w:lineRule="auto"/>
      </w:pPr>
      <w:r>
        <w:rPr>
          <w:rFonts w:ascii="Arial" w:hAnsi="Arial"/>
          <w:b/>
          <w:sz w:val="22"/>
        </w:rPr>
        <w:t>A.2 Scope 1 — Direct Emissions</w:t>
      </w:r>
    </w:p>
    <w:p>
      <w:pPr>
        <w:spacing w:after="160" w:line="276" w:lineRule="auto"/>
      </w:pPr>
      <w:r>
        <w:t>Scope 1 covers stationary combustion (diesel generators, natural gas boilers) and mobile combustion (company fleet vehicles). Calculation method: fuel-based approach (activity data × emission factor). Emission factors sourced from UK DEFRA 2024/2025 conversion factors. GWP values from IPCC Sixth Assessment Report (AR6, 100-year): CO₂ = 1.0, CH₄ = 29.8, N₂O = 273.0.</w:t>
      </w:r>
    </w:p>
    <w:p>
      <w:r>
        <w:rPr>
          <w:rFonts w:ascii="Arial" w:hAnsi="Arial"/>
          <w:b/>
          <w:sz w:val="20"/>
        </w:rPr>
        <w:t>Table 54: Scope 1 Emission Factors Applied</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Fuel Type</w:t>
            </w:r>
          </w:p>
        </w:tc>
        <w:tc>
          <w:tcPr>
            <w:tcW w:type="dxa" w:w="1806"/>
            <w:shd w:fill="1B3A6B" w:val="clear"/>
          </w:tcPr>
          <w:p>
            <w:r>
              <w:rPr>
                <w:rFonts w:ascii="Arial" w:hAnsi="Arial"/>
                <w:b/>
                <w:color w:val="FFFFFF"/>
                <w:sz w:val="18"/>
              </w:rPr>
              <w:t>CO₂ Factor</w:t>
            </w:r>
          </w:p>
        </w:tc>
        <w:tc>
          <w:tcPr>
            <w:tcW w:type="dxa" w:w="1806"/>
            <w:shd w:fill="1B3A6B" w:val="clear"/>
          </w:tcPr>
          <w:p>
            <w:r>
              <w:rPr>
                <w:rFonts w:ascii="Arial" w:hAnsi="Arial"/>
                <w:b/>
                <w:color w:val="FFFFFF"/>
                <w:sz w:val="18"/>
              </w:rPr>
              <w:t>CH₄ Factor</w:t>
            </w:r>
          </w:p>
        </w:tc>
        <w:tc>
          <w:tcPr>
            <w:tcW w:type="dxa" w:w="1806"/>
            <w:shd w:fill="1B3A6B" w:val="clear"/>
          </w:tcPr>
          <w:p>
            <w:r>
              <w:rPr>
                <w:rFonts w:ascii="Arial" w:hAnsi="Arial"/>
                <w:b/>
                <w:color w:val="FFFFFF"/>
                <w:sz w:val="18"/>
              </w:rPr>
              <w:t>N₂O Factor</w:t>
            </w:r>
          </w:p>
        </w:tc>
        <w:tc>
          <w:tcPr>
            <w:tcW w:type="dxa" w:w="1806"/>
            <w:shd w:fill="1B3A6B" w:val="clear"/>
          </w:tcPr>
          <w:p>
            <w:r>
              <w:rPr>
                <w:rFonts w:ascii="Arial" w:hAnsi="Arial"/>
                <w:b/>
                <w:color w:val="FFFFFF"/>
                <w:sz w:val="18"/>
              </w:rPr>
              <w:t>Source</w:t>
            </w:r>
          </w:p>
        </w:tc>
      </w:tr>
      <w:tr>
        <w:tc>
          <w:tcPr>
            <w:tcW w:type="dxa" w:w="1806"/>
          </w:tcPr>
          <w:p>
            <w:r>
              <w:rPr>
                <w:rFonts w:ascii="Arial" w:hAnsi="Arial"/>
                <w:sz w:val="18"/>
              </w:rPr>
              <w:t>Diesel</w:t>
            </w:r>
          </w:p>
        </w:tc>
        <w:tc>
          <w:tcPr>
            <w:tcW w:type="dxa" w:w="1806"/>
          </w:tcPr>
          <w:p>
            <w:r>
              <w:rPr>
                <w:rFonts w:ascii="Arial" w:hAnsi="Arial"/>
                <w:sz w:val="18"/>
              </w:rPr>
              <w:t>2.6710 kg/L</w:t>
            </w:r>
          </w:p>
        </w:tc>
        <w:tc>
          <w:tcPr>
            <w:tcW w:type="dxa" w:w="1806"/>
          </w:tcPr>
          <w:p>
            <w:r>
              <w:rPr>
                <w:rFonts w:ascii="Arial" w:hAnsi="Arial"/>
                <w:sz w:val="18"/>
              </w:rPr>
              <w:t>0.00029 kgCO₂e/L</w:t>
            </w:r>
          </w:p>
        </w:tc>
        <w:tc>
          <w:tcPr>
            <w:tcW w:type="dxa" w:w="1806"/>
          </w:tcPr>
          <w:p>
            <w:r>
              <w:rPr>
                <w:rFonts w:ascii="Arial" w:hAnsi="Arial"/>
                <w:sz w:val="18"/>
              </w:rPr>
              <w:t>0.03308 kgCO₂e/L</w:t>
            </w:r>
          </w:p>
        </w:tc>
        <w:tc>
          <w:tcPr>
            <w:tcW w:type="dxa" w:w="1806"/>
          </w:tcPr>
          <w:p>
            <w:r>
              <w:rPr>
                <w:rFonts w:ascii="Arial" w:hAnsi="Arial"/>
                <w:sz w:val="18"/>
              </w:rPr>
              <w:t>DEFRA 2025</w:t>
            </w:r>
          </w:p>
        </w:tc>
      </w:tr>
      <w:tr>
        <w:tc>
          <w:tcPr>
            <w:tcW w:type="dxa" w:w="1806"/>
            <w:shd w:fill="F2F6FC" w:val="clear"/>
          </w:tcPr>
          <w:p>
            <w:r>
              <w:rPr>
                <w:rFonts w:ascii="Arial" w:hAnsi="Arial"/>
                <w:sz w:val="18"/>
              </w:rPr>
              <w:t>Natural Gas</w:t>
            </w:r>
          </w:p>
        </w:tc>
        <w:tc>
          <w:tcPr>
            <w:tcW w:type="dxa" w:w="1806"/>
            <w:shd w:fill="F2F6FC" w:val="clear"/>
          </w:tcPr>
          <w:p>
            <w:r>
              <w:rPr>
                <w:rFonts w:ascii="Arial" w:hAnsi="Arial"/>
                <w:sz w:val="18"/>
              </w:rPr>
              <w:t>56.10 kg/GJ</w:t>
            </w:r>
          </w:p>
        </w:tc>
        <w:tc>
          <w:tcPr>
            <w:tcW w:type="dxa" w:w="1806"/>
            <w:shd w:fill="F2F6FC" w:val="clear"/>
          </w:tcPr>
          <w:p>
            <w:r>
              <w:rPr>
                <w:rFonts w:ascii="Arial" w:hAnsi="Arial"/>
                <w:sz w:val="18"/>
              </w:rPr>
              <w:t>0.0298 kgCO₂e/GJ</w:t>
            </w:r>
          </w:p>
        </w:tc>
        <w:tc>
          <w:tcPr>
            <w:tcW w:type="dxa" w:w="1806"/>
            <w:shd w:fill="F2F6FC" w:val="clear"/>
          </w:tcPr>
          <w:p>
            <w:r>
              <w:rPr>
                <w:rFonts w:ascii="Arial" w:hAnsi="Arial"/>
                <w:sz w:val="18"/>
              </w:rPr>
              <w:t>0.0273 kgCO₂e/GJ</w:t>
            </w:r>
          </w:p>
        </w:tc>
        <w:tc>
          <w:tcPr>
            <w:tcW w:type="dxa" w:w="1806"/>
            <w:shd w:fill="F2F6FC" w:val="clear"/>
          </w:tcPr>
          <w:p>
            <w:r>
              <w:rPr>
                <w:rFonts w:ascii="Arial" w:hAnsi="Arial"/>
                <w:sz w:val="18"/>
              </w:rPr>
              <w:t>IPCC AR6</w:t>
            </w:r>
          </w:p>
        </w:tc>
      </w:tr>
    </w:tbl>
    <w:p/>
    <w:p>
      <w:pPr>
        <w:spacing w:after="160" w:line="276" w:lineRule="auto"/>
      </w:pPr>
      <w:r>
        <w:rPr>
          <w:rFonts w:ascii="Arial" w:hAnsi="Arial"/>
          <w:b/>
          <w:sz w:val="22"/>
        </w:rPr>
        <w:t>A.3 Scope 2 — Indirect Emissions</w:t>
      </w:r>
    </w:p>
    <w:p>
      <w:pPr>
        <w:spacing w:after="160" w:line="276" w:lineRule="auto"/>
      </w:pPr>
      <w:r>
        <w:t>Scope 2 covers purchased electricity. Dual reporting: location-based (grid average emission factor) and market-based (contractual instruments). Grid emission factor: PLN National Grid Average per DJK-ESDM Ministerial Decree. RECs deducted from market-based calculation only.</w:t>
      </w:r>
    </w:p>
    <w:p>
      <w:r>
        <w:rPr>
          <w:rFonts w:ascii="Arial" w:hAnsi="Arial"/>
          <w:b/>
          <w:sz w:val="20"/>
        </w:rPr>
        <w:t>Table 55: Scope 2 Grid Emission Factors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Grid Region</w:t>
            </w:r>
          </w:p>
        </w:tc>
        <w:tc>
          <w:tcPr>
            <w:tcW w:type="dxa" w:w="2257"/>
            <w:shd w:fill="1B3A6B" w:val="clear"/>
          </w:tcPr>
          <w:p>
            <w:r>
              <w:rPr>
                <w:rFonts w:ascii="Arial" w:hAnsi="Arial"/>
                <w:b/>
                <w:color w:val="FFFFFF"/>
                <w:sz w:val="18"/>
              </w:rPr>
              <w:t>EF (kgCO₂/kWh)</w:t>
            </w:r>
          </w:p>
        </w:tc>
        <w:tc>
          <w:tcPr>
            <w:tcW w:type="dxa" w:w="2257"/>
            <w:shd w:fill="1B3A6B" w:val="clear"/>
          </w:tcPr>
          <w:p>
            <w:r>
              <w:rPr>
                <w:rFonts w:ascii="Arial" w:hAnsi="Arial"/>
                <w:b/>
                <w:color w:val="FFFFFF"/>
                <w:sz w:val="18"/>
              </w:rPr>
              <w:t>Source</w:t>
            </w:r>
          </w:p>
        </w:tc>
        <w:tc>
          <w:tcPr>
            <w:tcW w:type="dxa" w:w="2257"/>
            <w:shd w:fill="1B3A6B" w:val="clear"/>
          </w:tcPr>
          <w:p>
            <w:r>
              <w:rPr>
                <w:rFonts w:ascii="Arial" w:hAnsi="Arial"/>
                <w:b/>
                <w:color w:val="FFFFFF"/>
                <w:sz w:val="18"/>
              </w:rPr>
              <w:t>Year</w:t>
            </w:r>
          </w:p>
        </w:tc>
      </w:tr>
      <w:tr>
        <w:tc>
          <w:tcPr>
            <w:tcW w:type="dxa" w:w="2257"/>
          </w:tcPr>
          <w:p>
            <w:r>
              <w:rPr>
                <w:rFonts w:ascii="Arial" w:hAnsi="Arial"/>
                <w:sz w:val="18"/>
              </w:rPr>
              <w:t>PLN National Grid (Indonesia)</w:t>
            </w:r>
          </w:p>
        </w:tc>
        <w:tc>
          <w:tcPr>
            <w:tcW w:type="dxa" w:w="2257"/>
          </w:tcPr>
          <w:p>
            <w:pPr>
              <w:jc w:val="right"/>
            </w:pPr>
            <w:r>
              <w:rPr>
                <w:rFonts w:ascii="Arial" w:hAnsi="Arial"/>
                <w:sz w:val="18"/>
              </w:rPr>
              <w:t>0.7886</w:t>
            </w:r>
          </w:p>
        </w:tc>
        <w:tc>
          <w:tcPr>
            <w:tcW w:type="dxa" w:w="2257"/>
          </w:tcPr>
          <w:p>
            <w:r>
              <w:rPr>
                <w:rFonts w:ascii="Arial" w:hAnsi="Arial"/>
                <w:sz w:val="18"/>
              </w:rPr>
              <w:t>DJK-ESDM</w:t>
            </w:r>
          </w:p>
        </w:tc>
        <w:tc>
          <w:tcPr>
            <w:tcW w:type="dxa" w:w="2257"/>
          </w:tcPr>
          <w:p>
            <w:pPr>
              <w:jc w:val="right"/>
            </w:pPr>
            <w:r>
              <w:rPr>
                <w:rFonts w:ascii="Arial" w:hAnsi="Arial"/>
                <w:sz w:val="18"/>
              </w:rPr>
              <w:t>2023</w:t>
            </w:r>
          </w:p>
        </w:tc>
      </w:tr>
    </w:tbl>
    <w:p/>
    <w:p>
      <w:pPr>
        <w:spacing w:after="160" w:line="276" w:lineRule="auto"/>
      </w:pPr>
      <w:r>
        <w:rPr>
          <w:rFonts w:ascii="Arial" w:hAnsi="Arial"/>
          <w:b/>
          <w:sz w:val="22"/>
        </w:rPr>
        <w:t>A.4 Scope 3 Category 15 — Financed Emissions (PCAF)</w:t>
      </w:r>
    </w:p>
    <w:p>
      <w:pPr>
        <w:spacing w:after="160" w:line="276" w:lineRule="auto"/>
      </w:pPr>
      <w:r>
        <w:t>Financed emissions calculated per PCAF Global GHG Accounting Standard Part A (2022). Asset class: business loans and project finance. Attribution formula: Financed Emissions = Σ (Attribution Factor × Borrower Scope 1+2 Emissions). Attribution Factor = Outstanding Amount / (Total Equity + Total Debt). Capped at 1.0 per REQ-ETL-19.</w:t>
      </w:r>
    </w:p>
    <w:p>
      <w:r>
        <w:rPr>
          <w:rFonts w:ascii="Arial" w:hAnsi="Arial"/>
          <w:b/>
          <w:sz w:val="20"/>
        </w:rPr>
        <w:t>Table 56: PCAF Confidence Weighting Factors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PCAF Score</w:t>
            </w:r>
          </w:p>
        </w:tc>
        <w:tc>
          <w:tcPr>
            <w:tcW w:type="dxa" w:w="2257"/>
            <w:shd w:fill="1B3A6B" w:val="clear"/>
          </w:tcPr>
          <w:p>
            <w:r>
              <w:rPr>
                <w:rFonts w:ascii="Arial" w:hAnsi="Arial"/>
                <w:b/>
                <w:color w:val="FFFFFF"/>
                <w:sz w:val="18"/>
              </w:rPr>
              <w:t>Description</w:t>
            </w:r>
          </w:p>
        </w:tc>
        <w:tc>
          <w:tcPr>
            <w:tcW w:type="dxa" w:w="2257"/>
            <w:shd w:fill="1B3A6B" w:val="clear"/>
          </w:tcPr>
          <w:p>
            <w:r>
              <w:rPr>
                <w:rFonts w:ascii="Arial" w:hAnsi="Arial"/>
                <w:b/>
                <w:color w:val="FFFFFF"/>
                <w:sz w:val="18"/>
              </w:rPr>
              <w:t>Confidence Factor</w:t>
            </w:r>
          </w:p>
        </w:tc>
        <w:tc>
          <w:tcPr>
            <w:tcW w:type="dxa" w:w="2257"/>
            <w:shd w:fill="1B3A6B" w:val="clear"/>
          </w:tcPr>
          <w:p>
            <w:r>
              <w:rPr>
                <w:rFonts w:ascii="Arial" w:hAnsi="Arial"/>
                <w:b/>
                <w:color w:val="FFFFFF"/>
                <w:sz w:val="18"/>
              </w:rPr>
              <w:t>Uncertainty</w:t>
            </w:r>
          </w:p>
        </w:tc>
      </w:tr>
      <w:tr>
        <w:tc>
          <w:tcPr>
            <w:tcW w:type="dxa" w:w="2257"/>
          </w:tcPr>
          <w:p>
            <w:pPr>
              <w:jc w:val="right"/>
            </w:pPr>
            <w:r>
              <w:rPr>
                <w:rFonts w:ascii="Arial" w:hAnsi="Arial"/>
                <w:sz w:val="18"/>
              </w:rPr>
              <w:t>1.0</w:t>
            </w:r>
          </w:p>
        </w:tc>
        <w:tc>
          <w:tcPr>
            <w:tcW w:type="dxa" w:w="2257"/>
          </w:tcPr>
          <w:p>
            <w:r>
              <w:rPr>
                <w:rFonts w:ascii="Arial" w:hAnsi="Arial"/>
                <w:sz w:val="18"/>
              </w:rPr>
              <w:t>Verified (CDP/equivalent)</w:t>
            </w:r>
          </w:p>
        </w:tc>
        <w:tc>
          <w:tcPr>
            <w:tcW w:type="dxa" w:w="2257"/>
          </w:tcPr>
          <w:p>
            <w:pPr>
              <w:jc w:val="right"/>
            </w:pPr>
            <w:r>
              <w:rPr>
                <w:rFonts w:ascii="Arial" w:hAnsi="Arial"/>
                <w:sz w:val="18"/>
              </w:rPr>
              <w:t>1.00</w:t>
            </w:r>
          </w:p>
        </w:tc>
        <w:tc>
          <w:tcPr>
            <w:tcW w:type="dxa" w:w="2257"/>
          </w:tcPr>
          <w:p>
            <w:r>
              <w:rPr>
                <w:rFonts w:ascii="Arial" w:hAnsi="Arial"/>
                <w:sz w:val="18"/>
              </w:rPr>
              <w:t>±5%</w:t>
            </w:r>
          </w:p>
        </w:tc>
      </w:tr>
      <w:tr>
        <w:tc>
          <w:tcPr>
            <w:tcW w:type="dxa" w:w="2257"/>
            <w:shd w:fill="F2F6FC" w:val="clear"/>
          </w:tcPr>
          <w:p>
            <w:pPr>
              <w:jc w:val="right"/>
            </w:pPr>
            <w:r>
              <w:rPr>
                <w:rFonts w:ascii="Arial" w:hAnsi="Arial"/>
                <w:sz w:val="18"/>
              </w:rPr>
              <w:t>1.5</w:t>
            </w:r>
          </w:p>
        </w:tc>
        <w:tc>
          <w:tcPr>
            <w:tcW w:type="dxa" w:w="2257"/>
            <w:shd w:fill="F2F6FC" w:val="clear"/>
          </w:tcPr>
          <w:p>
            <w:r>
              <w:rPr>
                <w:rFonts w:ascii="Arial" w:hAnsi="Arial"/>
                <w:sz w:val="18"/>
              </w:rPr>
              <w:t>Audited, unverified</w:t>
            </w:r>
          </w:p>
        </w:tc>
        <w:tc>
          <w:tcPr>
            <w:tcW w:type="dxa" w:w="2257"/>
            <w:shd w:fill="F2F6FC" w:val="clear"/>
          </w:tcPr>
          <w:p>
            <w:pPr>
              <w:jc w:val="right"/>
            </w:pPr>
            <w:r>
              <w:rPr>
                <w:rFonts w:ascii="Arial" w:hAnsi="Arial"/>
                <w:sz w:val="18"/>
              </w:rPr>
              <w:t>0.95</w:t>
            </w:r>
          </w:p>
        </w:tc>
        <w:tc>
          <w:tcPr>
            <w:tcW w:type="dxa" w:w="2257"/>
            <w:shd w:fill="F2F6FC" w:val="clear"/>
          </w:tcPr>
          <w:p>
            <w:r>
              <w:rPr>
                <w:rFonts w:ascii="Arial" w:hAnsi="Arial"/>
                <w:sz w:val="18"/>
              </w:rPr>
              <w:t>±10%</w:t>
            </w:r>
          </w:p>
        </w:tc>
      </w:tr>
      <w:tr>
        <w:tc>
          <w:tcPr>
            <w:tcW w:type="dxa" w:w="2257"/>
          </w:tcPr>
          <w:p>
            <w:pPr>
              <w:jc w:val="right"/>
            </w:pPr>
            <w:r>
              <w:rPr>
                <w:rFonts w:ascii="Arial" w:hAnsi="Arial"/>
                <w:sz w:val="18"/>
              </w:rPr>
              <w:t>2.0</w:t>
            </w:r>
          </w:p>
        </w:tc>
        <w:tc>
          <w:tcPr>
            <w:tcW w:type="dxa" w:w="2257"/>
          </w:tcPr>
          <w:p>
            <w:r>
              <w:rPr>
                <w:rFonts w:ascii="Arial" w:hAnsi="Arial"/>
                <w:sz w:val="18"/>
              </w:rPr>
              <w:t>Physical activity-based</w:t>
            </w:r>
          </w:p>
        </w:tc>
        <w:tc>
          <w:tcPr>
            <w:tcW w:type="dxa" w:w="2257"/>
          </w:tcPr>
          <w:p>
            <w:pPr>
              <w:jc w:val="right"/>
            </w:pPr>
            <w:r>
              <w:rPr>
                <w:rFonts w:ascii="Arial" w:hAnsi="Arial"/>
                <w:sz w:val="18"/>
              </w:rPr>
              <w:t>0.90</w:t>
            </w:r>
          </w:p>
        </w:tc>
        <w:tc>
          <w:tcPr>
            <w:tcW w:type="dxa" w:w="2257"/>
          </w:tcPr>
          <w:p>
            <w:r>
              <w:rPr>
                <w:rFonts w:ascii="Arial" w:hAnsi="Arial"/>
                <w:sz w:val="18"/>
              </w:rPr>
              <w:t>±15%</w:t>
            </w:r>
          </w:p>
        </w:tc>
      </w:tr>
      <w:tr>
        <w:tc>
          <w:tcPr>
            <w:tcW w:type="dxa" w:w="2257"/>
            <w:shd w:fill="F2F6FC" w:val="clear"/>
          </w:tcPr>
          <w:p>
            <w:pPr>
              <w:jc w:val="right"/>
            </w:pPr>
            <w:r>
              <w:rPr>
                <w:rFonts w:ascii="Arial" w:hAnsi="Arial"/>
                <w:sz w:val="18"/>
              </w:rPr>
              <w:t>3.0</w:t>
            </w:r>
          </w:p>
        </w:tc>
        <w:tc>
          <w:tcPr>
            <w:tcW w:type="dxa" w:w="2257"/>
            <w:shd w:fill="F2F6FC" w:val="clear"/>
          </w:tcPr>
          <w:p>
            <w:r>
              <w:rPr>
                <w:rFonts w:ascii="Arial" w:hAnsi="Arial"/>
                <w:sz w:val="18"/>
              </w:rPr>
              <w:t>EEIO + revenue-based</w:t>
            </w:r>
          </w:p>
        </w:tc>
        <w:tc>
          <w:tcPr>
            <w:tcW w:type="dxa" w:w="2257"/>
            <w:shd w:fill="F2F6FC" w:val="clear"/>
          </w:tcPr>
          <w:p>
            <w:pPr>
              <w:jc w:val="right"/>
            </w:pPr>
            <w:r>
              <w:rPr>
                <w:rFonts w:ascii="Arial" w:hAnsi="Arial"/>
                <w:sz w:val="18"/>
              </w:rPr>
              <w:t>0.75</w:t>
            </w:r>
          </w:p>
        </w:tc>
        <w:tc>
          <w:tcPr>
            <w:tcW w:type="dxa" w:w="2257"/>
            <w:shd w:fill="F2F6FC" w:val="clear"/>
          </w:tcPr>
          <w:p>
            <w:r>
              <w:rPr>
                <w:rFonts w:ascii="Arial" w:hAnsi="Arial"/>
                <w:sz w:val="18"/>
              </w:rPr>
              <w:t>±25%</w:t>
            </w:r>
          </w:p>
        </w:tc>
      </w:tr>
      <w:tr>
        <w:tc>
          <w:tcPr>
            <w:tcW w:type="dxa" w:w="2257"/>
          </w:tcPr>
          <w:p>
            <w:pPr>
              <w:jc w:val="right"/>
            </w:pPr>
            <w:r>
              <w:rPr>
                <w:rFonts w:ascii="Arial" w:hAnsi="Arial"/>
                <w:sz w:val="18"/>
              </w:rPr>
              <w:t>4.0</w:t>
            </w:r>
          </w:p>
        </w:tc>
        <w:tc>
          <w:tcPr>
            <w:tcW w:type="dxa" w:w="2257"/>
          </w:tcPr>
          <w:p>
            <w:r>
              <w:rPr>
                <w:rFonts w:ascii="Arial" w:hAnsi="Arial"/>
                <w:sz w:val="18"/>
              </w:rPr>
              <w:t>EEIO + asset-based</w:t>
            </w:r>
          </w:p>
        </w:tc>
        <w:tc>
          <w:tcPr>
            <w:tcW w:type="dxa" w:w="2257"/>
          </w:tcPr>
          <w:p>
            <w:pPr>
              <w:jc w:val="right"/>
            </w:pPr>
            <w:r>
              <w:rPr>
                <w:rFonts w:ascii="Arial" w:hAnsi="Arial"/>
                <w:sz w:val="18"/>
              </w:rPr>
              <w:t>0.60</w:t>
            </w:r>
          </w:p>
        </w:tc>
        <w:tc>
          <w:tcPr>
            <w:tcW w:type="dxa" w:w="2257"/>
          </w:tcPr>
          <w:p>
            <w:r>
              <w:rPr>
                <w:rFonts w:ascii="Arial" w:hAnsi="Arial"/>
                <w:sz w:val="18"/>
              </w:rPr>
              <w:t>±40%</w:t>
            </w:r>
          </w:p>
        </w:tc>
      </w:tr>
      <w:tr>
        <w:tc>
          <w:tcPr>
            <w:tcW w:type="dxa" w:w="2257"/>
            <w:shd w:fill="F2F6FC" w:val="clear"/>
          </w:tcPr>
          <w:p>
            <w:pPr>
              <w:jc w:val="right"/>
            </w:pPr>
            <w:r>
              <w:rPr>
                <w:rFonts w:ascii="Arial" w:hAnsi="Arial"/>
                <w:sz w:val="18"/>
              </w:rPr>
              <w:t>5.0</w:t>
            </w:r>
          </w:p>
        </w:tc>
        <w:tc>
          <w:tcPr>
            <w:tcW w:type="dxa" w:w="2257"/>
            <w:shd w:fill="F2F6FC" w:val="clear"/>
          </w:tcPr>
          <w:p>
            <w:r>
              <w:rPr>
                <w:rFonts w:ascii="Arial" w:hAnsi="Arial"/>
                <w:sz w:val="18"/>
              </w:rPr>
              <w:t>Sector-average proxy</w:t>
            </w:r>
          </w:p>
        </w:tc>
        <w:tc>
          <w:tcPr>
            <w:tcW w:type="dxa" w:w="2257"/>
            <w:shd w:fill="F2F6FC" w:val="clear"/>
          </w:tcPr>
          <w:p>
            <w:pPr>
              <w:jc w:val="right"/>
            </w:pPr>
            <w:r>
              <w:rPr>
                <w:rFonts w:ascii="Arial" w:hAnsi="Arial"/>
                <w:sz w:val="18"/>
              </w:rPr>
              <w:t>0.45</w:t>
            </w:r>
          </w:p>
        </w:tc>
        <w:tc>
          <w:tcPr>
            <w:tcW w:type="dxa" w:w="2257"/>
            <w:shd w:fill="F2F6FC" w:val="clear"/>
          </w:tcPr>
          <w:p>
            <w:r>
              <w:rPr>
                <w:rFonts w:ascii="Arial" w:hAnsi="Arial"/>
                <w:sz w:val="18"/>
              </w:rPr>
              <w:t>±55%</w:t>
            </w:r>
          </w:p>
        </w:tc>
      </w:tr>
    </w:tbl>
    <w:p/>
    <w:p>
      <w:pPr>
        <w:spacing w:after="160" w:line="276" w:lineRule="auto"/>
      </w:pPr>
      <w:r>
        <w:rPr>
          <w:rFonts w:ascii="Arial" w:hAnsi="Arial"/>
          <w:b/>
          <w:sz w:val="22"/>
        </w:rPr>
        <w:t>A.5 Intensity Metrics</w:t>
      </w:r>
    </w:p>
    <w:p>
      <w:r>
        <w:rPr>
          <w:rFonts w:ascii="Arial" w:hAnsi="Arial"/>
          <w:b/>
          <w:sz w:val="20"/>
        </w:rPr>
        <w:t>Table 57: Intensity Metric Definitions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Formula</w:t>
            </w:r>
          </w:p>
        </w:tc>
        <w:tc>
          <w:tcPr>
            <w:tcW w:type="dxa" w:w="2257"/>
            <w:shd w:fill="1B3A6B" w:val="clear"/>
          </w:tcPr>
          <w:p>
            <w:r>
              <w:rPr>
                <w:rFonts w:ascii="Arial" w:hAnsi="Arial"/>
                <w:b/>
                <w:color w:val="FFFFFF"/>
                <w:sz w:val="18"/>
              </w:rPr>
              <w:t>Scope</w:t>
            </w:r>
          </w:p>
        </w:tc>
        <w:tc>
          <w:tcPr>
            <w:tcW w:type="dxa" w:w="2257"/>
            <w:shd w:fill="1B3A6B" w:val="clear"/>
          </w:tcPr>
          <w:p>
            <w:r>
              <w:rPr>
                <w:rFonts w:ascii="Arial" w:hAnsi="Arial"/>
                <w:b/>
                <w:color w:val="FFFFFF"/>
                <w:sz w:val="18"/>
              </w:rPr>
              <w:t>Denominator Source</w:t>
            </w:r>
          </w:p>
        </w:tc>
      </w:tr>
      <w:tr>
        <w:tc>
          <w:tcPr>
            <w:tcW w:type="dxa" w:w="2257"/>
          </w:tcPr>
          <w:p>
            <w:r>
              <w:rPr>
                <w:rFonts w:ascii="Arial" w:hAnsi="Arial"/>
                <w:sz w:val="18"/>
              </w:rPr>
              <w:t>Revenue Intensity</w:t>
            </w:r>
          </w:p>
        </w:tc>
        <w:tc>
          <w:tcPr>
            <w:tcW w:type="dxa" w:w="2257"/>
          </w:tcPr>
          <w:p>
            <w:r>
              <w:rPr>
                <w:rFonts w:ascii="Arial" w:hAnsi="Arial"/>
                <w:sz w:val="18"/>
              </w:rPr>
              <w:t>Total Emissions / Revenue</w:t>
            </w:r>
          </w:p>
        </w:tc>
        <w:tc>
          <w:tcPr>
            <w:tcW w:type="dxa" w:w="2257"/>
          </w:tcPr>
          <w:p>
            <w:r>
              <w:rPr>
                <w:rFonts w:ascii="Arial" w:hAnsi="Arial"/>
                <w:sz w:val="18"/>
              </w:rPr>
              <w:t>Scope 1+2+3</w:t>
            </w:r>
          </w:p>
        </w:tc>
        <w:tc>
          <w:tcPr>
            <w:tcW w:type="dxa" w:w="2257"/>
          </w:tcPr>
          <w:p>
            <w:r>
              <w:rPr>
                <w:rFonts w:ascii="Arial" w:hAnsi="Arial"/>
                <w:sz w:val="18"/>
              </w:rPr>
              <w:t>Audited financial statements</w:t>
            </w:r>
          </w:p>
        </w:tc>
      </w:tr>
      <w:tr>
        <w:tc>
          <w:tcPr>
            <w:tcW w:type="dxa" w:w="2257"/>
            <w:shd w:fill="F2F6FC" w:val="clear"/>
          </w:tcPr>
          <w:p>
            <w:r>
              <w:rPr>
                <w:rFonts w:ascii="Arial" w:hAnsi="Arial"/>
                <w:sz w:val="18"/>
              </w:rPr>
              <w:t>FTE Intensity</w:t>
            </w:r>
          </w:p>
        </w:tc>
        <w:tc>
          <w:tcPr>
            <w:tcW w:type="dxa" w:w="2257"/>
            <w:shd w:fill="F2F6FC" w:val="clear"/>
          </w:tcPr>
          <w:p>
            <w:r>
              <w:rPr>
                <w:rFonts w:ascii="Arial" w:hAnsi="Arial"/>
                <w:sz w:val="18"/>
              </w:rPr>
              <w:t>Operational Emissions / FTE</w:t>
            </w:r>
          </w:p>
        </w:tc>
        <w:tc>
          <w:tcPr>
            <w:tcW w:type="dxa" w:w="2257"/>
            <w:shd w:fill="F2F6FC" w:val="clear"/>
          </w:tcPr>
          <w:p>
            <w:r>
              <w:rPr>
                <w:rFonts w:ascii="Arial" w:hAnsi="Arial"/>
                <w:sz w:val="18"/>
              </w:rPr>
              <w:t>Scope 1+2 only</w:t>
            </w:r>
          </w:p>
        </w:tc>
        <w:tc>
          <w:tcPr>
            <w:tcW w:type="dxa" w:w="2257"/>
            <w:shd w:fill="F2F6FC" w:val="clear"/>
          </w:tcPr>
          <w:p>
            <w:r>
              <w:rPr>
                <w:rFonts w:ascii="Arial" w:hAnsi="Arial"/>
                <w:sz w:val="18"/>
              </w:rPr>
              <w:t>HR system headcount</w:t>
            </w:r>
          </w:p>
        </w:tc>
      </w:tr>
    </w:tbl>
    <w:p/>
    <w:p>
      <w:r>
        <w:br w:type="page"/>
      </w:r>
    </w:p>
    <w:p>
      <w:pPr>
        <w:pStyle w:val="Heading1"/>
        <w:keepNext/>
        <w:spacing w:before="480" w:after="240"/>
      </w:pPr>
      <w:r>
        <w:rPr>
          <w:rFonts w:ascii="Arial" w:hAnsi="Arial"/>
          <w:b/>
          <w:color w:val="1B3A6B"/>
          <w:sz w:val="36"/>
        </w:rPr>
        <w:t>Appendix B: Data Quality &amp; Assurance Statement</w:t>
      </w:r>
    </w:p>
    <w:p>
      <w:pPr>
        <w:spacing w:after="160" w:line="276" w:lineRule="auto"/>
      </w:pPr>
      <w:r>
        <w:t>Data quality is assessed using the PCAF data quality scoring framework (1-5) for financed emissions and GHG Protocol quality indicators for operational emissions. This report has NOT been subject to external assurance. Third-party limited assurance is recommended for future reporting cycles.</w:t>
      </w:r>
    </w:p>
    <w:p>
      <w:r>
        <w:rPr>
          <w:rFonts w:ascii="Arial" w:hAnsi="Arial"/>
          <w:b/>
          <w:sz w:val="20"/>
        </w:rPr>
        <w:t>Table 58: Operational Data Quality Assessment</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Quality Tier</w:t>
            </w:r>
          </w:p>
        </w:tc>
        <w:tc>
          <w:tcPr>
            <w:tcW w:type="dxa" w:w="3010"/>
            <w:shd w:fill="1B3A6B" w:val="clear"/>
          </w:tcPr>
          <w:p>
            <w:r>
              <w:rPr>
                <w:rFonts w:ascii="Arial" w:hAnsi="Arial"/>
                <w:b/>
                <w:color w:val="FFFFFF"/>
                <w:sz w:val="18"/>
              </w:rPr>
              <w:t>Criteria</w:t>
            </w:r>
          </w:p>
        </w:tc>
        <w:tc>
          <w:tcPr>
            <w:tcW w:type="dxa" w:w="3010"/>
            <w:shd w:fill="1B3A6B" w:val="clear"/>
          </w:tcPr>
          <w:p>
            <w:r>
              <w:rPr>
                <w:rFonts w:ascii="Arial" w:hAnsi="Arial"/>
                <w:b/>
                <w:color w:val="FFFFFF"/>
                <w:sz w:val="18"/>
              </w:rPr>
              <w:t>Description</w:t>
            </w:r>
          </w:p>
        </w:tc>
      </w:tr>
      <w:tr>
        <w:tc>
          <w:tcPr>
            <w:tcW w:type="dxa" w:w="3010"/>
          </w:tcPr>
          <w:p>
            <w:r>
              <w:rPr>
                <w:rFonts w:ascii="Arial" w:hAnsi="Arial"/>
                <w:sz w:val="18"/>
              </w:rPr>
              <w:t>1 (High)</w:t>
            </w:r>
          </w:p>
        </w:tc>
        <w:tc>
          <w:tcPr>
            <w:tcW w:type="dxa" w:w="3010"/>
          </w:tcPr>
          <w:p>
            <w:r>
              <w:rPr>
                <w:rFonts w:ascii="Arial" w:hAnsi="Arial"/>
                <w:sz w:val="18"/>
              </w:rPr>
              <w:t>0 imputed months</w:t>
            </w:r>
          </w:p>
        </w:tc>
        <w:tc>
          <w:tcPr>
            <w:tcW w:type="dxa" w:w="3010"/>
          </w:tcPr>
          <w:p>
            <w:r>
              <w:rPr>
                <w:rFonts w:ascii="Arial" w:hAnsi="Arial"/>
                <w:sz w:val="18"/>
              </w:rPr>
              <w:t>Complete primary data from smart meters</w:t>
            </w:r>
          </w:p>
        </w:tc>
      </w:tr>
      <w:tr>
        <w:tc>
          <w:tcPr>
            <w:tcW w:type="dxa" w:w="3010"/>
            <w:shd w:fill="F2F6FC" w:val="clear"/>
          </w:tcPr>
          <w:p>
            <w:r>
              <w:rPr>
                <w:rFonts w:ascii="Arial" w:hAnsi="Arial"/>
                <w:sz w:val="18"/>
              </w:rPr>
              <w:t>2 (Good)</w:t>
            </w:r>
          </w:p>
        </w:tc>
        <w:tc>
          <w:tcPr>
            <w:tcW w:type="dxa" w:w="3010"/>
            <w:shd w:fill="F2F6FC" w:val="clear"/>
          </w:tcPr>
          <w:p>
            <w:r>
              <w:rPr>
                <w:rFonts w:ascii="Arial" w:hAnsi="Arial"/>
                <w:sz w:val="18"/>
              </w:rPr>
              <w:t>1-2 imputed months</w:t>
            </w:r>
          </w:p>
        </w:tc>
        <w:tc>
          <w:tcPr>
            <w:tcW w:type="dxa" w:w="3010"/>
            <w:shd w:fill="F2F6FC" w:val="clear"/>
          </w:tcPr>
          <w:p>
            <w:r>
              <w:rPr>
                <w:rFonts w:ascii="Arial" w:hAnsi="Arial"/>
                <w:sz w:val="18"/>
              </w:rPr>
              <w:t>Minor gaps filled with facility-type avg</w:t>
            </w:r>
          </w:p>
        </w:tc>
      </w:tr>
      <w:tr>
        <w:tc>
          <w:tcPr>
            <w:tcW w:type="dxa" w:w="3010"/>
          </w:tcPr>
          <w:p>
            <w:r>
              <w:rPr>
                <w:rFonts w:ascii="Arial" w:hAnsi="Arial"/>
                <w:sz w:val="18"/>
              </w:rPr>
              <w:t>3 (Moderate)</w:t>
            </w:r>
          </w:p>
        </w:tc>
        <w:tc>
          <w:tcPr>
            <w:tcW w:type="dxa" w:w="3010"/>
          </w:tcPr>
          <w:p>
            <w:r>
              <w:rPr>
                <w:rFonts w:ascii="Arial" w:hAnsi="Arial"/>
                <w:sz w:val="18"/>
              </w:rPr>
              <w:t>3-5 imputed months</w:t>
            </w:r>
          </w:p>
        </w:tc>
        <w:tc>
          <w:tcPr>
            <w:tcW w:type="dxa" w:w="3010"/>
          </w:tcPr>
          <w:p>
            <w:r>
              <w:rPr>
                <w:rFonts w:ascii="Arial" w:hAnsi="Arial"/>
                <w:sz w:val="18"/>
              </w:rPr>
              <w:t>Significant estimation required</w:t>
            </w:r>
          </w:p>
        </w:tc>
      </w:tr>
      <w:tr>
        <w:tc>
          <w:tcPr>
            <w:tcW w:type="dxa" w:w="3010"/>
            <w:shd w:fill="F2F6FC" w:val="clear"/>
          </w:tcPr>
          <w:p>
            <w:r>
              <w:rPr>
                <w:rFonts w:ascii="Arial" w:hAnsi="Arial"/>
                <w:sz w:val="18"/>
              </w:rPr>
              <w:t>4 (Low)</w:t>
            </w:r>
          </w:p>
        </w:tc>
        <w:tc>
          <w:tcPr>
            <w:tcW w:type="dxa" w:w="3010"/>
            <w:shd w:fill="F2F6FC" w:val="clear"/>
          </w:tcPr>
          <w:p>
            <w:r>
              <w:rPr>
                <w:rFonts w:ascii="Arial" w:hAnsi="Arial"/>
                <w:sz w:val="18"/>
              </w:rPr>
              <w:t>6+ imputed months</w:t>
            </w:r>
          </w:p>
        </w:tc>
        <w:tc>
          <w:tcPr>
            <w:tcW w:type="dxa" w:w="3010"/>
            <w:shd w:fill="F2F6FC" w:val="clear"/>
          </w:tcPr>
          <w:p>
            <w:r>
              <w:rPr>
                <w:rFonts w:ascii="Arial" w:hAnsi="Arial"/>
                <w:sz w:val="18"/>
              </w:rPr>
              <w:t>Majority estimated — improvement needed</w:t>
            </w:r>
          </w:p>
        </w:tc>
      </w:tr>
    </w:tbl>
    <w:p/>
    <w:p>
      <w:pPr>
        <w:spacing w:after="160" w:line="276" w:lineRule="auto"/>
      </w:pPr>
      <w:r>
        <w:t>Improvement Plan: Target 100% smart meter coverage across all facilities by Q4 2025. Monthly automated data ingestion via utility API integration in development.</w:t>
      </w:r>
    </w:p>
    <w:p>
      <w:r>
        <w:br w:type="page"/>
      </w:r>
    </w:p>
    <w:p>
      <w:pPr>
        <w:pStyle w:val="Heading1"/>
        <w:keepNext/>
        <w:spacing w:before="480" w:after="240"/>
      </w:pPr>
      <w:r>
        <w:rPr>
          <w:rFonts w:ascii="Arial" w:hAnsi="Arial"/>
          <w:b/>
          <w:color w:val="1B3A6B"/>
          <w:sz w:val="36"/>
        </w:rPr>
        <w:t>Appendix C: Sector Classification &amp; PCAF Mapping</w:t>
      </w:r>
    </w:p>
    <w:p>
      <w:pPr>
        <w:spacing w:after="160" w:line="276" w:lineRule="auto"/>
      </w:pPr>
      <w:r>
        <w:t>Sector classification follows NACE Rev. 2 codes mapped to PCAF asset classes. All productive loans in the portfolio are classified into one of the sectors below.</w:t>
      </w:r>
    </w:p>
    <w:p>
      <w:r>
        <w:rPr>
          <w:rFonts w:ascii="Arial" w:hAnsi="Arial"/>
          <w:b/>
          <w:sz w:val="20"/>
        </w:rPr>
        <w:t>Table 59: PCAF Sector Classification</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NACE Code</w:t>
            </w:r>
          </w:p>
        </w:tc>
        <w:tc>
          <w:tcPr>
            <w:tcW w:type="dxa" w:w="2257"/>
            <w:shd w:fill="1B3A6B" w:val="clear"/>
          </w:tcPr>
          <w:p>
            <w:r>
              <w:rPr>
                <w:rFonts w:ascii="Arial" w:hAnsi="Arial"/>
                <w:b/>
                <w:color w:val="FFFFFF"/>
                <w:sz w:val="18"/>
              </w:rPr>
              <w:t>Sector</w:t>
            </w:r>
          </w:p>
        </w:tc>
        <w:tc>
          <w:tcPr>
            <w:tcW w:type="dxa" w:w="2257"/>
            <w:shd w:fill="1B3A6B" w:val="clear"/>
          </w:tcPr>
          <w:p>
            <w:r>
              <w:rPr>
                <w:rFonts w:ascii="Arial" w:hAnsi="Arial"/>
                <w:b/>
                <w:color w:val="FFFFFF"/>
                <w:sz w:val="18"/>
              </w:rPr>
              <w:t>PCAF Asset Class</w:t>
            </w:r>
          </w:p>
        </w:tc>
        <w:tc>
          <w:tcPr>
            <w:tcW w:type="dxa" w:w="2257"/>
            <w:shd w:fill="1B3A6B" w:val="clear"/>
          </w:tcPr>
          <w:p>
            <w:r>
              <w:rPr>
                <w:rFonts w:ascii="Arial" w:hAnsi="Arial"/>
                <w:b/>
                <w:color w:val="FFFFFF"/>
                <w:sz w:val="18"/>
              </w:rPr>
              <w:t>Emission Factor Source</w:t>
            </w:r>
          </w:p>
        </w:tc>
      </w:tr>
      <w:tr>
        <w:tc>
          <w:tcPr>
            <w:tcW w:type="dxa" w:w="2257"/>
          </w:tcPr>
          <w:p>
            <w:r>
              <w:rPr>
                <w:rFonts w:ascii="Arial" w:hAnsi="Arial"/>
                <w:sz w:val="18"/>
              </w:rPr>
              <w:t>B.06</w:t>
            </w:r>
          </w:p>
        </w:tc>
        <w:tc>
          <w:tcPr>
            <w:tcW w:type="dxa" w:w="2257"/>
          </w:tcPr>
          <w:p>
            <w:r>
              <w:rPr>
                <w:rFonts w:ascii="Arial" w:hAnsi="Arial"/>
                <w:sz w:val="18"/>
              </w:rPr>
              <w:t>Energy — Oil &amp; Gas</w:t>
            </w:r>
          </w:p>
        </w:tc>
        <w:tc>
          <w:tcPr>
            <w:tcW w:type="dxa" w:w="2257"/>
          </w:tcPr>
          <w:p>
            <w:r>
              <w:rPr>
                <w:rFonts w:ascii="Arial" w:hAnsi="Arial"/>
                <w:sz w:val="18"/>
              </w:rPr>
              <w:t>Business Loans</w:t>
            </w:r>
          </w:p>
        </w:tc>
        <w:tc>
          <w:tcPr>
            <w:tcW w:type="dxa" w:w="2257"/>
          </w:tcPr>
          <w:p>
            <w:r>
              <w:rPr>
                <w:rFonts w:ascii="Arial" w:hAnsi="Arial"/>
                <w:sz w:val="18"/>
              </w:rPr>
              <w:t>CDP / Company Reports</w:t>
            </w:r>
          </w:p>
        </w:tc>
      </w:tr>
      <w:tr>
        <w:tc>
          <w:tcPr>
            <w:tcW w:type="dxa" w:w="2257"/>
            <w:shd w:fill="F2F6FC" w:val="clear"/>
          </w:tcPr>
          <w:p>
            <w:r>
              <w:rPr>
                <w:rFonts w:ascii="Arial" w:hAnsi="Arial"/>
                <w:sz w:val="18"/>
              </w:rPr>
              <w:t>C.23</w:t>
            </w:r>
          </w:p>
        </w:tc>
        <w:tc>
          <w:tcPr>
            <w:tcW w:type="dxa" w:w="2257"/>
            <w:shd w:fill="F2F6FC" w:val="clear"/>
          </w:tcPr>
          <w:p>
            <w:r>
              <w:rPr>
                <w:rFonts w:ascii="Arial" w:hAnsi="Arial"/>
                <w:sz w:val="18"/>
              </w:rPr>
              <w:t>Manufacturing — Cement</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C.24</w:t>
            </w:r>
          </w:p>
        </w:tc>
        <w:tc>
          <w:tcPr>
            <w:tcW w:type="dxa" w:w="2257"/>
          </w:tcPr>
          <w:p>
            <w:r>
              <w:rPr>
                <w:rFonts w:ascii="Arial" w:hAnsi="Arial"/>
                <w:sz w:val="18"/>
              </w:rPr>
              <w:t>Manufacturing — Steel</w:t>
            </w:r>
          </w:p>
        </w:tc>
        <w:tc>
          <w:tcPr>
            <w:tcW w:type="dxa" w:w="2257"/>
          </w:tcPr>
          <w:p>
            <w:r>
              <w:rPr>
                <w:rFonts w:ascii="Arial" w:hAnsi="Arial"/>
                <w:sz w:val="18"/>
              </w:rPr>
              <w:t>Business Loans</w:t>
            </w:r>
          </w:p>
        </w:tc>
        <w:tc>
          <w:tcPr>
            <w:tcW w:type="dxa" w:w="2257"/>
          </w:tcPr>
          <w:p>
            <w:r>
              <w:rPr>
                <w:rFonts w:ascii="Arial" w:hAnsi="Arial"/>
                <w:sz w:val="18"/>
              </w:rPr>
              <w:t>EEIO (Exiobase)</w:t>
            </w:r>
          </w:p>
        </w:tc>
      </w:tr>
      <w:tr>
        <w:tc>
          <w:tcPr>
            <w:tcW w:type="dxa" w:w="2257"/>
            <w:shd w:fill="F2F6FC" w:val="clear"/>
          </w:tcPr>
          <w:p>
            <w:r>
              <w:rPr>
                <w:rFonts w:ascii="Arial" w:hAnsi="Arial"/>
                <w:sz w:val="18"/>
              </w:rPr>
              <w:t>C.10</w:t>
            </w:r>
          </w:p>
        </w:tc>
        <w:tc>
          <w:tcPr>
            <w:tcW w:type="dxa" w:w="2257"/>
            <w:shd w:fill="F2F6FC" w:val="clear"/>
          </w:tcPr>
          <w:p>
            <w:r>
              <w:rPr>
                <w:rFonts w:ascii="Arial" w:hAnsi="Arial"/>
                <w:sz w:val="18"/>
              </w:rPr>
              <w:t>Manufacturing — Food</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L.68</w:t>
            </w:r>
          </w:p>
        </w:tc>
        <w:tc>
          <w:tcPr>
            <w:tcW w:type="dxa" w:w="2257"/>
          </w:tcPr>
          <w:p>
            <w:r>
              <w:rPr>
                <w:rFonts w:ascii="Arial" w:hAnsi="Arial"/>
                <w:sz w:val="18"/>
              </w:rPr>
              <w:t>Real Estate — Commercial</w:t>
            </w:r>
          </w:p>
        </w:tc>
        <w:tc>
          <w:tcPr>
            <w:tcW w:type="dxa" w:w="2257"/>
          </w:tcPr>
          <w:p>
            <w:r>
              <w:rPr>
                <w:rFonts w:ascii="Arial" w:hAnsi="Arial"/>
                <w:sz w:val="18"/>
              </w:rPr>
              <w:t>Commercial Real Estate</w:t>
            </w:r>
          </w:p>
        </w:tc>
        <w:tc>
          <w:tcPr>
            <w:tcW w:type="dxa" w:w="2257"/>
          </w:tcPr>
          <w:p>
            <w:r>
              <w:rPr>
                <w:rFonts w:ascii="Arial" w:hAnsi="Arial"/>
                <w:sz w:val="18"/>
              </w:rPr>
              <w:t>Building EPC</w:t>
            </w:r>
          </w:p>
        </w:tc>
      </w:tr>
      <w:tr>
        <w:tc>
          <w:tcPr>
            <w:tcW w:type="dxa" w:w="2257"/>
            <w:shd w:fill="F2F6FC" w:val="clear"/>
          </w:tcPr>
          <w:p>
            <w:r>
              <w:rPr>
                <w:rFonts w:ascii="Arial" w:hAnsi="Arial"/>
                <w:sz w:val="18"/>
              </w:rPr>
              <w:t>L.68.2</w:t>
            </w:r>
          </w:p>
        </w:tc>
        <w:tc>
          <w:tcPr>
            <w:tcW w:type="dxa" w:w="2257"/>
            <w:shd w:fill="F2F6FC" w:val="clear"/>
          </w:tcPr>
          <w:p>
            <w:r>
              <w:rPr>
                <w:rFonts w:ascii="Arial" w:hAnsi="Arial"/>
                <w:sz w:val="18"/>
              </w:rPr>
              <w:t>Real Estate — Residential</w:t>
            </w:r>
          </w:p>
        </w:tc>
        <w:tc>
          <w:tcPr>
            <w:tcW w:type="dxa" w:w="2257"/>
            <w:shd w:fill="F2F6FC" w:val="clear"/>
          </w:tcPr>
          <w:p>
            <w:r>
              <w:rPr>
                <w:rFonts w:ascii="Arial" w:hAnsi="Arial"/>
                <w:sz w:val="18"/>
              </w:rPr>
              <w:t>Mortgages</w:t>
            </w:r>
          </w:p>
        </w:tc>
        <w:tc>
          <w:tcPr>
            <w:tcW w:type="dxa" w:w="2257"/>
            <w:shd w:fill="F2F6FC" w:val="clear"/>
          </w:tcPr>
          <w:p>
            <w:r>
              <w:rPr>
                <w:rFonts w:ascii="Arial" w:hAnsi="Arial"/>
                <w:sz w:val="18"/>
              </w:rPr>
              <w:t>Building EPC</w:t>
            </w:r>
          </w:p>
        </w:tc>
      </w:tr>
      <w:tr>
        <w:tc>
          <w:tcPr>
            <w:tcW w:type="dxa" w:w="2257"/>
          </w:tcPr>
          <w:p>
            <w:r>
              <w:rPr>
                <w:rFonts w:ascii="Arial" w:hAnsi="Arial"/>
                <w:sz w:val="18"/>
              </w:rPr>
              <w:t>H.49</w:t>
            </w:r>
          </w:p>
        </w:tc>
        <w:tc>
          <w:tcPr>
            <w:tcW w:type="dxa" w:w="2257"/>
          </w:tcPr>
          <w:p>
            <w:r>
              <w:rPr>
                <w:rFonts w:ascii="Arial" w:hAnsi="Arial"/>
                <w:sz w:val="18"/>
              </w:rPr>
              <w:t>Transportation — Road</w:t>
            </w:r>
          </w:p>
        </w:tc>
        <w:tc>
          <w:tcPr>
            <w:tcW w:type="dxa" w:w="2257"/>
          </w:tcPr>
          <w:p>
            <w:r>
              <w:rPr>
                <w:rFonts w:ascii="Arial" w:hAnsi="Arial"/>
                <w:sz w:val="18"/>
              </w:rPr>
              <w:t>Business Loans</w:t>
            </w:r>
          </w:p>
        </w:tc>
        <w:tc>
          <w:tcPr>
            <w:tcW w:type="dxa" w:w="2257"/>
          </w:tcPr>
          <w:p>
            <w:r>
              <w:rPr>
                <w:rFonts w:ascii="Arial" w:hAnsi="Arial"/>
                <w:sz w:val="18"/>
              </w:rPr>
              <w:t>Company Reports</w:t>
            </w:r>
          </w:p>
        </w:tc>
      </w:tr>
      <w:tr>
        <w:tc>
          <w:tcPr>
            <w:tcW w:type="dxa" w:w="2257"/>
            <w:shd w:fill="F2F6FC" w:val="clear"/>
          </w:tcPr>
          <w:p>
            <w:r>
              <w:rPr>
                <w:rFonts w:ascii="Arial" w:hAnsi="Arial"/>
                <w:sz w:val="18"/>
              </w:rPr>
              <w:t>A.01</w:t>
            </w:r>
          </w:p>
        </w:tc>
        <w:tc>
          <w:tcPr>
            <w:tcW w:type="dxa" w:w="2257"/>
            <w:shd w:fill="F2F6FC" w:val="clear"/>
          </w:tcPr>
          <w:p>
            <w:r>
              <w:rPr>
                <w:rFonts w:ascii="Arial" w:hAnsi="Arial"/>
                <w:sz w:val="18"/>
              </w:rPr>
              <w:t>Agriculture</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G.47</w:t>
            </w:r>
          </w:p>
        </w:tc>
        <w:tc>
          <w:tcPr>
            <w:tcW w:type="dxa" w:w="2257"/>
          </w:tcPr>
          <w:p>
            <w:r>
              <w:rPr>
                <w:rFonts w:ascii="Arial" w:hAnsi="Arial"/>
                <w:sz w:val="18"/>
              </w:rPr>
              <w:t>Retail Trade</w:t>
            </w:r>
          </w:p>
        </w:tc>
        <w:tc>
          <w:tcPr>
            <w:tcW w:type="dxa" w:w="2257"/>
          </w:tcPr>
          <w:p>
            <w:r>
              <w:rPr>
                <w:rFonts w:ascii="Arial" w:hAnsi="Arial"/>
                <w:sz w:val="18"/>
              </w:rPr>
              <w:t>Business Loans</w:t>
            </w:r>
          </w:p>
        </w:tc>
        <w:tc>
          <w:tcPr>
            <w:tcW w:type="dxa" w:w="2257"/>
          </w:tcPr>
          <w:p>
            <w:r>
              <w:rPr>
                <w:rFonts w:ascii="Arial" w:hAnsi="Arial"/>
                <w:sz w:val="18"/>
              </w:rPr>
              <w:t>EEIO (Exiobase)</w:t>
            </w:r>
          </w:p>
        </w:tc>
      </w:tr>
      <w:tr>
        <w:tc>
          <w:tcPr>
            <w:tcW w:type="dxa" w:w="2257"/>
            <w:shd w:fill="F2F6FC" w:val="clear"/>
          </w:tcPr>
          <w:p>
            <w:r>
              <w:rPr>
                <w:rFonts w:ascii="Arial" w:hAnsi="Arial"/>
                <w:sz w:val="18"/>
              </w:rPr>
              <w:t>K.64</w:t>
            </w:r>
          </w:p>
        </w:tc>
        <w:tc>
          <w:tcPr>
            <w:tcW w:type="dxa" w:w="2257"/>
            <w:shd w:fill="F2F6FC" w:val="clear"/>
          </w:tcPr>
          <w:p>
            <w:r>
              <w:rPr>
                <w:rFonts w:ascii="Arial" w:hAnsi="Arial"/>
                <w:sz w:val="18"/>
              </w:rPr>
              <w:t>Financial Services</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Company Reports</w:t>
            </w:r>
          </w:p>
        </w:tc>
      </w:tr>
    </w:tbl>
    <w:p/>
    <w:p>
      <w:r>
        <w:br w:type="page"/>
      </w:r>
    </w:p>
    <w:p>
      <w:pPr>
        <w:pStyle w:val="Heading1"/>
        <w:keepNext/>
        <w:spacing w:before="480" w:after="240"/>
      </w:pPr>
      <w:r>
        <w:rPr>
          <w:rFonts w:ascii="Arial" w:hAnsi="Arial"/>
          <w:b/>
          <w:color w:val="1B3A6B"/>
          <w:sz w:val="36"/>
        </w:rPr>
        <w:t>Appendix D: GRI Content Index</w:t>
      </w:r>
    </w:p>
    <w:p>
      <w:pPr>
        <w:spacing w:after="160" w:line="276" w:lineRule="auto"/>
      </w:pPr>
      <w:r>
        <w:t>This report has been prepared with reference to the GRI Standards (2021). GRI 102: Climate Change 2025 supersedes GRI 305 effective 1 January 2027.</w:t>
      </w:r>
    </w:p>
    <w:p>
      <w:r>
        <w:rPr>
          <w:rFonts w:ascii="Arial" w:hAnsi="Arial"/>
          <w:b/>
          <w:sz w:val="20"/>
        </w:rPr>
        <w:t>Table 60: 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2-7</w:t>
            </w:r>
          </w:p>
        </w:tc>
        <w:tc>
          <w:tcPr>
            <w:tcW w:type="dxa" w:w="2257"/>
          </w:tcPr>
          <w:p>
            <w:r>
              <w:rPr>
                <w:rFonts w:ascii="Arial" w:hAnsi="Arial"/>
                <w:sz w:val="18"/>
              </w:rPr>
              <w:t>Employees</w:t>
            </w:r>
          </w:p>
        </w:tc>
        <w:tc>
          <w:tcPr>
            <w:tcW w:type="dxa" w:w="2257"/>
          </w:tcPr>
          <w:p>
            <w:r>
              <w:rPr>
                <w:rFonts w:ascii="Arial" w:hAnsi="Arial"/>
                <w:sz w:val="18"/>
              </w:rPr>
              <w:t>Social</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Direct (Scope 1) GHG emissions</w:t>
            </w:r>
          </w:p>
        </w:tc>
        <w:tc>
          <w:tcPr>
            <w:tcW w:type="dxa" w:w="2257"/>
            <w:shd w:fill="F2F6FC" w:val="clear"/>
          </w:tcPr>
          <w:p>
            <w:r>
              <w:rPr>
                <w:rFonts w:ascii="Arial" w:hAnsi="Arial"/>
                <w:sz w:val="18"/>
              </w:rPr>
              <w:t>Scope 1</w:t>
            </w:r>
          </w:p>
        </w:tc>
        <w:tc>
          <w:tcPr>
            <w:tcW w:type="dxa" w:w="2257"/>
            <w:shd w:fill="F2F6FC" w:val="clear"/>
          </w:tcPr>
          <w:p>
            <w:r>
              <w:rPr>
                <w:rFonts w:ascii="Arial" w:hAnsi="Arial"/>
                <w:sz w:val="18"/>
              </w:rPr>
              <w:t>✅ Disclosed</w:t>
            </w:r>
          </w:p>
        </w:tc>
      </w:tr>
      <w:tr>
        <w:tc>
          <w:tcPr>
            <w:tcW w:type="dxa" w:w="2257"/>
          </w:tcPr>
          <w:p>
            <w:r>
              <w:rPr>
                <w:rFonts w:ascii="Arial" w:hAnsi="Arial"/>
                <w:sz w:val="18"/>
              </w:rPr>
              <w:t>GRI 305-1a</w:t>
            </w:r>
          </w:p>
        </w:tc>
        <w:tc>
          <w:tcPr>
            <w:tcW w:type="dxa" w:w="2257"/>
          </w:tcPr>
          <w:p>
            <w:r>
              <w:rPr>
                <w:rFonts w:ascii="Arial" w:hAnsi="Arial"/>
                <w:sz w:val="18"/>
              </w:rPr>
              <w:t>Gross Scope 1 in tCO₂e</w:t>
            </w:r>
          </w:p>
        </w:tc>
        <w:tc>
          <w:tcPr>
            <w:tcW w:type="dxa" w:w="2257"/>
          </w:tcPr>
          <w:p>
            <w:r>
              <w:rPr>
                <w:rFonts w:ascii="Arial" w:hAnsi="Arial"/>
                <w:sz w:val="18"/>
              </w:rPr>
              <w:t>Scope 1</w:t>
            </w:r>
          </w:p>
        </w:tc>
        <w:tc>
          <w:tcPr>
            <w:tcW w:type="dxa" w:w="2257"/>
          </w:tcPr>
          <w:p>
            <w:r>
              <w:rPr>
                <w:rFonts w:ascii="Arial" w:hAnsi="Arial"/>
                <w:sz w:val="18"/>
              </w:rPr>
              <w:t>✅ Disclosed</w:t>
            </w:r>
          </w:p>
        </w:tc>
      </w:tr>
      <w:tr>
        <w:tc>
          <w:tcPr>
            <w:tcW w:type="dxa" w:w="2257"/>
            <w:shd w:fill="F2F6FC" w:val="clear"/>
          </w:tcPr>
          <w:p>
            <w:r>
              <w:rPr>
                <w:rFonts w:ascii="Arial" w:hAnsi="Arial"/>
                <w:sz w:val="18"/>
              </w:rPr>
              <w:t>GRI 305-1b</w:t>
            </w:r>
          </w:p>
        </w:tc>
        <w:tc>
          <w:tcPr>
            <w:tcW w:type="dxa" w:w="2257"/>
            <w:shd w:fill="F2F6FC" w:val="clear"/>
          </w:tcPr>
          <w:p>
            <w:r>
              <w:rPr>
                <w:rFonts w:ascii="Arial" w:hAnsi="Arial"/>
                <w:sz w:val="18"/>
              </w:rPr>
              <w:t>Gases included (CO₂, CH₄, N₂O)</w:t>
            </w:r>
          </w:p>
        </w:tc>
        <w:tc>
          <w:tcPr>
            <w:tcW w:type="dxa" w:w="2257"/>
            <w:shd w:fill="F2F6FC" w:val="clear"/>
          </w:tcPr>
          <w:p>
            <w:r>
              <w:rPr>
                <w:rFonts w:ascii="Arial" w:hAnsi="Arial"/>
                <w:sz w:val="18"/>
              </w:rPr>
              <w:t>Scope 1</w:t>
            </w:r>
          </w:p>
        </w:tc>
        <w:tc>
          <w:tcPr>
            <w:tcW w:type="dxa" w:w="2257"/>
            <w:shd w:fill="F2F6FC" w:val="clear"/>
          </w:tcPr>
          <w:p>
            <w:r>
              <w:rPr>
                <w:rFonts w:ascii="Arial" w:hAnsi="Arial"/>
                <w:sz w:val="18"/>
              </w:rPr>
              <w:t>✅ Disclosed</w:t>
            </w:r>
          </w:p>
        </w:tc>
      </w:tr>
      <w:tr>
        <w:tc>
          <w:tcPr>
            <w:tcW w:type="dxa" w:w="2257"/>
          </w:tcPr>
          <w:p>
            <w:r>
              <w:rPr>
                <w:rFonts w:ascii="Arial" w:hAnsi="Arial"/>
                <w:sz w:val="18"/>
              </w:rPr>
              <w:t>GRI 305-1e</w:t>
            </w:r>
          </w:p>
        </w:tc>
        <w:tc>
          <w:tcPr>
            <w:tcW w:type="dxa" w:w="2257"/>
          </w:tcPr>
          <w:p>
            <w:r>
              <w:rPr>
                <w:rFonts w:ascii="Arial" w:hAnsi="Arial"/>
                <w:sz w:val="18"/>
              </w:rPr>
              <w:t>Emission factors &amp; GWP source</w:t>
            </w:r>
          </w:p>
        </w:tc>
        <w:tc>
          <w:tcPr>
            <w:tcW w:type="dxa" w:w="2257"/>
          </w:tcPr>
          <w:p>
            <w:r>
              <w:rPr>
                <w:rFonts w:ascii="Arial" w:hAnsi="Arial"/>
                <w:sz w:val="18"/>
              </w:rPr>
              <w:t>Appendix A</w:t>
            </w:r>
          </w:p>
        </w:tc>
        <w:tc>
          <w:tcPr>
            <w:tcW w:type="dxa" w:w="2257"/>
          </w:tcPr>
          <w:p>
            <w:r>
              <w:rPr>
                <w:rFonts w:ascii="Arial" w:hAnsi="Arial"/>
                <w:sz w:val="18"/>
              </w:rPr>
              <w:t>✅ Disclosed</w:t>
            </w:r>
          </w:p>
        </w:tc>
      </w:tr>
      <w:tr>
        <w:tc>
          <w:tcPr>
            <w:tcW w:type="dxa" w:w="2257"/>
            <w:shd w:fill="F2F6FC" w:val="clear"/>
          </w:tcPr>
          <w:p>
            <w:r>
              <w:rPr>
                <w:rFonts w:ascii="Arial" w:hAnsi="Arial"/>
                <w:sz w:val="18"/>
              </w:rPr>
              <w:t>GRI 305-1f</w:t>
            </w:r>
          </w:p>
        </w:tc>
        <w:tc>
          <w:tcPr>
            <w:tcW w:type="dxa" w:w="2257"/>
            <w:shd w:fill="F2F6FC" w:val="clear"/>
          </w:tcPr>
          <w:p>
            <w:r>
              <w:rPr>
                <w:rFonts w:ascii="Arial" w:hAnsi="Arial"/>
                <w:sz w:val="18"/>
              </w:rPr>
              <w:t>Consolidation approach</w:t>
            </w:r>
          </w:p>
        </w:tc>
        <w:tc>
          <w:tcPr>
            <w:tcW w:type="dxa" w:w="2257"/>
            <w:shd w:fill="F2F6FC" w:val="clear"/>
          </w:tcPr>
          <w:p>
            <w:r>
              <w:rPr>
                <w:rFonts w:ascii="Arial" w:hAnsi="Arial"/>
                <w:sz w:val="18"/>
              </w:rPr>
              <w:t>Appendix A</w:t>
            </w:r>
          </w:p>
        </w:tc>
        <w:tc>
          <w:tcPr>
            <w:tcW w:type="dxa" w:w="2257"/>
            <w:shd w:fill="F2F6FC" w:val="clear"/>
          </w:tcPr>
          <w:p>
            <w:r>
              <w:rPr>
                <w:rFonts w:ascii="Arial" w:hAnsi="Arial"/>
                <w:sz w:val="18"/>
              </w:rPr>
              <w:t>✅ Disclosed</w:t>
            </w:r>
          </w:p>
        </w:tc>
      </w:tr>
      <w:tr>
        <w:tc>
          <w:tcPr>
            <w:tcW w:type="dxa" w:w="2257"/>
          </w:tcPr>
          <w:p>
            <w:r>
              <w:rPr>
                <w:rFonts w:ascii="Arial" w:hAnsi="Arial"/>
                <w:sz w:val="18"/>
              </w:rPr>
              <w:t>GRI 305-1g</w:t>
            </w:r>
          </w:p>
        </w:tc>
        <w:tc>
          <w:tcPr>
            <w:tcW w:type="dxa" w:w="2257"/>
          </w:tcPr>
          <w:p>
            <w:r>
              <w:rPr>
                <w:rFonts w:ascii="Arial" w:hAnsi="Arial"/>
                <w:sz w:val="18"/>
              </w:rPr>
              <w:t>Standards used</w:t>
            </w:r>
          </w:p>
        </w:tc>
        <w:tc>
          <w:tcPr>
            <w:tcW w:type="dxa" w:w="2257"/>
          </w:tcPr>
          <w:p>
            <w:r>
              <w:rPr>
                <w:rFonts w:ascii="Arial" w:hAnsi="Arial"/>
                <w:sz w:val="18"/>
              </w:rPr>
              <w:t>Appendix A</w:t>
            </w:r>
          </w:p>
        </w:tc>
        <w:tc>
          <w:tcPr>
            <w:tcW w:type="dxa" w:w="2257"/>
          </w:tcPr>
          <w:p>
            <w:r>
              <w:rPr>
                <w:rFonts w:ascii="Arial" w:hAnsi="Arial"/>
                <w:sz w:val="18"/>
              </w:rPr>
              <w:t>✅ Disclosed</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Energy indirect (Scope 2)</w:t>
            </w:r>
          </w:p>
        </w:tc>
        <w:tc>
          <w:tcPr>
            <w:tcW w:type="dxa" w:w="2257"/>
            <w:shd w:fill="F2F6FC" w:val="clear"/>
          </w:tcPr>
          <w:p>
            <w:r>
              <w:rPr>
                <w:rFonts w:ascii="Arial" w:hAnsi="Arial"/>
                <w:sz w:val="18"/>
              </w:rPr>
              <w:t>Scope 2</w:t>
            </w:r>
          </w:p>
        </w:tc>
        <w:tc>
          <w:tcPr>
            <w:tcW w:type="dxa" w:w="2257"/>
            <w:shd w:fill="F2F6FC" w:val="clear"/>
          </w:tcPr>
          <w:p>
            <w:r>
              <w:rPr>
                <w:rFonts w:ascii="Arial" w:hAnsi="Arial"/>
                <w:sz w:val="18"/>
              </w:rPr>
              <w:t>✅ Disclosed</w:t>
            </w:r>
          </w:p>
        </w:tc>
      </w:tr>
      <w:tr>
        <w:tc>
          <w:tcPr>
            <w:tcW w:type="dxa" w:w="2257"/>
          </w:tcPr>
          <w:p>
            <w:r>
              <w:rPr>
                <w:rFonts w:ascii="Arial" w:hAnsi="Arial"/>
                <w:sz w:val="18"/>
              </w:rPr>
              <w:t>GRI 305-2a</w:t>
            </w:r>
          </w:p>
        </w:tc>
        <w:tc>
          <w:tcPr>
            <w:tcW w:type="dxa" w:w="2257"/>
          </w:tcPr>
          <w:p>
            <w:r>
              <w:rPr>
                <w:rFonts w:ascii="Arial" w:hAnsi="Arial"/>
                <w:sz w:val="18"/>
              </w:rPr>
              <w:t>Location-based + Market-based</w:t>
            </w:r>
          </w:p>
        </w:tc>
        <w:tc>
          <w:tcPr>
            <w:tcW w:type="dxa" w:w="2257"/>
          </w:tcPr>
          <w:p>
            <w:r>
              <w:rPr>
                <w:rFonts w:ascii="Arial" w:hAnsi="Arial"/>
                <w:sz w:val="18"/>
              </w:rPr>
              <w:t>Scope 2</w:t>
            </w:r>
          </w:p>
        </w:tc>
        <w:tc>
          <w:tcPr>
            <w:tcW w:type="dxa" w:w="2257"/>
          </w:tcPr>
          <w:p>
            <w:r>
              <w:rPr>
                <w:rFonts w:ascii="Arial" w:hAnsi="Arial"/>
                <w:sz w:val="18"/>
              </w:rPr>
              <w:t>✅ Disclosed</w:t>
            </w:r>
          </w:p>
        </w:tc>
      </w:tr>
      <w:tr>
        <w:tc>
          <w:tcPr>
            <w:tcW w:type="dxa" w:w="2257"/>
            <w:shd w:fill="F2F6FC" w:val="clear"/>
          </w:tcPr>
          <w:p>
            <w:r>
              <w:rPr>
                <w:rFonts w:ascii="Arial" w:hAnsi="Arial"/>
                <w:sz w:val="18"/>
              </w:rPr>
              <w:t>GRI 305-3</w:t>
            </w:r>
          </w:p>
        </w:tc>
        <w:tc>
          <w:tcPr>
            <w:tcW w:type="dxa" w:w="2257"/>
            <w:shd w:fill="F2F6FC" w:val="clear"/>
          </w:tcPr>
          <w:p>
            <w:r>
              <w:rPr>
                <w:rFonts w:ascii="Arial" w:hAnsi="Arial"/>
                <w:sz w:val="18"/>
              </w:rPr>
              <w:t>Other indirect (Scope 3)</w:t>
            </w:r>
          </w:p>
        </w:tc>
        <w:tc>
          <w:tcPr>
            <w:tcW w:type="dxa" w:w="2257"/>
            <w:shd w:fill="F2F6FC" w:val="clear"/>
          </w:tcPr>
          <w:p>
            <w:r>
              <w:rPr>
                <w:rFonts w:ascii="Arial" w:hAnsi="Arial"/>
                <w:sz w:val="18"/>
              </w:rPr>
              <w:t>PCAF / Scope 3</w:t>
            </w:r>
          </w:p>
        </w:tc>
        <w:tc>
          <w:tcPr>
            <w:tcW w:type="dxa" w:w="2257"/>
            <w:shd w:fill="F2F6FC" w:val="clear"/>
          </w:tcPr>
          <w:p>
            <w:r>
              <w:rPr>
                <w:rFonts w:ascii="Arial" w:hAnsi="Arial"/>
                <w:sz w:val="18"/>
              </w:rPr>
              <w:t>✅ Disclosed</w:t>
            </w:r>
          </w:p>
        </w:tc>
      </w:tr>
      <w:tr>
        <w:tc>
          <w:tcPr>
            <w:tcW w:type="dxa" w:w="2257"/>
          </w:tcPr>
          <w:p>
            <w:r>
              <w:rPr>
                <w:rFonts w:ascii="Arial" w:hAnsi="Arial"/>
                <w:sz w:val="18"/>
              </w:rPr>
              <w:t>GRI 305-3a</w:t>
            </w:r>
          </w:p>
        </w:tc>
        <w:tc>
          <w:tcPr>
            <w:tcW w:type="dxa" w:w="2257"/>
          </w:tcPr>
          <w:p>
            <w:r>
              <w:rPr>
                <w:rFonts w:ascii="Arial" w:hAnsi="Arial"/>
                <w:sz w:val="18"/>
              </w:rPr>
              <w:t>Category 15: Investments (PCAF)</w:t>
            </w:r>
          </w:p>
        </w:tc>
        <w:tc>
          <w:tcPr>
            <w:tcW w:type="dxa" w:w="2257"/>
          </w:tcPr>
          <w:p>
            <w:r>
              <w:rPr>
                <w:rFonts w:ascii="Arial" w:hAnsi="Arial"/>
                <w:sz w:val="18"/>
              </w:rPr>
              <w:t>PCAF / Scope 3</w:t>
            </w:r>
          </w:p>
        </w:tc>
        <w:tc>
          <w:tcPr>
            <w:tcW w:type="dxa" w:w="2257"/>
          </w:tcPr>
          <w:p>
            <w:r>
              <w:rPr>
                <w:rFonts w:ascii="Arial" w:hAnsi="Arial"/>
                <w:sz w:val="18"/>
              </w:rPr>
              <w:t>✅ Disclosed</w:t>
            </w:r>
          </w:p>
        </w:tc>
      </w:tr>
      <w:tr>
        <w:tc>
          <w:tcPr>
            <w:tcW w:type="dxa" w:w="2257"/>
            <w:shd w:fill="F2F6FC" w:val="clear"/>
          </w:tcPr>
          <w:p>
            <w:r>
              <w:rPr>
                <w:rFonts w:ascii="Arial" w:hAnsi="Arial"/>
                <w:sz w:val="18"/>
              </w:rPr>
              <w:t>GRI 305-4</w:t>
            </w:r>
          </w:p>
        </w:tc>
        <w:tc>
          <w:tcPr>
            <w:tcW w:type="dxa" w:w="2257"/>
            <w:shd w:fill="F2F6FC" w:val="clear"/>
          </w:tcPr>
          <w:p>
            <w:r>
              <w:rPr>
                <w:rFonts w:ascii="Arial" w:hAnsi="Arial"/>
                <w:sz w:val="18"/>
              </w:rPr>
              <w:t>GHG emissions intensity</w:t>
            </w:r>
          </w:p>
        </w:tc>
        <w:tc>
          <w:tcPr>
            <w:tcW w:type="dxa" w:w="2257"/>
            <w:shd w:fill="F2F6FC" w:val="clear"/>
          </w:tcPr>
          <w:p>
            <w:r>
              <w:rPr>
                <w:rFonts w:ascii="Arial" w:hAnsi="Arial"/>
                <w:sz w:val="18"/>
              </w:rPr>
              <w:t>Intensity</w:t>
            </w:r>
          </w:p>
        </w:tc>
        <w:tc>
          <w:tcPr>
            <w:tcW w:type="dxa" w:w="2257"/>
            <w:shd w:fill="F2F6FC" w:val="clear"/>
          </w:tcPr>
          <w:p>
            <w:r>
              <w:rPr>
                <w:rFonts w:ascii="Arial" w:hAnsi="Arial"/>
                <w:sz w:val="18"/>
              </w:rPr>
              <w:t>✅ Disclosed</w:t>
            </w:r>
          </w:p>
        </w:tc>
      </w:tr>
      <w:tr>
        <w:tc>
          <w:tcPr>
            <w:tcW w:type="dxa" w:w="2257"/>
          </w:tcPr>
          <w:p>
            <w:r>
              <w:rPr>
                <w:rFonts w:ascii="Arial" w:hAnsi="Arial"/>
                <w:sz w:val="18"/>
              </w:rPr>
              <w:t>GRI 305-5</w:t>
            </w:r>
          </w:p>
        </w:tc>
        <w:tc>
          <w:tcPr>
            <w:tcW w:type="dxa" w:w="2257"/>
          </w:tcPr>
          <w:p>
            <w:r>
              <w:rPr>
                <w:rFonts w:ascii="Arial" w:hAnsi="Arial"/>
                <w:sz w:val="18"/>
              </w:rPr>
              <w:t>Reduction of GHG emissions</w:t>
            </w:r>
          </w:p>
        </w:tc>
        <w:tc>
          <w:tcPr>
            <w:tcW w:type="dxa" w:w="2257"/>
          </w:tcPr>
          <w:p>
            <w:r>
              <w:rPr>
                <w:rFonts w:ascii="Arial" w:hAnsi="Arial"/>
                <w:sz w:val="18"/>
              </w:rPr>
              <w:t>Reduction</w:t>
            </w:r>
          </w:p>
        </w:tc>
        <w:tc>
          <w:tcPr>
            <w:tcW w:type="dxa" w:w="2257"/>
          </w:tcPr>
          <w:p>
            <w:r>
              <w:rPr>
                <w:rFonts w:ascii="Arial" w:hAnsi="Arial"/>
                <w:sz w:val="18"/>
              </w:rPr>
              <w:t>⚠️ Partial</w:t>
            </w:r>
          </w:p>
        </w:tc>
      </w:tr>
      <w:tr>
        <w:tc>
          <w:tcPr>
            <w:tcW w:type="dxa" w:w="2257"/>
            <w:shd w:fill="F2F6FC" w:val="clear"/>
          </w:tcPr>
          <w:p>
            <w:r>
              <w:rPr>
                <w:rFonts w:ascii="Arial" w:hAnsi="Arial"/>
                <w:sz w:val="18"/>
              </w:rPr>
              <w:t>GRI 401-1</w:t>
            </w:r>
          </w:p>
        </w:tc>
        <w:tc>
          <w:tcPr>
            <w:tcW w:type="dxa" w:w="2257"/>
            <w:shd w:fill="F2F6FC" w:val="clear"/>
          </w:tcPr>
          <w:p>
            <w:r>
              <w:rPr>
                <w:rFonts w:ascii="Arial" w:hAnsi="Arial"/>
                <w:sz w:val="18"/>
              </w:rPr>
              <w:t>New hires and turnover</w:t>
            </w:r>
          </w:p>
        </w:tc>
        <w:tc>
          <w:tcPr>
            <w:tcW w:type="dxa" w:w="2257"/>
            <w:shd w:fill="F2F6FC" w:val="clear"/>
          </w:tcPr>
          <w:p>
            <w:r>
              <w:rPr>
                <w:rFonts w:ascii="Arial" w:hAnsi="Arial"/>
                <w:sz w:val="18"/>
              </w:rPr>
              <w:t>Social</w:t>
            </w:r>
          </w:p>
        </w:tc>
        <w:tc>
          <w:tcPr>
            <w:tcW w:type="dxa" w:w="2257"/>
            <w:shd w:fill="F2F6FC" w:val="clear"/>
          </w:tcPr>
          <w:p>
            <w:r>
              <w:rPr>
                <w:rFonts w:ascii="Arial" w:hAnsi="Arial"/>
                <w:sz w:val="18"/>
              </w:rPr>
              <w:t>✅ Disclosed</w:t>
            </w:r>
          </w:p>
        </w:tc>
      </w:tr>
      <w:tr>
        <w:tc>
          <w:tcPr>
            <w:tcW w:type="dxa" w:w="2257"/>
          </w:tcPr>
          <w:p>
            <w:r>
              <w:rPr>
                <w:rFonts w:ascii="Arial" w:hAnsi="Arial"/>
                <w:sz w:val="18"/>
              </w:rPr>
              <w:t>GRI 404-1</w:t>
            </w:r>
          </w:p>
        </w:tc>
        <w:tc>
          <w:tcPr>
            <w:tcW w:type="dxa" w:w="2257"/>
          </w:tcPr>
          <w:p>
            <w:r>
              <w:rPr>
                <w:rFonts w:ascii="Arial" w:hAnsi="Arial"/>
                <w:sz w:val="18"/>
              </w:rPr>
              <w:t>Training hours per employee</w:t>
            </w:r>
          </w:p>
        </w:tc>
        <w:tc>
          <w:tcPr>
            <w:tcW w:type="dxa" w:w="2257"/>
          </w:tcPr>
          <w:p>
            <w:r>
              <w:rPr>
                <w:rFonts w:ascii="Arial" w:hAnsi="Arial"/>
                <w:sz w:val="18"/>
              </w:rPr>
              <w:t>Social</w:t>
            </w:r>
          </w:p>
        </w:tc>
        <w:tc>
          <w:tcPr>
            <w:tcW w:type="dxa" w:w="2257"/>
          </w:tcPr>
          <w:p>
            <w:r>
              <w:rPr>
                <w:rFonts w:ascii="Arial" w:hAnsi="Arial"/>
                <w:sz w:val="18"/>
              </w:rPr>
              <w:t>✅ Disclosed</w:t>
            </w:r>
          </w:p>
        </w:tc>
      </w:tr>
      <w:tr>
        <w:tc>
          <w:tcPr>
            <w:tcW w:type="dxa" w:w="2257"/>
            <w:shd w:fill="F2F6FC" w:val="clear"/>
          </w:tcPr>
          <w:p>
            <w:r>
              <w:rPr>
                <w:rFonts w:ascii="Arial" w:hAnsi="Arial"/>
                <w:sz w:val="18"/>
              </w:rPr>
              <w:t>GRI 405-1</w:t>
            </w:r>
          </w:p>
        </w:tc>
        <w:tc>
          <w:tcPr>
            <w:tcW w:type="dxa" w:w="2257"/>
            <w:shd w:fill="F2F6FC" w:val="clear"/>
          </w:tcPr>
          <w:p>
            <w:r>
              <w:rPr>
                <w:rFonts w:ascii="Arial" w:hAnsi="Arial"/>
                <w:sz w:val="18"/>
              </w:rPr>
              <w:t>Diversity of governance bodies</w:t>
            </w:r>
          </w:p>
        </w:tc>
        <w:tc>
          <w:tcPr>
            <w:tcW w:type="dxa" w:w="2257"/>
            <w:shd w:fill="F2F6FC" w:val="clear"/>
          </w:tcPr>
          <w:p>
            <w:r>
              <w:rPr>
                <w:rFonts w:ascii="Arial" w:hAnsi="Arial"/>
                <w:sz w:val="18"/>
              </w:rPr>
              <w:t>Social</w:t>
            </w:r>
          </w:p>
        </w:tc>
        <w:tc>
          <w:tcPr>
            <w:tcW w:type="dxa" w:w="2257"/>
            <w:shd w:fill="F2F6FC" w:val="clear"/>
          </w:tcPr>
          <w:p>
            <w:r>
              <w:rPr>
                <w:rFonts w:ascii="Arial" w:hAnsi="Arial"/>
                <w:sz w:val="18"/>
              </w:rPr>
              <w:t>✅ Disclosed</w:t>
            </w:r>
          </w:p>
        </w:tc>
      </w:tr>
      <w:tr>
        <w:tc>
          <w:tcPr>
            <w:tcW w:type="dxa" w:w="2257"/>
          </w:tcPr>
          <w:p>
            <w:r>
              <w:rPr>
                <w:rFonts w:ascii="Arial" w:hAnsi="Arial"/>
                <w:sz w:val="18"/>
              </w:rPr>
              <w:t>GRI 406-1</w:t>
            </w:r>
          </w:p>
        </w:tc>
        <w:tc>
          <w:tcPr>
            <w:tcW w:type="dxa" w:w="2257"/>
          </w:tcPr>
          <w:p>
            <w:r>
              <w:rPr>
                <w:rFonts w:ascii="Arial" w:hAnsi="Arial"/>
                <w:sz w:val="18"/>
              </w:rPr>
              <w:t>Discrimination incidents</w:t>
            </w:r>
          </w:p>
        </w:tc>
        <w:tc>
          <w:tcPr>
            <w:tcW w:type="dxa" w:w="2257"/>
          </w:tcPr>
          <w:p>
            <w:r>
              <w:rPr>
                <w:rFonts w:ascii="Arial" w:hAnsi="Arial"/>
                <w:sz w:val="18"/>
              </w:rPr>
              <w:t>Social</w:t>
            </w:r>
          </w:p>
        </w:tc>
        <w:tc>
          <w:tcPr>
            <w:tcW w:type="dxa" w:w="2257"/>
          </w:tcPr>
          <w:p>
            <w:r>
              <w:rPr>
                <w:rFonts w:ascii="Arial" w:hAnsi="Arial"/>
                <w:sz w:val="18"/>
              </w:rPr>
              <w:t>✅ Disclosed</w:t>
            </w:r>
          </w:p>
        </w:tc>
      </w:tr>
    </w:tbl>
    <w:p>
      <w:r>
        <w:rPr>
          <w:rFonts w:ascii="Arial" w:hAnsi="Arial"/>
          <w:i/>
          <w:sz w:val="16"/>
        </w:rPr>
        <w:t>Source: GRI Standards 2021. Note: GRI 102 (2025) supersedes GRI 305 from 2027.</w:t>
      </w:r>
    </w:p>
    <w:p/>
    <w:p>
      <w:r>
        <w:br w:type="page"/>
      </w:r>
    </w:p>
    <w:p>
      <w:pPr>
        <w:pStyle w:val="Heading1"/>
        <w:keepNext/>
        <w:spacing w:before="480" w:after="240"/>
      </w:pPr>
      <w:r>
        <w:rPr>
          <w:rFonts w:ascii="Arial" w:hAnsi="Arial"/>
          <w:b/>
          <w:color w:val="1B3A6B"/>
          <w:sz w:val="36"/>
        </w:rPr>
        <w:t>Appendix E: Framework Disclosure Cross-Reference</w:t>
      </w:r>
    </w:p>
    <w:p>
      <w:pPr>
        <w:spacing w:after="160" w:line="276" w:lineRule="auto"/>
      </w:pPr>
      <w:r>
        <w:t>This report simultaneously addresses requirements from four sustainability reporting frameworks. The table below maps report sections to specific disclosure requirements per framework.</w:t>
      </w:r>
    </w:p>
    <w:p>
      <w:r>
        <w:rPr>
          <w:rFonts w:ascii="Arial" w:hAnsi="Arial"/>
          <w:b/>
          <w:sz w:val="20"/>
        </w:rPr>
        <w:t>Table 61: Multi-Framework Disclosure Mapping</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Report Section</w:t>
            </w:r>
          </w:p>
        </w:tc>
        <w:tc>
          <w:tcPr>
            <w:tcW w:type="dxa" w:w="1806"/>
            <w:shd w:fill="1B3A6B" w:val="clear"/>
          </w:tcPr>
          <w:p>
            <w:r>
              <w:rPr>
                <w:rFonts w:ascii="Arial" w:hAnsi="Arial"/>
                <w:b/>
                <w:color w:val="FFFFFF"/>
                <w:sz w:val="18"/>
              </w:rPr>
              <w:t>GRI 305</w:t>
            </w:r>
          </w:p>
        </w:tc>
        <w:tc>
          <w:tcPr>
            <w:tcW w:type="dxa" w:w="1806"/>
            <w:shd w:fill="1B3A6B" w:val="clear"/>
          </w:tcPr>
          <w:p>
            <w:r>
              <w:rPr>
                <w:rFonts w:ascii="Arial" w:hAnsi="Arial"/>
                <w:b/>
                <w:color w:val="FFFFFF"/>
                <w:sz w:val="18"/>
              </w:rPr>
              <w:t>IFRS S2</w:t>
            </w:r>
          </w:p>
        </w:tc>
        <w:tc>
          <w:tcPr>
            <w:tcW w:type="dxa" w:w="1806"/>
            <w:shd w:fill="1B3A6B" w:val="clear"/>
          </w:tcPr>
          <w:p>
            <w:r>
              <w:rPr>
                <w:rFonts w:ascii="Arial" w:hAnsi="Arial"/>
                <w:b/>
                <w:color w:val="FFFFFF"/>
                <w:sz w:val="18"/>
              </w:rPr>
              <w:t>ESRS E1</w:t>
            </w:r>
          </w:p>
        </w:tc>
        <w:tc>
          <w:tcPr>
            <w:tcW w:type="dxa" w:w="1806"/>
            <w:shd w:fill="1B3A6B" w:val="clear"/>
          </w:tcPr>
          <w:p>
            <w:r>
              <w:rPr>
                <w:rFonts w:ascii="Arial" w:hAnsi="Arial"/>
                <w:b/>
                <w:color w:val="FFFFFF"/>
                <w:sz w:val="18"/>
              </w:rPr>
              <w:t>OJK PSPK</w:t>
            </w:r>
          </w:p>
        </w:tc>
      </w:tr>
      <w:tr>
        <w:tc>
          <w:tcPr>
            <w:tcW w:type="dxa" w:w="1806"/>
          </w:tcPr>
          <w:p>
            <w:r>
              <w:rPr>
                <w:rFonts w:ascii="Arial" w:hAnsi="Arial"/>
                <w:sz w:val="18"/>
              </w:rPr>
              <w:t>Scope 1 Emissions</w:t>
            </w:r>
          </w:p>
        </w:tc>
        <w:tc>
          <w:tcPr>
            <w:tcW w:type="dxa" w:w="1806"/>
          </w:tcPr>
          <w:p>
            <w:r>
              <w:rPr>
                <w:rFonts w:ascii="Arial" w:hAnsi="Arial"/>
                <w:sz w:val="18"/>
              </w:rPr>
              <w:t>305-1 (a-g)</w:t>
            </w:r>
          </w:p>
        </w:tc>
        <w:tc>
          <w:tcPr>
            <w:tcW w:type="dxa" w:w="1806"/>
          </w:tcPr>
          <w:p>
            <w:r>
              <w:rPr>
                <w:rFonts w:ascii="Arial" w:hAnsi="Arial"/>
                <w:sz w:val="18"/>
              </w:rPr>
              <w:t>Para 29(a)(i)</w:t>
            </w:r>
          </w:p>
        </w:tc>
        <w:tc>
          <w:tcPr>
            <w:tcW w:type="dxa" w:w="1806"/>
          </w:tcPr>
          <w:p>
            <w:r>
              <w:rPr>
                <w:rFonts w:ascii="Arial" w:hAnsi="Arial"/>
                <w:sz w:val="18"/>
              </w:rPr>
              <w:t>DR E1-6 §44</w:t>
            </w:r>
          </w:p>
        </w:tc>
        <w:tc>
          <w:tcPr>
            <w:tcW w:type="dxa" w:w="1806"/>
          </w:tcPr>
          <w:p>
            <w:r>
              <w:rPr>
                <w:rFonts w:ascii="Arial" w:hAnsi="Arial"/>
                <w:sz w:val="18"/>
              </w:rPr>
              <w:t>Lampiran II.A.1</w:t>
            </w:r>
          </w:p>
        </w:tc>
      </w:tr>
      <w:tr>
        <w:tc>
          <w:tcPr>
            <w:tcW w:type="dxa" w:w="1806"/>
            <w:shd w:fill="F2F6FC" w:val="clear"/>
          </w:tcPr>
          <w:p>
            <w:r>
              <w:rPr>
                <w:rFonts w:ascii="Arial" w:hAnsi="Arial"/>
                <w:sz w:val="18"/>
              </w:rPr>
              <w:t>Scope 2 Emissions</w:t>
            </w:r>
          </w:p>
        </w:tc>
        <w:tc>
          <w:tcPr>
            <w:tcW w:type="dxa" w:w="1806"/>
            <w:shd w:fill="F2F6FC" w:val="clear"/>
          </w:tcPr>
          <w:p>
            <w:r>
              <w:rPr>
                <w:rFonts w:ascii="Arial" w:hAnsi="Arial"/>
                <w:sz w:val="18"/>
              </w:rPr>
              <w:t>305-2 (a-e)</w:t>
            </w:r>
          </w:p>
        </w:tc>
        <w:tc>
          <w:tcPr>
            <w:tcW w:type="dxa" w:w="1806"/>
            <w:shd w:fill="F2F6FC" w:val="clear"/>
          </w:tcPr>
          <w:p>
            <w:r>
              <w:rPr>
                <w:rFonts w:ascii="Arial" w:hAnsi="Arial"/>
                <w:sz w:val="18"/>
              </w:rPr>
              <w:t>Para 29(a)(ii)</w:t>
            </w:r>
          </w:p>
        </w:tc>
        <w:tc>
          <w:tcPr>
            <w:tcW w:type="dxa" w:w="1806"/>
            <w:shd w:fill="F2F6FC" w:val="clear"/>
          </w:tcPr>
          <w:p>
            <w:r>
              <w:rPr>
                <w:rFonts w:ascii="Arial" w:hAnsi="Arial"/>
                <w:sz w:val="18"/>
              </w:rPr>
              <w:t>DR E1-6 §47-48</w:t>
            </w:r>
          </w:p>
        </w:tc>
        <w:tc>
          <w:tcPr>
            <w:tcW w:type="dxa" w:w="1806"/>
            <w:shd w:fill="F2F6FC" w:val="clear"/>
          </w:tcPr>
          <w:p>
            <w:r>
              <w:rPr>
                <w:rFonts w:ascii="Arial" w:hAnsi="Arial"/>
                <w:sz w:val="18"/>
              </w:rPr>
              <w:t>Lampiran II.A.2</w:t>
            </w:r>
          </w:p>
        </w:tc>
      </w:tr>
      <w:tr>
        <w:tc>
          <w:tcPr>
            <w:tcW w:type="dxa" w:w="1806"/>
          </w:tcPr>
          <w:p>
            <w:r>
              <w:rPr>
                <w:rFonts w:ascii="Arial" w:hAnsi="Arial"/>
                <w:sz w:val="18"/>
              </w:rPr>
              <w:t>Scope 3 / Financed</w:t>
            </w:r>
          </w:p>
        </w:tc>
        <w:tc>
          <w:tcPr>
            <w:tcW w:type="dxa" w:w="1806"/>
          </w:tcPr>
          <w:p>
            <w:r>
              <w:rPr>
                <w:rFonts w:ascii="Arial" w:hAnsi="Arial"/>
                <w:sz w:val="18"/>
              </w:rPr>
              <w:t>305-3 (a-f)</w:t>
            </w:r>
          </w:p>
        </w:tc>
        <w:tc>
          <w:tcPr>
            <w:tcW w:type="dxa" w:w="1806"/>
          </w:tcPr>
          <w:p>
            <w:r>
              <w:rPr>
                <w:rFonts w:ascii="Arial" w:hAnsi="Arial"/>
                <w:sz w:val="18"/>
              </w:rPr>
              <w:t>Para 29(a)(iv)</w:t>
            </w:r>
          </w:p>
        </w:tc>
        <w:tc>
          <w:tcPr>
            <w:tcW w:type="dxa" w:w="1806"/>
          </w:tcPr>
          <w:p>
            <w:r>
              <w:rPr>
                <w:rFonts w:ascii="Arial" w:hAnsi="Arial"/>
                <w:sz w:val="18"/>
              </w:rPr>
              <w:t>DR E1-6 §51-54</w:t>
            </w:r>
          </w:p>
        </w:tc>
        <w:tc>
          <w:tcPr>
            <w:tcW w:type="dxa" w:w="1806"/>
          </w:tcPr>
          <w:p>
            <w:r>
              <w:rPr>
                <w:rFonts w:ascii="Arial" w:hAnsi="Arial"/>
                <w:sz w:val="18"/>
              </w:rPr>
              <w:t>Lampiran II.A.3</w:t>
            </w:r>
          </w:p>
        </w:tc>
      </w:tr>
      <w:tr>
        <w:tc>
          <w:tcPr>
            <w:tcW w:type="dxa" w:w="1806"/>
            <w:shd w:fill="F2F6FC" w:val="clear"/>
          </w:tcPr>
          <w:p>
            <w:r>
              <w:rPr>
                <w:rFonts w:ascii="Arial" w:hAnsi="Arial"/>
                <w:sz w:val="18"/>
              </w:rPr>
              <w:t>Intensity</w:t>
            </w:r>
          </w:p>
        </w:tc>
        <w:tc>
          <w:tcPr>
            <w:tcW w:type="dxa" w:w="1806"/>
            <w:shd w:fill="F2F6FC" w:val="clear"/>
          </w:tcPr>
          <w:p>
            <w:r>
              <w:rPr>
                <w:rFonts w:ascii="Arial" w:hAnsi="Arial"/>
                <w:sz w:val="18"/>
              </w:rPr>
              <w:t>305-4 (a-d)</w:t>
            </w:r>
          </w:p>
        </w:tc>
        <w:tc>
          <w:tcPr>
            <w:tcW w:type="dxa" w:w="1806"/>
            <w:shd w:fill="F2F6FC" w:val="clear"/>
          </w:tcPr>
          <w:p>
            <w:r>
              <w:rPr>
                <w:rFonts w:ascii="Arial" w:hAnsi="Arial"/>
                <w:sz w:val="18"/>
              </w:rPr>
              <w:t>Para 29(b)</w:t>
            </w:r>
          </w:p>
        </w:tc>
        <w:tc>
          <w:tcPr>
            <w:tcW w:type="dxa" w:w="1806"/>
            <w:shd w:fill="F2F6FC" w:val="clear"/>
          </w:tcPr>
          <w:p>
            <w:r>
              <w:rPr>
                <w:rFonts w:ascii="Arial" w:hAnsi="Arial"/>
                <w:sz w:val="18"/>
              </w:rPr>
              <w:t>DR E1-6 §55-56</w:t>
            </w:r>
          </w:p>
        </w:tc>
        <w:tc>
          <w:tcPr>
            <w:tcW w:type="dxa" w:w="1806"/>
            <w:shd w:fill="F2F6FC" w:val="clear"/>
          </w:tcPr>
          <w:p>
            <w:r>
              <w:rPr>
                <w:rFonts w:ascii="Arial" w:hAnsi="Arial"/>
                <w:sz w:val="18"/>
              </w:rPr>
              <w:t>Lampiran II.B</w:t>
            </w:r>
          </w:p>
        </w:tc>
      </w:tr>
      <w:tr>
        <w:tc>
          <w:tcPr>
            <w:tcW w:type="dxa" w:w="1806"/>
          </w:tcPr>
          <w:p>
            <w:r>
              <w:rPr>
                <w:rFonts w:ascii="Arial" w:hAnsi="Arial"/>
                <w:sz w:val="18"/>
              </w:rPr>
              <w:t>Reduction Targets</w:t>
            </w:r>
          </w:p>
        </w:tc>
        <w:tc>
          <w:tcPr>
            <w:tcW w:type="dxa" w:w="1806"/>
          </w:tcPr>
          <w:p>
            <w:r>
              <w:rPr>
                <w:rFonts w:ascii="Arial" w:hAnsi="Arial"/>
                <w:sz w:val="18"/>
              </w:rPr>
              <w:t>305-5 (a-e)</w:t>
            </w:r>
          </w:p>
        </w:tc>
        <w:tc>
          <w:tcPr>
            <w:tcW w:type="dxa" w:w="1806"/>
          </w:tcPr>
          <w:p>
            <w:r>
              <w:rPr>
                <w:rFonts w:ascii="Arial" w:hAnsi="Arial"/>
                <w:sz w:val="18"/>
              </w:rPr>
              <w:t>Para 33-36</w:t>
            </w:r>
          </w:p>
        </w:tc>
        <w:tc>
          <w:tcPr>
            <w:tcW w:type="dxa" w:w="1806"/>
          </w:tcPr>
          <w:p>
            <w:r>
              <w:rPr>
                <w:rFonts w:ascii="Arial" w:hAnsi="Arial"/>
                <w:sz w:val="18"/>
              </w:rPr>
              <w:t>DR E1-4 §34-42</w:t>
            </w:r>
          </w:p>
        </w:tc>
        <w:tc>
          <w:tcPr>
            <w:tcW w:type="dxa" w:w="1806"/>
          </w:tcPr>
          <w:p>
            <w:r>
              <w:rPr>
                <w:rFonts w:ascii="Arial" w:hAnsi="Arial"/>
                <w:sz w:val="18"/>
              </w:rPr>
              <w:t>Lampiran II.C</w:t>
            </w:r>
          </w:p>
        </w:tc>
      </w:tr>
      <w:tr>
        <w:tc>
          <w:tcPr>
            <w:tcW w:type="dxa" w:w="1806"/>
            <w:shd w:fill="F2F6FC" w:val="clear"/>
          </w:tcPr>
          <w:p>
            <w:r>
              <w:rPr>
                <w:rFonts w:ascii="Arial" w:hAnsi="Arial"/>
                <w:sz w:val="18"/>
              </w:rPr>
              <w:t>Governance</w:t>
            </w:r>
          </w:p>
        </w:tc>
        <w:tc>
          <w:tcPr>
            <w:tcW w:type="dxa" w:w="1806"/>
            <w:shd w:fill="F2F6FC" w:val="clear"/>
          </w:tcPr>
          <w:p>
            <w:r>
              <w:rPr>
                <w:rFonts w:ascii="Arial" w:hAnsi="Arial"/>
                <w:sz w:val="18"/>
              </w:rPr>
              <w:t>N/A</w:t>
            </w:r>
          </w:p>
        </w:tc>
        <w:tc>
          <w:tcPr>
            <w:tcW w:type="dxa" w:w="1806"/>
            <w:shd w:fill="F2F6FC" w:val="clear"/>
          </w:tcPr>
          <w:p>
            <w:r>
              <w:rPr>
                <w:rFonts w:ascii="Arial" w:hAnsi="Arial"/>
                <w:sz w:val="18"/>
              </w:rPr>
              <w:t>Para 5-9</w:t>
            </w:r>
          </w:p>
        </w:tc>
        <w:tc>
          <w:tcPr>
            <w:tcW w:type="dxa" w:w="1806"/>
            <w:shd w:fill="F2F6FC" w:val="clear"/>
          </w:tcPr>
          <w:p>
            <w:r>
              <w:rPr>
                <w:rFonts w:ascii="Arial" w:hAnsi="Arial"/>
                <w:sz w:val="18"/>
              </w:rPr>
              <w:t>ESRS 2 GOV-1</w:t>
            </w:r>
          </w:p>
        </w:tc>
        <w:tc>
          <w:tcPr>
            <w:tcW w:type="dxa" w:w="1806"/>
            <w:shd w:fill="F2F6FC" w:val="clear"/>
          </w:tcPr>
          <w:p>
            <w:r>
              <w:rPr>
                <w:rFonts w:ascii="Arial" w:hAnsi="Arial"/>
                <w:sz w:val="18"/>
              </w:rPr>
              <w:t>Lampiran I</w:t>
            </w:r>
          </w:p>
        </w:tc>
      </w:tr>
      <w:tr>
        <w:tc>
          <w:tcPr>
            <w:tcW w:type="dxa" w:w="1806"/>
          </w:tcPr>
          <w:p>
            <w:r>
              <w:rPr>
                <w:rFonts w:ascii="Arial" w:hAnsi="Arial"/>
                <w:sz w:val="18"/>
              </w:rPr>
              <w:t>Transition Plan</w:t>
            </w:r>
          </w:p>
        </w:tc>
        <w:tc>
          <w:tcPr>
            <w:tcW w:type="dxa" w:w="1806"/>
          </w:tcPr>
          <w:p>
            <w:r>
              <w:rPr>
                <w:rFonts w:ascii="Arial" w:hAnsi="Arial"/>
                <w:sz w:val="18"/>
              </w:rPr>
              <w:t>N/A</w:t>
            </w:r>
          </w:p>
        </w:tc>
        <w:tc>
          <w:tcPr>
            <w:tcW w:type="dxa" w:w="1806"/>
          </w:tcPr>
          <w:p>
            <w:r>
              <w:rPr>
                <w:rFonts w:ascii="Arial" w:hAnsi="Arial"/>
                <w:sz w:val="18"/>
              </w:rPr>
              <w:t>Para 14-15</w:t>
            </w:r>
          </w:p>
        </w:tc>
        <w:tc>
          <w:tcPr>
            <w:tcW w:type="dxa" w:w="1806"/>
          </w:tcPr>
          <w:p>
            <w:r>
              <w:rPr>
                <w:rFonts w:ascii="Arial" w:hAnsi="Arial"/>
                <w:sz w:val="18"/>
              </w:rPr>
              <w:t>DR E1-1 §14-19</w:t>
            </w:r>
          </w:p>
        </w:tc>
        <w:tc>
          <w:tcPr>
            <w:tcW w:type="dxa" w:w="1806"/>
          </w:tcPr>
          <w:p>
            <w:r>
              <w:rPr>
                <w:rFonts w:ascii="Arial" w:hAnsi="Arial"/>
                <w:sz w:val="18"/>
              </w:rPr>
              <w:t>Lampiran III</w:t>
            </w:r>
          </w:p>
        </w:tc>
      </w:tr>
      <w:tr>
        <w:tc>
          <w:tcPr>
            <w:tcW w:type="dxa" w:w="1806"/>
            <w:shd w:fill="F2F6FC" w:val="clear"/>
          </w:tcPr>
          <w:p>
            <w:r>
              <w:rPr>
                <w:rFonts w:ascii="Arial" w:hAnsi="Arial"/>
                <w:sz w:val="18"/>
              </w:rPr>
              <w:t>Social Metrics</w:t>
            </w:r>
          </w:p>
        </w:tc>
        <w:tc>
          <w:tcPr>
            <w:tcW w:type="dxa" w:w="1806"/>
            <w:shd w:fill="F2F6FC" w:val="clear"/>
          </w:tcPr>
          <w:p>
            <w:r>
              <w:rPr>
                <w:rFonts w:ascii="Arial" w:hAnsi="Arial"/>
                <w:sz w:val="18"/>
              </w:rPr>
              <w:t>401/404/405/406</w:t>
            </w:r>
          </w:p>
        </w:tc>
        <w:tc>
          <w:tcPr>
            <w:tcW w:type="dxa" w:w="1806"/>
            <w:shd w:fill="F2F6FC" w:val="clear"/>
          </w:tcPr>
          <w:p>
            <w:r>
              <w:rPr>
                <w:rFonts w:ascii="Arial" w:hAnsi="Arial"/>
                <w:sz w:val="18"/>
              </w:rPr>
              <w:t>N/A</w:t>
            </w:r>
          </w:p>
        </w:tc>
        <w:tc>
          <w:tcPr>
            <w:tcW w:type="dxa" w:w="1806"/>
            <w:shd w:fill="F2F6FC" w:val="clear"/>
          </w:tcPr>
          <w:p>
            <w:r>
              <w:rPr>
                <w:rFonts w:ascii="Arial" w:hAnsi="Arial"/>
                <w:sz w:val="18"/>
              </w:rPr>
              <w:t>ESRS S1</w:t>
            </w:r>
          </w:p>
        </w:tc>
        <w:tc>
          <w:tcPr>
            <w:tcW w:type="dxa" w:w="1806"/>
            <w:shd w:fill="F2F6FC" w:val="clear"/>
          </w:tcPr>
          <w:p>
            <w:r>
              <w:rPr>
                <w:rFonts w:ascii="Arial" w:hAnsi="Arial"/>
                <w:sz w:val="18"/>
              </w:rPr>
              <w:t>Lampiran IV</w:t>
            </w:r>
          </w:p>
        </w:tc>
      </w:tr>
    </w:tbl>
    <w:p>
      <w:r>
        <w:rPr>
          <w:rFonts w:ascii="Arial" w:hAnsi="Arial"/>
          <w:i/>
          <w:sz w:val="16"/>
        </w:rPr>
        <w:t>Source: Cross-reference per framework publication (GRI 2021, IFRS S2 2023, ESRS 2023, POJK 51/2017)</w:t>
      </w:r>
    </w:p>
    <w:p/>
    <w:p>
      <w:r>
        <w:br w:type="page"/>
      </w:r>
    </w:p>
    <w:p>
      <w:pPr>
        <w:pStyle w:val="Heading1"/>
        <w:keepNext/>
        <w:spacing w:before="480" w:after="240"/>
      </w:pPr>
      <w:r>
        <w:rPr>
          <w:rFonts w:ascii="Arial" w:hAnsi="Arial"/>
          <w:b/>
          <w:color w:val="1B3A6B"/>
          <w:sz w:val="36"/>
        </w:rPr>
        <w:t>Appendix F: Glossary of Terms &amp; Abbreviations</w:t>
      </w:r>
    </w:p>
    <w:p>
      <w:r>
        <w:rPr>
          <w:rFonts w:ascii="Arial" w:hAnsi="Arial"/>
          <w:b/>
          <w:sz w:val="20"/>
        </w:rPr>
        <w:t>Table 62: Glossary</w:t>
      </w:r>
    </w:p>
    <w:tbl>
      <w:tblPr>
        <w:tblW w:type="auto" w:w="0"/>
        <w:jc w:val="center"/>
        <w:tblLook w:firstColumn="1" w:firstRow="1" w:lastColumn="0" w:lastRow="0" w:noHBand="0" w:noVBand="1" w:val="04A0"/>
      </w:tblPr>
      <w:tblGrid>
        <w:gridCol w:w="4514"/>
        <w:gridCol w:w="4514"/>
      </w:tblGrid>
      <w:tr>
        <w:tc>
          <w:tcPr>
            <w:tcW w:type="dxa" w:w="4514"/>
            <w:shd w:fill="1B3A6B" w:val="clear"/>
          </w:tcPr>
          <w:p>
            <w:r>
              <w:rPr>
                <w:rFonts w:ascii="Arial" w:hAnsi="Arial"/>
                <w:b/>
                <w:color w:val="FFFFFF"/>
                <w:sz w:val="18"/>
              </w:rPr>
              <w:t>Term / Abbreviation</w:t>
            </w:r>
          </w:p>
        </w:tc>
        <w:tc>
          <w:tcPr>
            <w:tcW w:type="dxa" w:w="4514"/>
            <w:shd w:fill="1B3A6B" w:val="clear"/>
          </w:tcPr>
          <w:p>
            <w:r>
              <w:rPr>
                <w:rFonts w:ascii="Arial" w:hAnsi="Arial"/>
                <w:b/>
                <w:color w:val="FFFFFF"/>
                <w:sz w:val="18"/>
              </w:rPr>
              <w:t>Definition</w:t>
            </w:r>
          </w:p>
        </w:tc>
      </w:tr>
      <w:tr>
        <w:tc>
          <w:tcPr>
            <w:tcW w:type="dxa" w:w="4514"/>
          </w:tcPr>
          <w:p>
            <w:r>
              <w:rPr>
                <w:rFonts w:ascii="Arial" w:hAnsi="Arial"/>
                <w:sz w:val="18"/>
              </w:rPr>
              <w:t>tCO₂e</w:t>
            </w:r>
          </w:p>
        </w:tc>
        <w:tc>
          <w:tcPr>
            <w:tcW w:type="dxa" w:w="4514"/>
          </w:tcPr>
          <w:p>
            <w:r>
              <w:rPr>
                <w:rFonts w:ascii="Arial" w:hAnsi="Arial"/>
                <w:sz w:val="18"/>
              </w:rPr>
              <w:t>Tonnes of carbon dioxide equivalent</w:t>
            </w:r>
          </w:p>
        </w:tc>
      </w:tr>
      <w:tr>
        <w:tc>
          <w:tcPr>
            <w:tcW w:type="dxa" w:w="4514"/>
            <w:shd w:fill="F2F6FC" w:val="clear"/>
          </w:tcPr>
          <w:p>
            <w:r>
              <w:rPr>
                <w:rFonts w:ascii="Arial" w:hAnsi="Arial"/>
                <w:sz w:val="18"/>
              </w:rPr>
              <w:t>GHG</w:t>
            </w:r>
          </w:p>
        </w:tc>
        <w:tc>
          <w:tcPr>
            <w:tcW w:type="dxa" w:w="4514"/>
            <w:shd w:fill="F2F6FC" w:val="clear"/>
          </w:tcPr>
          <w:p>
            <w:r>
              <w:rPr>
                <w:rFonts w:ascii="Arial" w:hAnsi="Arial"/>
                <w:sz w:val="18"/>
              </w:rPr>
              <w:t>Greenhouse Gas</w:t>
            </w:r>
          </w:p>
        </w:tc>
      </w:tr>
      <w:tr>
        <w:tc>
          <w:tcPr>
            <w:tcW w:type="dxa" w:w="4514"/>
          </w:tcPr>
          <w:p>
            <w:r>
              <w:rPr>
                <w:rFonts w:ascii="Arial" w:hAnsi="Arial"/>
                <w:sz w:val="18"/>
              </w:rPr>
              <w:t>GWP</w:t>
            </w:r>
          </w:p>
        </w:tc>
        <w:tc>
          <w:tcPr>
            <w:tcW w:type="dxa" w:w="4514"/>
          </w:tcPr>
          <w:p>
            <w:r>
              <w:rPr>
                <w:rFonts w:ascii="Arial" w:hAnsi="Arial"/>
                <w:sz w:val="18"/>
              </w:rPr>
              <w:t>Global Warming Potential (100-year, IPCC AR6)</w:t>
            </w:r>
          </w:p>
        </w:tc>
      </w:tr>
      <w:tr>
        <w:tc>
          <w:tcPr>
            <w:tcW w:type="dxa" w:w="4514"/>
            <w:shd w:fill="F2F6FC" w:val="clear"/>
          </w:tcPr>
          <w:p>
            <w:r>
              <w:rPr>
                <w:rFonts w:ascii="Arial" w:hAnsi="Arial"/>
                <w:sz w:val="18"/>
              </w:rPr>
              <w:t>PCAF</w:t>
            </w:r>
          </w:p>
        </w:tc>
        <w:tc>
          <w:tcPr>
            <w:tcW w:type="dxa" w:w="4514"/>
            <w:shd w:fill="F2F6FC" w:val="clear"/>
          </w:tcPr>
          <w:p>
            <w:r>
              <w:rPr>
                <w:rFonts w:ascii="Arial" w:hAnsi="Arial"/>
                <w:sz w:val="18"/>
              </w:rPr>
              <w:t>Partnership for Carbon Accounting Financials</w:t>
            </w:r>
          </w:p>
        </w:tc>
      </w:tr>
      <w:tr>
        <w:tc>
          <w:tcPr>
            <w:tcW w:type="dxa" w:w="4514"/>
          </w:tcPr>
          <w:p>
            <w:r>
              <w:rPr>
                <w:rFonts w:ascii="Arial" w:hAnsi="Arial"/>
                <w:sz w:val="18"/>
              </w:rPr>
              <w:t>SBTi</w:t>
            </w:r>
          </w:p>
        </w:tc>
        <w:tc>
          <w:tcPr>
            <w:tcW w:type="dxa" w:w="4514"/>
          </w:tcPr>
          <w:p>
            <w:r>
              <w:rPr>
                <w:rFonts w:ascii="Arial" w:hAnsi="Arial"/>
                <w:sz w:val="18"/>
              </w:rPr>
              <w:t>Science Based Targets initiative</w:t>
            </w:r>
          </w:p>
        </w:tc>
      </w:tr>
      <w:tr>
        <w:tc>
          <w:tcPr>
            <w:tcW w:type="dxa" w:w="4514"/>
            <w:shd w:fill="F2F6FC" w:val="clear"/>
          </w:tcPr>
          <w:p>
            <w:r>
              <w:rPr>
                <w:rFonts w:ascii="Arial" w:hAnsi="Arial"/>
                <w:sz w:val="18"/>
              </w:rPr>
              <w:t>NZBA</w:t>
            </w:r>
          </w:p>
        </w:tc>
        <w:tc>
          <w:tcPr>
            <w:tcW w:type="dxa" w:w="4514"/>
            <w:shd w:fill="F2F6FC" w:val="clear"/>
          </w:tcPr>
          <w:p>
            <w:r>
              <w:rPr>
                <w:rFonts w:ascii="Arial" w:hAnsi="Arial"/>
                <w:sz w:val="18"/>
              </w:rPr>
              <w:t>Net-Zero Banking Alliance</w:t>
            </w:r>
          </w:p>
        </w:tc>
      </w:tr>
      <w:tr>
        <w:tc>
          <w:tcPr>
            <w:tcW w:type="dxa" w:w="4514"/>
          </w:tcPr>
          <w:p>
            <w:r>
              <w:rPr>
                <w:rFonts w:ascii="Arial" w:hAnsi="Arial"/>
                <w:sz w:val="18"/>
              </w:rPr>
              <w:t>NDC</w:t>
            </w:r>
          </w:p>
        </w:tc>
        <w:tc>
          <w:tcPr>
            <w:tcW w:type="dxa" w:w="4514"/>
          </w:tcPr>
          <w:p>
            <w:r>
              <w:rPr>
                <w:rFonts w:ascii="Arial" w:hAnsi="Arial"/>
                <w:sz w:val="18"/>
              </w:rPr>
              <w:t>Nationally Determined Contribution (Paris Agreement)</w:t>
            </w:r>
          </w:p>
        </w:tc>
      </w:tr>
      <w:tr>
        <w:tc>
          <w:tcPr>
            <w:tcW w:type="dxa" w:w="4514"/>
            <w:shd w:fill="F2F6FC" w:val="clear"/>
          </w:tcPr>
          <w:p>
            <w:r>
              <w:rPr>
                <w:rFonts w:ascii="Arial" w:hAnsi="Arial"/>
                <w:sz w:val="18"/>
              </w:rPr>
              <w:t>RECs</w:t>
            </w:r>
          </w:p>
        </w:tc>
        <w:tc>
          <w:tcPr>
            <w:tcW w:type="dxa" w:w="4514"/>
            <w:shd w:fill="F2F6FC" w:val="clear"/>
          </w:tcPr>
          <w:p>
            <w:r>
              <w:rPr>
                <w:rFonts w:ascii="Arial" w:hAnsi="Arial"/>
                <w:sz w:val="18"/>
              </w:rPr>
              <w:t>Renewable Energy Certificates</w:t>
            </w:r>
          </w:p>
        </w:tc>
      </w:tr>
      <w:tr>
        <w:tc>
          <w:tcPr>
            <w:tcW w:type="dxa" w:w="4514"/>
          </w:tcPr>
          <w:p>
            <w:r>
              <w:rPr>
                <w:rFonts w:ascii="Arial" w:hAnsi="Arial"/>
                <w:sz w:val="18"/>
              </w:rPr>
              <w:t>PPA</w:t>
            </w:r>
          </w:p>
        </w:tc>
        <w:tc>
          <w:tcPr>
            <w:tcW w:type="dxa" w:w="4514"/>
          </w:tcPr>
          <w:p>
            <w:r>
              <w:rPr>
                <w:rFonts w:ascii="Arial" w:hAnsi="Arial"/>
                <w:sz w:val="18"/>
              </w:rPr>
              <w:t>Power Purchase Agreement</w:t>
            </w:r>
          </w:p>
        </w:tc>
      </w:tr>
      <w:tr>
        <w:tc>
          <w:tcPr>
            <w:tcW w:type="dxa" w:w="4514"/>
            <w:shd w:fill="F2F6FC" w:val="clear"/>
          </w:tcPr>
          <w:p>
            <w:r>
              <w:rPr>
                <w:rFonts w:ascii="Arial" w:hAnsi="Arial"/>
                <w:sz w:val="18"/>
              </w:rPr>
              <w:t>EF</w:t>
            </w:r>
          </w:p>
        </w:tc>
        <w:tc>
          <w:tcPr>
            <w:tcW w:type="dxa" w:w="4514"/>
            <w:shd w:fill="F2F6FC" w:val="clear"/>
          </w:tcPr>
          <w:p>
            <w:r>
              <w:rPr>
                <w:rFonts w:ascii="Arial" w:hAnsi="Arial"/>
                <w:sz w:val="18"/>
              </w:rPr>
              <w:t>Emission Factor</w:t>
            </w:r>
          </w:p>
        </w:tc>
      </w:tr>
      <w:tr>
        <w:tc>
          <w:tcPr>
            <w:tcW w:type="dxa" w:w="4514"/>
          </w:tcPr>
          <w:p>
            <w:r>
              <w:rPr>
                <w:rFonts w:ascii="Arial" w:hAnsi="Arial"/>
                <w:sz w:val="18"/>
              </w:rPr>
              <w:t>FTE</w:t>
            </w:r>
          </w:p>
        </w:tc>
        <w:tc>
          <w:tcPr>
            <w:tcW w:type="dxa" w:w="4514"/>
          </w:tcPr>
          <w:p>
            <w:r>
              <w:rPr>
                <w:rFonts w:ascii="Arial" w:hAnsi="Arial"/>
                <w:sz w:val="18"/>
              </w:rPr>
              <w:t>Full-Time Equivalent (headcount)</w:t>
            </w:r>
          </w:p>
        </w:tc>
      </w:tr>
      <w:tr>
        <w:tc>
          <w:tcPr>
            <w:tcW w:type="dxa" w:w="4514"/>
            <w:shd w:fill="F2F6FC" w:val="clear"/>
          </w:tcPr>
          <w:p>
            <w:r>
              <w:rPr>
                <w:rFonts w:ascii="Arial" w:hAnsi="Arial"/>
                <w:sz w:val="18"/>
              </w:rPr>
              <w:t>YoY</w:t>
            </w:r>
          </w:p>
        </w:tc>
        <w:tc>
          <w:tcPr>
            <w:tcW w:type="dxa" w:w="4514"/>
            <w:shd w:fill="F2F6FC" w:val="clear"/>
          </w:tcPr>
          <w:p>
            <w:r>
              <w:rPr>
                <w:rFonts w:ascii="Arial" w:hAnsi="Arial"/>
                <w:sz w:val="18"/>
              </w:rPr>
              <w:t>Year-over-Year</w:t>
            </w:r>
          </w:p>
        </w:tc>
      </w:tr>
      <w:tr>
        <w:tc>
          <w:tcPr>
            <w:tcW w:type="dxa" w:w="4514"/>
          </w:tcPr>
          <w:p>
            <w:r>
              <w:rPr>
                <w:rFonts w:ascii="Arial" w:hAnsi="Arial"/>
                <w:sz w:val="18"/>
              </w:rPr>
              <w:t>EEIO</w:t>
            </w:r>
          </w:p>
        </w:tc>
        <w:tc>
          <w:tcPr>
            <w:tcW w:type="dxa" w:w="4514"/>
          </w:tcPr>
          <w:p>
            <w:r>
              <w:rPr>
                <w:rFonts w:ascii="Arial" w:hAnsi="Arial"/>
                <w:sz w:val="18"/>
              </w:rPr>
              <w:t>Environmentally Extended Input-Output (model)</w:t>
            </w:r>
          </w:p>
        </w:tc>
      </w:tr>
      <w:tr>
        <w:tc>
          <w:tcPr>
            <w:tcW w:type="dxa" w:w="4514"/>
            <w:shd w:fill="F2F6FC" w:val="clear"/>
          </w:tcPr>
          <w:p>
            <w:r>
              <w:rPr>
                <w:rFonts w:ascii="Arial" w:hAnsi="Arial"/>
                <w:sz w:val="18"/>
              </w:rPr>
              <w:t>GRI</w:t>
            </w:r>
          </w:p>
        </w:tc>
        <w:tc>
          <w:tcPr>
            <w:tcW w:type="dxa" w:w="4514"/>
            <w:shd w:fill="F2F6FC" w:val="clear"/>
          </w:tcPr>
          <w:p>
            <w:r>
              <w:rPr>
                <w:rFonts w:ascii="Arial" w:hAnsi="Arial"/>
                <w:sz w:val="18"/>
              </w:rPr>
              <w:t>Global Reporting Initiative</w:t>
            </w:r>
          </w:p>
        </w:tc>
      </w:tr>
      <w:tr>
        <w:tc>
          <w:tcPr>
            <w:tcW w:type="dxa" w:w="4514"/>
          </w:tcPr>
          <w:p>
            <w:r>
              <w:rPr>
                <w:rFonts w:ascii="Arial" w:hAnsi="Arial"/>
                <w:sz w:val="18"/>
              </w:rPr>
              <w:t>IFRS S2</w:t>
            </w:r>
          </w:p>
        </w:tc>
        <w:tc>
          <w:tcPr>
            <w:tcW w:type="dxa" w:w="4514"/>
          </w:tcPr>
          <w:p>
            <w:r>
              <w:rPr>
                <w:rFonts w:ascii="Arial" w:hAnsi="Arial"/>
                <w:sz w:val="18"/>
              </w:rPr>
              <w:t>IFRS Sustainability Disclosure Standard S2 (Climate)</w:t>
            </w:r>
          </w:p>
        </w:tc>
      </w:tr>
      <w:tr>
        <w:tc>
          <w:tcPr>
            <w:tcW w:type="dxa" w:w="4514"/>
            <w:shd w:fill="F2F6FC" w:val="clear"/>
          </w:tcPr>
          <w:p>
            <w:r>
              <w:rPr>
                <w:rFonts w:ascii="Arial" w:hAnsi="Arial"/>
                <w:sz w:val="18"/>
              </w:rPr>
              <w:t>ESRS E1</w:t>
            </w:r>
          </w:p>
        </w:tc>
        <w:tc>
          <w:tcPr>
            <w:tcW w:type="dxa" w:w="4514"/>
            <w:shd w:fill="F2F6FC" w:val="clear"/>
          </w:tcPr>
          <w:p>
            <w:r>
              <w:rPr>
                <w:rFonts w:ascii="Arial" w:hAnsi="Arial"/>
                <w:sz w:val="18"/>
              </w:rPr>
              <w:t>European Sustainability Reporting Standard E1 (Climate Change)</w:t>
            </w:r>
          </w:p>
        </w:tc>
      </w:tr>
      <w:tr>
        <w:tc>
          <w:tcPr>
            <w:tcW w:type="dxa" w:w="4514"/>
          </w:tcPr>
          <w:p>
            <w:r>
              <w:rPr>
                <w:rFonts w:ascii="Arial" w:hAnsi="Arial"/>
                <w:sz w:val="18"/>
              </w:rPr>
              <w:t>CSRD</w:t>
            </w:r>
          </w:p>
        </w:tc>
        <w:tc>
          <w:tcPr>
            <w:tcW w:type="dxa" w:w="4514"/>
          </w:tcPr>
          <w:p>
            <w:r>
              <w:rPr>
                <w:rFonts w:ascii="Arial" w:hAnsi="Arial"/>
                <w:sz w:val="18"/>
              </w:rPr>
              <w:t>Corporate Sustainability Reporting Directive (EU)</w:t>
            </w:r>
          </w:p>
        </w:tc>
      </w:tr>
      <w:tr>
        <w:tc>
          <w:tcPr>
            <w:tcW w:type="dxa" w:w="4514"/>
            <w:shd w:fill="F2F6FC" w:val="clear"/>
          </w:tcPr>
          <w:p>
            <w:r>
              <w:rPr>
                <w:rFonts w:ascii="Arial" w:hAnsi="Arial"/>
                <w:sz w:val="18"/>
              </w:rPr>
              <w:t>OJK</w:t>
            </w:r>
          </w:p>
        </w:tc>
        <w:tc>
          <w:tcPr>
            <w:tcW w:type="dxa" w:w="4514"/>
            <w:shd w:fill="F2F6FC" w:val="clear"/>
          </w:tcPr>
          <w:p>
            <w:r>
              <w:rPr>
                <w:rFonts w:ascii="Arial" w:hAnsi="Arial"/>
                <w:sz w:val="18"/>
              </w:rPr>
              <w:t>Otoritas Jasa Keuangan (Financial Services Authority, Indonesia)</w:t>
            </w:r>
          </w:p>
        </w:tc>
      </w:tr>
      <w:tr>
        <w:tc>
          <w:tcPr>
            <w:tcW w:type="dxa" w:w="4514"/>
          </w:tcPr>
          <w:p>
            <w:r>
              <w:rPr>
                <w:rFonts w:ascii="Arial" w:hAnsi="Arial"/>
                <w:sz w:val="18"/>
              </w:rPr>
              <w:t>POJK</w:t>
            </w:r>
          </w:p>
        </w:tc>
        <w:tc>
          <w:tcPr>
            <w:tcW w:type="dxa" w:w="4514"/>
          </w:tcPr>
          <w:p>
            <w:r>
              <w:rPr>
                <w:rFonts w:ascii="Arial" w:hAnsi="Arial"/>
                <w:sz w:val="18"/>
              </w:rPr>
              <w:t>Peraturan Otoritas Jasa Keuangan (OJK Regulation)</w:t>
            </w:r>
          </w:p>
        </w:tc>
      </w:tr>
      <w:tr>
        <w:tc>
          <w:tcPr>
            <w:tcW w:type="dxa" w:w="4514"/>
            <w:shd w:fill="F2F6FC" w:val="clear"/>
          </w:tcPr>
          <w:p>
            <w:r>
              <w:rPr>
                <w:rFonts w:ascii="Arial" w:hAnsi="Arial"/>
                <w:sz w:val="18"/>
              </w:rPr>
              <w:t>PSPK</w:t>
            </w:r>
          </w:p>
        </w:tc>
        <w:tc>
          <w:tcPr>
            <w:tcW w:type="dxa" w:w="4514"/>
            <w:shd w:fill="F2F6FC" w:val="clear"/>
          </w:tcPr>
          <w:p>
            <w:r>
              <w:rPr>
                <w:rFonts w:ascii="Arial" w:hAnsi="Arial"/>
                <w:sz w:val="18"/>
              </w:rPr>
              <w:t>Penerapan Keuangan Berkelanjutan (Sustainable Finance Implementation)</w:t>
            </w:r>
          </w:p>
        </w:tc>
      </w:tr>
      <w:tr>
        <w:tc>
          <w:tcPr>
            <w:tcW w:type="dxa" w:w="4514"/>
          </w:tcPr>
          <w:p>
            <w:r>
              <w:rPr>
                <w:rFonts w:ascii="Arial" w:hAnsi="Arial"/>
                <w:sz w:val="18"/>
              </w:rPr>
              <w:t>PLN</w:t>
            </w:r>
          </w:p>
        </w:tc>
        <w:tc>
          <w:tcPr>
            <w:tcW w:type="dxa" w:w="4514"/>
          </w:tcPr>
          <w:p>
            <w:r>
              <w:rPr>
                <w:rFonts w:ascii="Arial" w:hAnsi="Arial"/>
                <w:sz w:val="18"/>
              </w:rPr>
              <w:t>Perusahaan Listrik Negara (State Electricity Company, Indonesia)</w:t>
            </w:r>
          </w:p>
        </w:tc>
      </w:tr>
      <w:tr>
        <w:tc>
          <w:tcPr>
            <w:tcW w:type="dxa" w:w="4514"/>
            <w:shd w:fill="F2F6FC" w:val="clear"/>
          </w:tcPr>
          <w:p>
            <w:r>
              <w:rPr>
                <w:rFonts w:ascii="Arial" w:hAnsi="Arial"/>
                <w:sz w:val="18"/>
              </w:rPr>
              <w:t>DJK-ESDM</w:t>
            </w:r>
          </w:p>
        </w:tc>
        <w:tc>
          <w:tcPr>
            <w:tcW w:type="dxa" w:w="4514"/>
            <w:shd w:fill="F2F6FC" w:val="clear"/>
          </w:tcPr>
          <w:p>
            <w:r>
              <w:rPr>
                <w:rFonts w:ascii="Arial" w:hAnsi="Arial"/>
                <w:sz w:val="18"/>
              </w:rPr>
              <w:t>Directorate General of Electricity, Ministry of Energy</w:t>
            </w:r>
          </w:p>
        </w:tc>
      </w:tr>
    </w:tbl>
    <w:p>
      <w:r>
        <w:rPr>
          <w:rFonts w:ascii="Arial" w:hAnsi="Arial"/>
          <w:i/>
          <w:sz w:val="16"/>
        </w:rPr>
        <w:t>Source: Compiled from GHG Protocol, PCAF Standard, and regulatory publications</w:t>
      </w:r>
    </w:p>
    <w:p/>
    <w:p>
      <w:r>
        <w:br w:type="page"/>
      </w:r>
    </w:p>
    <w:p>
      <w:pPr>
        <w:pStyle w:val="Heading1"/>
        <w:keepNext/>
        <w:spacing w:before="480" w:after="240"/>
      </w:pPr>
      <w:r>
        <w:rPr>
          <w:rFonts w:ascii="Arial" w:hAnsi="Arial"/>
          <w:b/>
          <w:color w:val="1B3A6B"/>
          <w:sz w:val="36"/>
        </w:rPr>
        <w:t>Lampiran: Ringkasan Kinerja Keberlanjutan</w:t>
      </w:r>
    </w:p>
    <w:p>
      <w:pPr>
        <w:pStyle w:val="Heading2"/>
        <w:keepNext/>
        <w:spacing w:before="360" w:after="160"/>
      </w:pPr>
      <w:r>
        <w:rPr>
          <w:rFonts w:ascii="Arial" w:hAnsi="Arial"/>
          <w:b/>
          <w:color w:val="3D6094"/>
          <w:sz w:val="28"/>
        </w:rPr>
        <w:t>(Format Pelaporan OJK PSPK — POJK 51/2017)</w:t>
      </w:r>
    </w:p>
    <w:p>
      <w:pPr>
        <w:spacing w:after="160" w:line="276" w:lineRule="auto"/>
      </w:pPr>
      <w:r>
        <w:t>Disusun sesuai dengan POJK No. 51/POJK.03/2017 tentang Penerapan Keuangan Berkelanjutan bagi Lembaga Jasa Keuangan, Emiten, dan Perusahaan Publik.</w:t>
      </w:r>
    </w:p>
    <w:p>
      <w:r>
        <w:rPr>
          <w:rFonts w:ascii="Arial" w:hAnsi="Arial"/>
          <w:b/>
          <w:sz w:val="20"/>
        </w:rPr>
        <w:t>Table 63: Ringkasan Indikator Keberlanjutan</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No.</w:t>
            </w:r>
          </w:p>
        </w:tc>
        <w:tc>
          <w:tcPr>
            <w:tcW w:type="dxa" w:w="1129"/>
            <w:shd w:fill="1B3A6B" w:val="clear"/>
          </w:tcPr>
          <w:p>
            <w:r>
              <w:rPr>
                <w:rFonts w:ascii="Arial" w:hAnsi="Arial"/>
                <w:b/>
                <w:color w:val="FFFFFF"/>
                <w:sz w:val="18"/>
              </w:rPr>
              <w:t>Indikator</w:t>
            </w:r>
          </w:p>
        </w:tc>
        <w:tc>
          <w:tcPr>
            <w:tcW w:type="dxa" w:w="1129"/>
            <w:shd w:fill="1B3A6B" w:val="clear"/>
          </w:tcPr>
          <w:p>
            <w:r>
              <w:rPr>
                <w:rFonts w:ascii="Arial" w:hAnsi="Arial"/>
                <w:b/>
                <w:color w:val="FFFFFF"/>
                <w:sz w:val="18"/>
              </w:rPr>
              <w:t>Satuan</w:t>
            </w:r>
          </w:p>
        </w:tc>
        <w:tc>
          <w:tcPr>
            <w:tcW w:type="dxa" w:w="1129"/>
            <w:shd w:fill="1B3A6B" w:val="clear"/>
          </w:tcPr>
          <w:p>
            <w:r>
              <w:rPr>
                <w:rFonts w:ascii="Arial" w:hAnsi="Arial"/>
                <w:b/>
                <w:color w:val="FFFFFF"/>
                <w:sz w:val="18"/>
              </w:rPr>
              <w:t>FY2024</w:t>
            </w:r>
          </w:p>
        </w:tc>
        <w:tc>
          <w:tcPr>
            <w:tcW w:type="dxa" w:w="1129"/>
            <w:shd w:fill="1B3A6B" w:val="clear"/>
          </w:tcPr>
          <w:p>
            <w:r>
              <w:rPr>
                <w:rFonts w:ascii="Arial" w:hAnsi="Arial"/>
                <w:b/>
                <w:color w:val="FFFFFF"/>
                <w:sz w:val="18"/>
              </w:rPr>
              <w:t>FY2023</w:t>
            </w:r>
          </w:p>
        </w:tc>
        <w:tc>
          <w:tcPr>
            <w:tcW w:type="dxa" w:w="1129"/>
            <w:shd w:fill="1B3A6B" w:val="clear"/>
          </w:tcPr>
          <w:p>
            <w:r>
              <w:rPr>
                <w:rFonts w:ascii="Arial" w:hAnsi="Arial"/>
                <w:b/>
                <w:color w:val="FFFFFF"/>
                <w:sz w:val="18"/>
              </w:rPr>
              <w:t>Perubahan</w:t>
            </w:r>
          </w:p>
        </w:tc>
        <w:tc>
          <w:tcPr>
            <w:tcW w:type="dxa" w:w="1129"/>
            <w:shd w:fill="1B3A6B" w:val="clear"/>
          </w:tcPr>
          <w:p>
            <w:r>
              <w:rPr>
                <w:rFonts w:ascii="Arial" w:hAnsi="Arial"/>
                <w:b/>
                <w:color w:val="FFFFFF"/>
                <w:sz w:val="18"/>
              </w:rPr>
              <w:t>Target</w:t>
            </w:r>
          </w:p>
        </w:tc>
        <w:tc>
          <w:tcPr>
            <w:tcW w:type="dxa" w:w="1129"/>
            <w:shd w:fill="1B3A6B" w:val="clear"/>
          </w:tcPr>
          <w:p>
            <w:r>
              <w:rPr>
                <w:rFonts w:ascii="Arial" w:hAnsi="Arial"/>
                <w:b/>
                <w:color w:val="FFFFFF"/>
                <w:sz w:val="18"/>
              </w:rPr>
              <w:t>Pencapaian</w:t>
            </w:r>
          </w:p>
        </w:tc>
      </w:tr>
      <w:tr>
        <w:tc>
          <w:tcPr>
            <w:tcW w:type="dxa" w:w="1129"/>
          </w:tcPr>
          <w:p>
            <w:pPr>
              <w:jc w:val="right"/>
            </w:pPr>
            <w:r>
              <w:rPr>
                <w:rFonts w:ascii="Arial" w:hAnsi="Arial"/>
                <w:sz w:val="18"/>
              </w:rPr>
              <w:t>1</w:t>
            </w:r>
          </w:p>
        </w:tc>
        <w:tc>
          <w:tcPr>
            <w:tcW w:type="dxa" w:w="1129"/>
          </w:tcPr>
          <w:p>
            <w:r>
              <w:rPr>
                <w:rFonts w:ascii="Arial" w:hAnsi="Arial"/>
                <w:sz w:val="18"/>
              </w:rPr>
              <w:t>Total Emisi GRK (Scope 1+2+3)</w:t>
            </w:r>
          </w:p>
        </w:tc>
        <w:tc>
          <w:tcPr>
            <w:tcW w:type="dxa" w:w="1129"/>
          </w:tcPr>
          <w:p>
            <w:r>
              <w:rPr>
                <w:rFonts w:ascii="Arial" w:hAnsi="Arial"/>
                <w:sz w:val="18"/>
              </w:rPr>
              <w:t>tCO₂e</w:t>
            </w:r>
          </w:p>
        </w:tc>
        <w:tc>
          <w:tcPr>
            <w:tcW w:type="dxa" w:w="1129"/>
          </w:tcPr>
          <w:p>
            <w:pPr>
              <w:jc w:val="right"/>
            </w:pPr>
            <w:r>
              <w:rPr>
                <w:rFonts w:ascii="Arial" w:hAnsi="Arial"/>
                <w:sz w:val="18"/>
              </w:rPr>
              <w:t>22,024,814</w:t>
            </w:r>
          </w:p>
        </w:tc>
        <w:tc>
          <w:tcPr>
            <w:tcW w:type="dxa" w:w="1129"/>
          </w:tcPr>
          <w:p>
            <w:pPr>
              <w:jc w:val="right"/>
            </w:pPr>
            <w:r>
              <w:rPr>
                <w:rFonts w:ascii="Arial" w:hAnsi="Arial"/>
                <w:sz w:val="18"/>
              </w:rPr>
              <w:t>22,977,925</w:t>
            </w:r>
          </w:p>
        </w:tc>
        <w:tc>
          <w:tcPr>
            <w:tcW w:type="dxa" w:w="1129"/>
          </w:tcPr>
          <w:p>
            <w:pPr>
              <w:jc w:val="right"/>
            </w:pPr>
            <w:r>
              <w:rPr>
                <w:rFonts w:ascii="Arial" w:hAnsi="Arial"/>
                <w:sz w:val="18"/>
              </w:rPr>
              <w:t>-4.07%</w:t>
            </w:r>
          </w:p>
        </w:tc>
        <w:tc>
          <w:tcPr>
            <w:tcW w:type="dxa" w:w="1129"/>
          </w:tcPr>
          <w:p>
            <w:r>
              <w:rPr>
                <w:rFonts w:ascii="Arial" w:hAnsi="Arial"/>
                <w:sz w:val="18"/>
              </w:rPr>
              <w:t>Annual reduction</w:t>
            </w:r>
          </w:p>
        </w:tc>
        <w:tc>
          <w:tcPr>
            <w:tcW w:type="dxa" w:w="1129"/>
          </w:tcPr>
          <w:p>
            <w:r>
              <w:rPr>
                <w:rFonts w:ascii="Arial" w:hAnsi="Arial"/>
                <w:sz w:val="18"/>
              </w:rPr>
              <w:t>✅ Tercapai</w:t>
            </w:r>
          </w:p>
        </w:tc>
      </w:tr>
      <w:tr>
        <w:tc>
          <w:tcPr>
            <w:tcW w:type="dxa" w:w="1129"/>
            <w:shd w:fill="F2F6FC" w:val="clear"/>
          </w:tcPr>
          <w:p>
            <w:pPr>
              <w:jc w:val="right"/>
            </w:pPr>
            <w:r>
              <w:rPr>
                <w:rFonts w:ascii="Arial" w:hAnsi="Arial"/>
                <w:sz w:val="18"/>
              </w:rPr>
              <w:t>2</w:t>
            </w:r>
          </w:p>
        </w:tc>
        <w:tc>
          <w:tcPr>
            <w:tcW w:type="dxa" w:w="1129"/>
            <w:shd w:fill="F2F6FC" w:val="clear"/>
          </w:tcPr>
          <w:p>
            <w:r>
              <w:rPr>
                <w:rFonts w:ascii="Arial" w:hAnsi="Arial"/>
                <w:sz w:val="18"/>
              </w:rPr>
              <w:t>Emisi GRK Langsung (Scope 1)</w:t>
            </w:r>
          </w:p>
        </w:tc>
        <w:tc>
          <w:tcPr>
            <w:tcW w:type="dxa" w:w="1129"/>
            <w:shd w:fill="F2F6FC" w:val="clear"/>
          </w:tcPr>
          <w:p>
            <w:r>
              <w:rPr>
                <w:rFonts w:ascii="Arial" w:hAnsi="Arial"/>
                <w:sz w:val="18"/>
              </w:rPr>
              <w:t>tCO₂e</w:t>
            </w:r>
          </w:p>
        </w:tc>
        <w:tc>
          <w:tcPr>
            <w:tcW w:type="dxa" w:w="1129"/>
            <w:shd w:fill="F2F6FC" w:val="clear"/>
          </w:tcPr>
          <w:p>
            <w:pPr>
              <w:jc w:val="right"/>
            </w:pPr>
            <w:r>
              <w:rPr>
                <w:rFonts w:ascii="Arial" w:hAnsi="Arial"/>
                <w:sz w:val="18"/>
              </w:rPr>
              <w:t>3,403</w:t>
            </w:r>
          </w:p>
        </w:tc>
        <w:tc>
          <w:tcPr>
            <w:tcW w:type="dxa" w:w="1129"/>
            <w:shd w:fill="F2F6FC" w:val="clear"/>
          </w:tcPr>
          <w:p>
            <w:pPr>
              <w:jc w:val="right"/>
            </w:pPr>
            <w:r>
              <w:rPr>
                <w:rFonts w:ascii="Arial" w:hAnsi="Arial"/>
                <w:sz w:val="18"/>
              </w:rPr>
              <w:t>3,324</w:t>
            </w:r>
          </w:p>
        </w:tc>
        <w:tc>
          <w:tcPr>
            <w:tcW w:type="dxa" w:w="1129"/>
            <w:shd w:fill="F2F6FC" w:val="clear"/>
          </w:tcPr>
          <w:p>
            <w:pPr>
              <w:jc w:val="right"/>
            </w:pPr>
            <w:r>
              <w:rPr>
                <w:rFonts w:ascii="Arial" w:hAnsi="Arial"/>
                <w:sz w:val="18"/>
              </w:rPr>
              <w:t>+2.36%</w:t>
            </w:r>
          </w:p>
        </w:tc>
        <w:tc>
          <w:tcPr>
            <w:tcW w:type="dxa" w:w="1129"/>
            <w:shd w:fill="F2F6FC" w:val="clear"/>
          </w:tcPr>
          <w:p>
            <w:r>
              <w:rPr>
                <w:rFonts w:ascii="Arial" w:hAnsi="Arial"/>
                <w:sz w:val="18"/>
              </w:rPr>
              <w:t>Reduce diesel</w:t>
            </w:r>
          </w:p>
        </w:tc>
        <w:tc>
          <w:tcPr>
            <w:tcW w:type="dxa" w:w="1129"/>
            <w:shd w:fill="F2F6FC" w:val="clear"/>
          </w:tcPr>
          <w:p>
            <w:r>
              <w:rPr>
                <w:rFonts w:ascii="Arial" w:hAnsi="Arial"/>
                <w:sz w:val="18"/>
              </w:rPr>
              <w:t>❌ Belum</w:t>
            </w:r>
          </w:p>
        </w:tc>
      </w:tr>
      <w:tr>
        <w:tc>
          <w:tcPr>
            <w:tcW w:type="dxa" w:w="1129"/>
          </w:tcPr>
          <w:p>
            <w:pPr>
              <w:jc w:val="right"/>
            </w:pPr>
            <w:r>
              <w:rPr>
                <w:rFonts w:ascii="Arial" w:hAnsi="Arial"/>
                <w:sz w:val="18"/>
              </w:rPr>
              <w:t>3</w:t>
            </w:r>
          </w:p>
        </w:tc>
        <w:tc>
          <w:tcPr>
            <w:tcW w:type="dxa" w:w="1129"/>
          </w:tcPr>
          <w:p>
            <w:r>
              <w:rPr>
                <w:rFonts w:ascii="Arial" w:hAnsi="Arial"/>
                <w:sz w:val="18"/>
              </w:rPr>
              <w:t>Emisi Tidak Langsung Energi (Scope 2)</w:t>
            </w:r>
          </w:p>
        </w:tc>
        <w:tc>
          <w:tcPr>
            <w:tcW w:type="dxa" w:w="1129"/>
          </w:tcPr>
          <w:p>
            <w:r>
              <w:rPr>
                <w:rFonts w:ascii="Arial" w:hAnsi="Arial"/>
                <w:sz w:val="18"/>
              </w:rPr>
              <w:t>tCO₂e</w:t>
            </w:r>
          </w:p>
        </w:tc>
        <w:tc>
          <w:tcPr>
            <w:tcW w:type="dxa" w:w="1129"/>
          </w:tcPr>
          <w:p>
            <w:pPr>
              <w:jc w:val="right"/>
            </w:pPr>
            <w:r>
              <w:rPr>
                <w:rFonts w:ascii="Arial" w:hAnsi="Arial"/>
                <w:sz w:val="18"/>
              </w:rPr>
              <w:t>44,614</w:t>
            </w:r>
          </w:p>
        </w:tc>
        <w:tc>
          <w:tcPr>
            <w:tcW w:type="dxa" w:w="1129"/>
          </w:tcPr>
          <w:p>
            <w:pPr>
              <w:jc w:val="right"/>
            </w:pPr>
            <w:r>
              <w:rPr>
                <w:rFonts w:ascii="Arial" w:hAnsi="Arial"/>
                <w:sz w:val="18"/>
              </w:rPr>
              <w:t>44,601</w:t>
            </w:r>
          </w:p>
        </w:tc>
        <w:tc>
          <w:tcPr>
            <w:tcW w:type="dxa" w:w="1129"/>
          </w:tcPr>
          <w:p>
            <w:pPr>
              <w:jc w:val="right"/>
            </w:pPr>
            <w:r>
              <w:rPr>
                <w:rFonts w:ascii="Arial" w:hAnsi="Arial"/>
                <w:sz w:val="18"/>
              </w:rPr>
              <w:t>+0.03%</w:t>
            </w:r>
          </w:p>
        </w:tc>
        <w:tc>
          <w:tcPr>
            <w:tcW w:type="dxa" w:w="1129"/>
          </w:tcPr>
          <w:p>
            <w:r>
              <w:rPr>
                <w:rFonts w:ascii="Arial" w:hAnsi="Arial"/>
                <w:sz w:val="18"/>
              </w:rPr>
              <w:t>RE procurement</w:t>
            </w:r>
          </w:p>
        </w:tc>
        <w:tc>
          <w:tcPr>
            <w:tcW w:type="dxa" w:w="1129"/>
          </w:tcPr>
          <w:p>
            <w:r>
              <w:rPr>
                <w:rFonts w:ascii="Arial" w:hAnsi="Arial"/>
                <w:sz w:val="18"/>
              </w:rPr>
              <w:t>⚠️ Stabil</w:t>
            </w:r>
          </w:p>
        </w:tc>
      </w:tr>
      <w:tr>
        <w:tc>
          <w:tcPr>
            <w:tcW w:type="dxa" w:w="1129"/>
            <w:shd w:fill="F2F6FC" w:val="clear"/>
          </w:tcPr>
          <w:p>
            <w:pPr>
              <w:jc w:val="right"/>
            </w:pPr>
            <w:r>
              <w:rPr>
                <w:rFonts w:ascii="Arial" w:hAnsi="Arial"/>
                <w:sz w:val="18"/>
              </w:rPr>
              <w:t>4</w:t>
            </w:r>
          </w:p>
        </w:tc>
        <w:tc>
          <w:tcPr>
            <w:tcW w:type="dxa" w:w="1129"/>
            <w:shd w:fill="F2F6FC" w:val="clear"/>
          </w:tcPr>
          <w:p>
            <w:r>
              <w:rPr>
                <w:rFonts w:ascii="Arial" w:hAnsi="Arial"/>
                <w:sz w:val="18"/>
              </w:rPr>
              <w:t>Emisi Tidak Langsung Lain (Scope 3)</w:t>
            </w:r>
          </w:p>
        </w:tc>
        <w:tc>
          <w:tcPr>
            <w:tcW w:type="dxa" w:w="1129"/>
            <w:shd w:fill="F2F6FC" w:val="clear"/>
          </w:tcPr>
          <w:p>
            <w:r>
              <w:rPr>
                <w:rFonts w:ascii="Arial" w:hAnsi="Arial"/>
                <w:sz w:val="18"/>
              </w:rPr>
              <w:t>tCO₂e</w:t>
            </w:r>
          </w:p>
        </w:tc>
        <w:tc>
          <w:tcPr>
            <w:tcW w:type="dxa" w:w="1129"/>
            <w:shd w:fill="F2F6FC" w:val="clear"/>
          </w:tcPr>
          <w:p>
            <w:pPr>
              <w:jc w:val="right"/>
            </w:pPr>
            <w:r>
              <w:rPr>
                <w:rFonts w:ascii="Arial" w:hAnsi="Arial"/>
                <w:sz w:val="18"/>
              </w:rPr>
              <w:t>21,976,797</w:t>
            </w:r>
          </w:p>
        </w:tc>
        <w:tc>
          <w:tcPr>
            <w:tcW w:type="dxa" w:w="1129"/>
            <w:shd w:fill="F2F6FC" w:val="clear"/>
          </w:tcPr>
          <w:p>
            <w:pPr>
              <w:jc w:val="right"/>
            </w:pPr>
            <w:r>
              <w:rPr>
                <w:rFonts w:ascii="Arial" w:hAnsi="Arial"/>
                <w:sz w:val="18"/>
              </w:rPr>
              <w:t>22,930,000</w:t>
            </w:r>
          </w:p>
        </w:tc>
        <w:tc>
          <w:tcPr>
            <w:tcW w:type="dxa" w:w="1129"/>
            <w:shd w:fill="F2F6FC" w:val="clear"/>
          </w:tcPr>
          <w:p>
            <w:pPr>
              <w:jc w:val="right"/>
            </w:pPr>
            <w:r>
              <w:rPr>
                <w:rFonts w:ascii="Arial" w:hAnsi="Arial"/>
                <w:sz w:val="18"/>
              </w:rPr>
              <w:t>-4.16%</w:t>
            </w:r>
          </w:p>
        </w:tc>
        <w:tc>
          <w:tcPr>
            <w:tcW w:type="dxa" w:w="1129"/>
            <w:shd w:fill="F2F6FC" w:val="clear"/>
          </w:tcPr>
          <w:p>
            <w:r>
              <w:rPr>
                <w:rFonts w:ascii="Arial" w:hAnsi="Arial"/>
                <w:sz w:val="18"/>
              </w:rPr>
              <w:t>PCAF &lt;3.0</w:t>
            </w:r>
          </w:p>
        </w:tc>
        <w:tc>
          <w:tcPr>
            <w:tcW w:type="dxa" w:w="1129"/>
            <w:shd w:fill="F2F6FC" w:val="clear"/>
          </w:tcPr>
          <w:p>
            <w:r>
              <w:rPr>
                <w:rFonts w:ascii="Arial" w:hAnsi="Arial"/>
                <w:sz w:val="18"/>
              </w:rPr>
              <w:t>❌ Belum</w:t>
            </w:r>
          </w:p>
        </w:tc>
      </w:tr>
      <w:tr>
        <w:tc>
          <w:tcPr>
            <w:tcW w:type="dxa" w:w="1129"/>
          </w:tcPr>
          <w:p>
            <w:pPr>
              <w:jc w:val="right"/>
            </w:pPr>
            <w:r>
              <w:rPr>
                <w:rFonts w:ascii="Arial" w:hAnsi="Arial"/>
                <w:sz w:val="18"/>
              </w:rPr>
              <w:t>5</w:t>
            </w:r>
          </w:p>
        </w:tc>
        <w:tc>
          <w:tcPr>
            <w:tcW w:type="dxa" w:w="1129"/>
          </w:tcPr>
          <w:p>
            <w:r>
              <w:rPr>
                <w:rFonts w:ascii="Arial" w:hAnsi="Arial"/>
                <w:sz w:val="18"/>
              </w:rPr>
              <w:t>Intensitas Emisi</w:t>
            </w:r>
          </w:p>
        </w:tc>
        <w:tc>
          <w:tcPr>
            <w:tcW w:type="dxa" w:w="1129"/>
          </w:tcPr>
          <w:p>
            <w:r>
              <w:rPr>
                <w:rFonts w:ascii="Arial" w:hAnsi="Arial"/>
                <w:sz w:val="18"/>
              </w:rPr>
              <w:t>tCO₂e/IDR Bn</w:t>
            </w:r>
          </w:p>
        </w:tc>
        <w:tc>
          <w:tcPr>
            <w:tcW w:type="dxa" w:w="1129"/>
          </w:tcPr>
          <w:p>
            <w:pPr>
              <w:jc w:val="right"/>
            </w:pPr>
            <w:r>
              <w:rPr>
                <w:rFonts w:ascii="Arial" w:hAnsi="Arial"/>
                <w:sz w:val="18"/>
              </w:rPr>
              <w:t>239.4</w:t>
            </w:r>
          </w:p>
        </w:tc>
        <w:tc>
          <w:tcPr>
            <w:tcW w:type="dxa" w:w="1129"/>
          </w:tcPr>
          <w:p>
            <w:pPr>
              <w:jc w:val="right"/>
            </w:pPr>
            <w:r>
              <w:rPr>
                <w:rFonts w:ascii="Arial" w:hAnsi="Arial"/>
                <w:sz w:val="18"/>
              </w:rPr>
              <w:t>270.4</w:t>
            </w:r>
          </w:p>
        </w:tc>
        <w:tc>
          <w:tcPr>
            <w:tcW w:type="dxa" w:w="1129"/>
          </w:tcPr>
          <w:p>
            <w:pPr>
              <w:jc w:val="right"/>
            </w:pPr>
            <w:r>
              <w:rPr>
                <w:rFonts w:ascii="Arial" w:hAnsi="Arial"/>
                <w:sz w:val="18"/>
              </w:rPr>
              <w:t>-11.3%</w:t>
            </w:r>
          </w:p>
        </w:tc>
        <w:tc>
          <w:tcPr>
            <w:tcW w:type="dxa" w:w="1129"/>
          </w:tcPr>
          <w:p>
            <w:r>
              <w:rPr>
                <w:rFonts w:ascii="Arial" w:hAnsi="Arial"/>
                <w:sz w:val="18"/>
              </w:rPr>
              <w:t>Annual decrease</w:t>
            </w:r>
          </w:p>
        </w:tc>
        <w:tc>
          <w:tcPr>
            <w:tcW w:type="dxa" w:w="1129"/>
          </w:tcPr>
          <w:p>
            <w:r>
              <w:rPr>
                <w:rFonts w:ascii="Arial" w:hAnsi="Arial"/>
                <w:sz w:val="18"/>
              </w:rPr>
              <w:t>✅ Tercapai</w:t>
            </w:r>
          </w:p>
        </w:tc>
      </w:tr>
      <w:tr>
        <w:tc>
          <w:tcPr>
            <w:tcW w:type="dxa" w:w="1129"/>
            <w:shd w:fill="F2F6FC" w:val="clear"/>
          </w:tcPr>
          <w:p>
            <w:pPr>
              <w:jc w:val="right"/>
            </w:pPr>
            <w:r>
              <w:rPr>
                <w:rFonts w:ascii="Arial" w:hAnsi="Arial"/>
                <w:sz w:val="18"/>
              </w:rPr>
              <w:t>6</w:t>
            </w:r>
          </w:p>
        </w:tc>
        <w:tc>
          <w:tcPr>
            <w:tcW w:type="dxa" w:w="1129"/>
            <w:shd w:fill="F2F6FC" w:val="clear"/>
          </w:tcPr>
          <w:p>
            <w:r>
              <w:rPr>
                <w:rFonts w:ascii="Arial" w:hAnsi="Arial"/>
                <w:sz w:val="18"/>
              </w:rPr>
              <w:t>Konsumsi Energi</w:t>
            </w:r>
          </w:p>
        </w:tc>
        <w:tc>
          <w:tcPr>
            <w:tcW w:type="dxa" w:w="1129"/>
            <w:shd w:fill="F2F6FC" w:val="clear"/>
          </w:tcPr>
          <w:p>
            <w:r>
              <w:rPr>
                <w:rFonts w:ascii="Arial" w:hAnsi="Arial"/>
                <w:sz w:val="18"/>
              </w:rPr>
              <w:t>MWh</w:t>
            </w:r>
          </w:p>
        </w:tc>
        <w:tc>
          <w:tcPr>
            <w:tcW w:type="dxa" w:w="1129"/>
            <w:shd w:fill="F2F6FC" w:val="clear"/>
          </w:tcPr>
          <w:p>
            <w:r>
              <w:rPr>
                <w:rFonts w:ascii="Arial" w:hAnsi="Arial"/>
                <w:sz w:val="18"/>
              </w:rPr>
              <w:t>Data TBD</w:t>
            </w:r>
          </w:p>
        </w:tc>
        <w:tc>
          <w:tcPr>
            <w:tcW w:type="dxa" w:w="1129"/>
            <w:shd w:fill="F2F6FC" w:val="clear"/>
          </w:tcPr>
          <w:p>
            <w:r>
              <w:rPr>
                <w:rFonts w:ascii="Arial" w:hAnsi="Arial"/>
                <w:sz w:val="18"/>
              </w:rPr>
              <w:t>Data TBD</w:t>
            </w:r>
          </w:p>
        </w:tc>
        <w:tc>
          <w:tcPr>
            <w:tcW w:type="dxa" w:w="1129"/>
            <w:shd w:fill="F2F6FC" w:val="clear"/>
          </w:tcPr>
          <w:p>
            <w:r>
              <w:rPr>
                <w:rFonts w:ascii="Arial" w:hAnsi="Arial"/>
                <w:sz w:val="18"/>
              </w:rPr>
              <w:t>—</w:t>
            </w:r>
          </w:p>
        </w:tc>
        <w:tc>
          <w:tcPr>
            <w:tcW w:type="dxa" w:w="1129"/>
            <w:shd w:fill="F2F6FC" w:val="clear"/>
          </w:tcPr>
          <w:p>
            <w:r>
              <w:rPr>
                <w:rFonts w:ascii="Arial" w:hAnsi="Arial"/>
                <w:sz w:val="18"/>
              </w:rPr>
              <w:t>-5% annually</w:t>
            </w:r>
          </w:p>
        </w:tc>
        <w:tc>
          <w:tcPr>
            <w:tcW w:type="dxa" w:w="1129"/>
            <w:shd w:fill="F2F6FC" w:val="clear"/>
          </w:tcPr>
          <w:p>
            <w:r>
              <w:rPr>
                <w:rFonts w:ascii="Arial" w:hAnsi="Arial"/>
                <w:sz w:val="18"/>
              </w:rPr>
              <w:t>❌ Data gap</w:t>
            </w:r>
          </w:p>
        </w:tc>
      </w:tr>
      <w:tr>
        <w:tc>
          <w:tcPr>
            <w:tcW w:type="dxa" w:w="1129"/>
          </w:tcPr>
          <w:p>
            <w:pPr>
              <w:jc w:val="right"/>
            </w:pPr>
            <w:r>
              <w:rPr>
                <w:rFonts w:ascii="Arial" w:hAnsi="Arial"/>
                <w:sz w:val="18"/>
              </w:rPr>
              <w:t>7</w:t>
            </w:r>
          </w:p>
        </w:tc>
        <w:tc>
          <w:tcPr>
            <w:tcW w:type="dxa" w:w="1129"/>
          </w:tcPr>
          <w:p>
            <w:r>
              <w:rPr>
                <w:rFonts w:ascii="Arial" w:hAnsi="Arial"/>
                <w:sz w:val="18"/>
              </w:rPr>
              <w:t>Energi Terbarukan</w:t>
            </w:r>
          </w:p>
        </w:tc>
        <w:tc>
          <w:tcPr>
            <w:tcW w:type="dxa" w:w="1129"/>
          </w:tcPr>
          <w:p>
            <w:r>
              <w:rPr>
                <w:rFonts w:ascii="Arial" w:hAnsi="Arial"/>
                <w:sz w:val="18"/>
              </w:rPr>
              <w:t>%</w:t>
            </w:r>
          </w:p>
        </w:tc>
        <w:tc>
          <w:tcPr>
            <w:tcW w:type="dxa" w:w="1129"/>
          </w:tcPr>
          <w:p>
            <w:pPr>
              <w:jc w:val="right"/>
            </w:pPr>
            <w:r>
              <w:rPr>
                <w:rFonts w:ascii="Arial" w:hAnsi="Arial"/>
                <w:sz w:val="18"/>
              </w:rPr>
              <w:t>0%</w:t>
            </w:r>
          </w:p>
        </w:tc>
        <w:tc>
          <w:tcPr>
            <w:tcW w:type="dxa" w:w="1129"/>
          </w:tcPr>
          <w:p>
            <w:pPr>
              <w:jc w:val="right"/>
            </w:pPr>
            <w:r>
              <w:rPr>
                <w:rFonts w:ascii="Arial" w:hAnsi="Arial"/>
                <w:sz w:val="18"/>
              </w:rPr>
              <w:t>0%</w:t>
            </w:r>
          </w:p>
        </w:tc>
        <w:tc>
          <w:tcPr>
            <w:tcW w:type="dxa" w:w="1129"/>
          </w:tcPr>
          <w:p>
            <w:r>
              <w:rPr>
                <w:rFonts w:ascii="Arial" w:hAnsi="Arial"/>
                <w:sz w:val="18"/>
              </w:rPr>
              <w:t>—</w:t>
            </w:r>
          </w:p>
        </w:tc>
        <w:tc>
          <w:tcPr>
            <w:tcW w:type="dxa" w:w="1129"/>
          </w:tcPr>
          <w:p>
            <w:r>
              <w:rPr>
                <w:rFonts w:ascii="Arial" w:hAnsi="Arial"/>
                <w:sz w:val="18"/>
              </w:rPr>
              <w:t>≥10% by 2026</w:t>
            </w:r>
          </w:p>
        </w:tc>
        <w:tc>
          <w:tcPr>
            <w:tcW w:type="dxa" w:w="1129"/>
          </w:tcPr>
          <w:p>
            <w:r>
              <w:rPr>
                <w:rFonts w:ascii="Arial" w:hAnsi="Arial"/>
                <w:sz w:val="18"/>
              </w:rPr>
              <w:t>❌ Belum</w:t>
            </w:r>
          </w:p>
        </w:tc>
      </w:tr>
      <w:tr>
        <w:tc>
          <w:tcPr>
            <w:tcW w:type="dxa" w:w="1129"/>
            <w:shd w:fill="F2F6FC" w:val="clear"/>
          </w:tcPr>
          <w:p>
            <w:pPr>
              <w:jc w:val="right"/>
            </w:pPr>
            <w:r>
              <w:rPr>
                <w:rFonts w:ascii="Arial" w:hAnsi="Arial"/>
                <w:sz w:val="18"/>
              </w:rPr>
              <w:t>8</w:t>
            </w:r>
          </w:p>
        </w:tc>
        <w:tc>
          <w:tcPr>
            <w:tcW w:type="dxa" w:w="1129"/>
            <w:shd w:fill="F2F6FC" w:val="clear"/>
          </w:tcPr>
          <w:p>
            <w:r>
              <w:rPr>
                <w:rFonts w:ascii="Arial" w:hAnsi="Arial"/>
                <w:sz w:val="18"/>
              </w:rPr>
              <w:t>Jumlah Karyawan</w:t>
            </w:r>
          </w:p>
        </w:tc>
        <w:tc>
          <w:tcPr>
            <w:tcW w:type="dxa" w:w="1129"/>
            <w:shd w:fill="F2F6FC" w:val="clear"/>
          </w:tcPr>
          <w:p>
            <w:r>
              <w:rPr>
                <w:rFonts w:ascii="Arial" w:hAnsi="Arial"/>
                <w:sz w:val="18"/>
              </w:rPr>
              <w:t>FTE</w:t>
            </w:r>
          </w:p>
        </w:tc>
        <w:tc>
          <w:tcPr>
            <w:tcW w:type="dxa" w:w="1129"/>
            <w:shd w:fill="F2F6FC" w:val="clear"/>
          </w:tcPr>
          <w:p>
            <w:pPr>
              <w:jc w:val="right"/>
            </w:pPr>
            <w:r>
              <w:rPr>
                <w:rFonts w:ascii="Arial" w:hAnsi="Arial"/>
                <w:sz w:val="18"/>
              </w:rPr>
              <w:t>24,997</w:t>
            </w:r>
          </w:p>
        </w:tc>
        <w:tc>
          <w:tcPr>
            <w:tcW w:type="dxa" w:w="1129"/>
            <w:shd w:fill="F2F6FC" w:val="clear"/>
          </w:tcPr>
          <w:p>
            <w:pPr>
              <w:jc w:val="right"/>
            </w:pPr>
            <w:r>
              <w:rPr>
                <w:rFonts w:ascii="Arial" w:hAnsi="Arial"/>
                <w:sz w:val="18"/>
              </w:rPr>
              <w:t>24,200</w:t>
            </w:r>
          </w:p>
        </w:tc>
        <w:tc>
          <w:tcPr>
            <w:tcW w:type="dxa" w:w="1129"/>
            <w:shd w:fill="F2F6FC" w:val="clear"/>
          </w:tcPr>
          <w:p>
            <w:pPr>
              <w:jc w:val="right"/>
            </w:pPr>
            <w:r>
              <w:rPr>
                <w:rFonts w:ascii="Arial" w:hAnsi="Arial"/>
                <w:sz w:val="18"/>
              </w:rPr>
              <w:t>+3.3%</w:t>
            </w:r>
          </w:p>
        </w:tc>
        <w:tc>
          <w:tcPr>
            <w:tcW w:type="dxa" w:w="1129"/>
            <w:shd w:fill="F2F6FC" w:val="clear"/>
          </w:tcPr>
          <w:p>
            <w:r>
              <w:rPr>
                <w:rFonts w:ascii="Arial" w:hAnsi="Arial"/>
                <w:sz w:val="18"/>
              </w:rPr>
              <w:t>N/A</w:t>
            </w:r>
          </w:p>
        </w:tc>
        <w:tc>
          <w:tcPr>
            <w:tcW w:type="dxa" w:w="1129"/>
            <w:shd w:fill="F2F6FC" w:val="clear"/>
          </w:tcPr>
          <w:p>
            <w:r>
              <w:rPr>
                <w:rFonts w:ascii="Arial" w:hAnsi="Arial"/>
                <w:sz w:val="18"/>
              </w:rPr>
              <w:t>—</w:t>
            </w:r>
          </w:p>
        </w:tc>
      </w:tr>
      <w:tr>
        <w:tc>
          <w:tcPr>
            <w:tcW w:type="dxa" w:w="1129"/>
          </w:tcPr>
          <w:p>
            <w:pPr>
              <w:jc w:val="right"/>
            </w:pPr>
            <w:r>
              <w:rPr>
                <w:rFonts w:ascii="Arial" w:hAnsi="Arial"/>
                <w:sz w:val="18"/>
              </w:rPr>
              <w:t>9</w:t>
            </w:r>
          </w:p>
        </w:tc>
        <w:tc>
          <w:tcPr>
            <w:tcW w:type="dxa" w:w="1129"/>
          </w:tcPr>
          <w:p>
            <w:r>
              <w:rPr>
                <w:rFonts w:ascii="Arial" w:hAnsi="Arial"/>
                <w:sz w:val="18"/>
              </w:rPr>
              <w:t>Proporsi Perempuan</w:t>
            </w:r>
          </w:p>
        </w:tc>
        <w:tc>
          <w:tcPr>
            <w:tcW w:type="dxa" w:w="1129"/>
          </w:tcPr>
          <w:p>
            <w:r>
              <w:rPr>
                <w:rFonts w:ascii="Arial" w:hAnsi="Arial"/>
                <w:sz w:val="18"/>
              </w:rPr>
              <w:t>%</w:t>
            </w:r>
          </w:p>
        </w:tc>
        <w:tc>
          <w:tcPr>
            <w:tcW w:type="dxa" w:w="1129"/>
          </w:tcPr>
          <w:p>
            <w:pPr>
              <w:jc w:val="right"/>
            </w:pPr>
            <w:r>
              <w:rPr>
                <w:rFonts w:ascii="Arial" w:hAnsi="Arial"/>
                <w:sz w:val="18"/>
              </w:rPr>
              <w:t>42.32%</w:t>
            </w:r>
          </w:p>
        </w:tc>
        <w:tc>
          <w:tcPr>
            <w:tcW w:type="dxa" w:w="1129"/>
          </w:tcPr>
          <w:p>
            <w:pPr>
              <w:jc w:val="right"/>
            </w:pPr>
            <w:r>
              <w:rPr>
                <w:rFonts w:ascii="Arial" w:hAnsi="Arial"/>
                <w:sz w:val="18"/>
              </w:rPr>
              <w:t>41.5%</w:t>
            </w:r>
          </w:p>
        </w:tc>
        <w:tc>
          <w:tcPr>
            <w:tcW w:type="dxa" w:w="1129"/>
          </w:tcPr>
          <w:p>
            <w:r>
              <w:rPr>
                <w:rFonts w:ascii="Arial" w:hAnsi="Arial"/>
                <w:sz w:val="18"/>
              </w:rPr>
              <w:t>+0.82pp</w:t>
            </w:r>
          </w:p>
        </w:tc>
        <w:tc>
          <w:tcPr>
            <w:tcW w:type="dxa" w:w="1129"/>
          </w:tcPr>
          <w:p>
            <w:r>
              <w:rPr>
                <w:rFonts w:ascii="Arial" w:hAnsi="Arial"/>
                <w:sz w:val="18"/>
              </w:rPr>
              <w:t>≥40%</w:t>
            </w:r>
          </w:p>
        </w:tc>
        <w:tc>
          <w:tcPr>
            <w:tcW w:type="dxa" w:w="1129"/>
          </w:tcPr>
          <w:p>
            <w:r>
              <w:rPr>
                <w:rFonts w:ascii="Arial" w:hAnsi="Arial"/>
                <w:sz w:val="18"/>
              </w:rPr>
              <w:t>✅ Tercapai</w:t>
            </w:r>
          </w:p>
        </w:tc>
      </w:tr>
      <w:tr>
        <w:tc>
          <w:tcPr>
            <w:tcW w:type="dxa" w:w="1129"/>
            <w:shd w:fill="F2F6FC" w:val="clear"/>
          </w:tcPr>
          <w:p>
            <w:pPr>
              <w:jc w:val="right"/>
            </w:pPr>
            <w:r>
              <w:rPr>
                <w:rFonts w:ascii="Arial" w:hAnsi="Arial"/>
                <w:sz w:val="18"/>
              </w:rPr>
              <w:t>10</w:t>
            </w:r>
          </w:p>
        </w:tc>
        <w:tc>
          <w:tcPr>
            <w:tcW w:type="dxa" w:w="1129"/>
            <w:shd w:fill="F2F6FC" w:val="clear"/>
          </w:tcPr>
          <w:p>
            <w:r>
              <w:rPr>
                <w:rFonts w:ascii="Arial" w:hAnsi="Arial"/>
                <w:sz w:val="18"/>
              </w:rPr>
              <w:t>Perempuan di Manajemen</w:t>
            </w:r>
          </w:p>
        </w:tc>
        <w:tc>
          <w:tcPr>
            <w:tcW w:type="dxa" w:w="1129"/>
            <w:shd w:fill="F2F6FC" w:val="clear"/>
          </w:tcPr>
          <w:p>
            <w:r>
              <w:rPr>
                <w:rFonts w:ascii="Arial" w:hAnsi="Arial"/>
                <w:sz w:val="18"/>
              </w:rPr>
              <w:t>%</w:t>
            </w:r>
          </w:p>
        </w:tc>
        <w:tc>
          <w:tcPr>
            <w:tcW w:type="dxa" w:w="1129"/>
            <w:shd w:fill="F2F6FC" w:val="clear"/>
          </w:tcPr>
          <w:p>
            <w:pPr>
              <w:jc w:val="right"/>
            </w:pPr>
            <w:r>
              <w:rPr>
                <w:rFonts w:ascii="Arial" w:hAnsi="Arial"/>
                <w:sz w:val="18"/>
              </w:rPr>
              <w:t>26.67%</w:t>
            </w:r>
          </w:p>
        </w:tc>
        <w:tc>
          <w:tcPr>
            <w:tcW w:type="dxa" w:w="1129"/>
            <w:shd w:fill="F2F6FC" w:val="clear"/>
          </w:tcPr>
          <w:p>
            <w:pPr>
              <w:jc w:val="right"/>
            </w:pPr>
            <w:r>
              <w:rPr>
                <w:rFonts w:ascii="Arial" w:hAnsi="Arial"/>
                <w:sz w:val="18"/>
              </w:rPr>
              <w:t>25.0%</w:t>
            </w:r>
          </w:p>
        </w:tc>
        <w:tc>
          <w:tcPr>
            <w:tcW w:type="dxa" w:w="1129"/>
            <w:shd w:fill="F2F6FC" w:val="clear"/>
          </w:tcPr>
          <w:p>
            <w:r>
              <w:rPr>
                <w:rFonts w:ascii="Arial" w:hAnsi="Arial"/>
                <w:sz w:val="18"/>
              </w:rPr>
              <w:t>+1.67pp</w:t>
            </w:r>
          </w:p>
        </w:tc>
        <w:tc>
          <w:tcPr>
            <w:tcW w:type="dxa" w:w="1129"/>
            <w:shd w:fill="F2F6FC" w:val="clear"/>
          </w:tcPr>
          <w:p>
            <w:r>
              <w:rPr>
                <w:rFonts w:ascii="Arial" w:hAnsi="Arial"/>
                <w:sz w:val="18"/>
              </w:rPr>
              <w:t>≥30%</w:t>
            </w:r>
          </w:p>
        </w:tc>
        <w:tc>
          <w:tcPr>
            <w:tcW w:type="dxa" w:w="1129"/>
            <w:shd w:fill="F2F6FC" w:val="clear"/>
          </w:tcPr>
          <w:p>
            <w:r>
              <w:rPr>
                <w:rFonts w:ascii="Arial" w:hAnsi="Arial"/>
                <w:sz w:val="18"/>
              </w:rPr>
              <w:t>❌ Belum</w:t>
            </w:r>
          </w:p>
        </w:tc>
      </w:tr>
      <w:tr>
        <w:tc>
          <w:tcPr>
            <w:tcW w:type="dxa" w:w="1129"/>
          </w:tcPr>
          <w:p>
            <w:pPr>
              <w:jc w:val="right"/>
            </w:pPr>
            <w:r>
              <w:rPr>
                <w:rFonts w:ascii="Arial" w:hAnsi="Arial"/>
                <w:sz w:val="18"/>
              </w:rPr>
              <w:t>11</w:t>
            </w:r>
          </w:p>
        </w:tc>
        <w:tc>
          <w:tcPr>
            <w:tcW w:type="dxa" w:w="1129"/>
          </w:tcPr>
          <w:p>
            <w:r>
              <w:rPr>
                <w:rFonts w:ascii="Arial" w:hAnsi="Arial"/>
                <w:sz w:val="18"/>
              </w:rPr>
              <w:t>Rata-rata Jam Pelatihan</w:t>
            </w:r>
          </w:p>
        </w:tc>
        <w:tc>
          <w:tcPr>
            <w:tcW w:type="dxa" w:w="1129"/>
          </w:tcPr>
          <w:p>
            <w:r>
              <w:rPr>
                <w:rFonts w:ascii="Arial" w:hAnsi="Arial"/>
                <w:sz w:val="18"/>
              </w:rPr>
              <w:t>jam/FTE</w:t>
            </w:r>
          </w:p>
        </w:tc>
        <w:tc>
          <w:tcPr>
            <w:tcW w:type="dxa" w:w="1129"/>
          </w:tcPr>
          <w:p>
            <w:pPr>
              <w:jc w:val="right"/>
            </w:pPr>
            <w:r>
              <w:rPr>
                <w:rFonts w:ascii="Arial" w:hAnsi="Arial"/>
                <w:sz w:val="18"/>
              </w:rPr>
              <w:t>49.3</w:t>
            </w:r>
          </w:p>
        </w:tc>
        <w:tc>
          <w:tcPr>
            <w:tcW w:type="dxa" w:w="1129"/>
          </w:tcPr>
          <w:p>
            <w:pPr>
              <w:jc w:val="right"/>
            </w:pPr>
            <w:r>
              <w:rPr>
                <w:rFonts w:ascii="Arial" w:hAnsi="Arial"/>
                <w:sz w:val="18"/>
              </w:rPr>
              <w:t>42.0</w:t>
            </w:r>
          </w:p>
        </w:tc>
        <w:tc>
          <w:tcPr>
            <w:tcW w:type="dxa" w:w="1129"/>
          </w:tcPr>
          <w:p>
            <w:pPr>
              <w:jc w:val="right"/>
            </w:pPr>
            <w:r>
              <w:rPr>
                <w:rFonts w:ascii="Arial" w:hAnsi="Arial"/>
                <w:sz w:val="18"/>
              </w:rPr>
              <w:t>+17.4%</w:t>
            </w:r>
          </w:p>
        </w:tc>
        <w:tc>
          <w:tcPr>
            <w:tcW w:type="dxa" w:w="1129"/>
          </w:tcPr>
          <w:p>
            <w:r>
              <w:rPr>
                <w:rFonts w:ascii="Arial" w:hAnsi="Arial"/>
                <w:sz w:val="18"/>
              </w:rPr>
              <w:t>≥40 hrs</w:t>
            </w:r>
          </w:p>
        </w:tc>
        <w:tc>
          <w:tcPr>
            <w:tcW w:type="dxa" w:w="1129"/>
          </w:tcPr>
          <w:p>
            <w:r>
              <w:rPr>
                <w:rFonts w:ascii="Arial" w:hAnsi="Arial"/>
                <w:sz w:val="18"/>
              </w:rPr>
              <w:t>✅ Tercapai</w:t>
            </w:r>
          </w:p>
        </w:tc>
      </w:tr>
      <w:tr>
        <w:tc>
          <w:tcPr>
            <w:tcW w:type="dxa" w:w="1129"/>
            <w:shd w:fill="F2F6FC" w:val="clear"/>
          </w:tcPr>
          <w:p>
            <w:pPr>
              <w:jc w:val="right"/>
            </w:pPr>
            <w:r>
              <w:rPr>
                <w:rFonts w:ascii="Arial" w:hAnsi="Arial"/>
                <w:sz w:val="18"/>
              </w:rPr>
              <w:t>12</w:t>
            </w:r>
          </w:p>
        </w:tc>
        <w:tc>
          <w:tcPr>
            <w:tcW w:type="dxa" w:w="1129"/>
            <w:shd w:fill="F2F6FC" w:val="clear"/>
          </w:tcPr>
          <w:p>
            <w:r>
              <w:rPr>
                <w:rFonts w:ascii="Arial" w:hAnsi="Arial"/>
                <w:sz w:val="18"/>
              </w:rPr>
              <w:t>Turnover Sukarela</w:t>
            </w:r>
          </w:p>
        </w:tc>
        <w:tc>
          <w:tcPr>
            <w:tcW w:type="dxa" w:w="1129"/>
            <w:shd w:fill="F2F6FC" w:val="clear"/>
          </w:tcPr>
          <w:p>
            <w:r>
              <w:rPr>
                <w:rFonts w:ascii="Arial" w:hAnsi="Arial"/>
                <w:sz w:val="18"/>
              </w:rPr>
              <w:t>%</w:t>
            </w:r>
          </w:p>
        </w:tc>
        <w:tc>
          <w:tcPr>
            <w:tcW w:type="dxa" w:w="1129"/>
            <w:shd w:fill="F2F6FC" w:val="clear"/>
          </w:tcPr>
          <w:p>
            <w:pPr>
              <w:jc w:val="right"/>
            </w:pPr>
            <w:r>
              <w:rPr>
                <w:rFonts w:ascii="Arial" w:hAnsi="Arial"/>
                <w:sz w:val="18"/>
              </w:rPr>
              <w:t>8.45%</w:t>
            </w:r>
          </w:p>
        </w:tc>
        <w:tc>
          <w:tcPr>
            <w:tcW w:type="dxa" w:w="1129"/>
            <w:shd w:fill="F2F6FC" w:val="clear"/>
          </w:tcPr>
          <w:p>
            <w:pPr>
              <w:jc w:val="right"/>
            </w:pPr>
            <w:r>
              <w:rPr>
                <w:rFonts w:ascii="Arial" w:hAnsi="Arial"/>
                <w:sz w:val="18"/>
              </w:rPr>
              <w:t>8.5%</w:t>
            </w:r>
          </w:p>
        </w:tc>
        <w:tc>
          <w:tcPr>
            <w:tcW w:type="dxa" w:w="1129"/>
            <w:shd w:fill="F2F6FC" w:val="clear"/>
          </w:tcPr>
          <w:p>
            <w:r>
              <w:rPr>
                <w:rFonts w:ascii="Arial" w:hAnsi="Arial"/>
                <w:sz w:val="18"/>
              </w:rPr>
              <w:t>-0.05pp</w:t>
            </w:r>
          </w:p>
        </w:tc>
        <w:tc>
          <w:tcPr>
            <w:tcW w:type="dxa" w:w="1129"/>
            <w:shd w:fill="F2F6FC" w:val="clear"/>
          </w:tcPr>
          <w:p>
            <w:r>
              <w:rPr>
                <w:rFonts w:ascii="Arial" w:hAnsi="Arial"/>
                <w:sz w:val="18"/>
              </w:rPr>
              <w:t>&lt;10%</w:t>
            </w:r>
          </w:p>
        </w:tc>
        <w:tc>
          <w:tcPr>
            <w:tcW w:type="dxa" w:w="1129"/>
            <w:shd w:fill="F2F6FC" w:val="clear"/>
          </w:tcPr>
          <w:p>
            <w:r>
              <w:rPr>
                <w:rFonts w:ascii="Arial" w:hAnsi="Arial"/>
                <w:sz w:val="18"/>
              </w:rPr>
              <w:t>✅ Tercapai</w:t>
            </w:r>
          </w:p>
        </w:tc>
      </w:tr>
      <w:tr>
        <w:tc>
          <w:tcPr>
            <w:tcW w:type="dxa" w:w="1129"/>
          </w:tcPr>
          <w:p>
            <w:pPr>
              <w:jc w:val="right"/>
            </w:pPr>
            <w:r>
              <w:rPr>
                <w:rFonts w:ascii="Arial" w:hAnsi="Arial"/>
                <w:sz w:val="18"/>
              </w:rPr>
              <w:t>13</w:t>
            </w:r>
          </w:p>
        </w:tc>
        <w:tc>
          <w:tcPr>
            <w:tcW w:type="dxa" w:w="1129"/>
          </w:tcPr>
          <w:p>
            <w:r>
              <w:rPr>
                <w:rFonts w:ascii="Arial" w:hAnsi="Arial"/>
                <w:sz w:val="18"/>
              </w:rPr>
              <w:t>Komite ESG</w:t>
            </w:r>
          </w:p>
        </w:tc>
        <w:tc>
          <w:tcPr>
            <w:tcW w:type="dxa" w:w="1129"/>
          </w:tcPr>
          <w:p>
            <w:r>
              <w:rPr>
                <w:rFonts w:ascii="Arial" w:hAnsi="Arial"/>
                <w:sz w:val="18"/>
              </w:rPr>
              <w:t>Ya/Tidak</w:t>
            </w:r>
          </w:p>
        </w:tc>
        <w:tc>
          <w:tcPr>
            <w:tcW w:type="dxa" w:w="1129"/>
          </w:tcPr>
          <w:p>
            <w:r>
              <w:rPr>
                <w:rFonts w:ascii="Arial" w:hAnsi="Arial"/>
                <w:sz w:val="18"/>
              </w:rPr>
              <w:t>Tidak</w:t>
            </w:r>
          </w:p>
        </w:tc>
        <w:tc>
          <w:tcPr>
            <w:tcW w:type="dxa" w:w="1129"/>
          </w:tcPr>
          <w:p>
            <w:r>
              <w:rPr>
                <w:rFonts w:ascii="Arial" w:hAnsi="Arial"/>
                <w:sz w:val="18"/>
              </w:rPr>
              <w:t>—</w:t>
            </w:r>
          </w:p>
        </w:tc>
        <w:tc>
          <w:tcPr>
            <w:tcW w:type="dxa" w:w="1129"/>
          </w:tcPr>
          <w:p>
            <w:r>
              <w:rPr>
                <w:rFonts w:ascii="Arial" w:hAnsi="Arial"/>
                <w:sz w:val="18"/>
              </w:rPr>
              <w:t>—</w:t>
            </w:r>
          </w:p>
        </w:tc>
        <w:tc>
          <w:tcPr>
            <w:tcW w:type="dxa" w:w="1129"/>
          </w:tcPr>
          <w:p>
            <w:r>
              <w:rPr>
                <w:rFonts w:ascii="Arial" w:hAnsi="Arial"/>
                <w:sz w:val="18"/>
              </w:rPr>
              <w:t>Q2 2025</w:t>
            </w:r>
          </w:p>
        </w:tc>
        <w:tc>
          <w:tcPr>
            <w:tcW w:type="dxa" w:w="1129"/>
          </w:tcPr>
          <w:p>
            <w:r>
              <w:rPr>
                <w:rFonts w:ascii="Arial" w:hAnsi="Arial"/>
                <w:sz w:val="18"/>
              </w:rPr>
              <w:t>❌ Belum</w:t>
            </w:r>
          </w:p>
        </w:tc>
      </w:tr>
      <w:tr>
        <w:tc>
          <w:tcPr>
            <w:tcW w:type="dxa" w:w="1129"/>
            <w:shd w:fill="F2F6FC" w:val="clear"/>
          </w:tcPr>
          <w:p>
            <w:pPr>
              <w:jc w:val="right"/>
            </w:pPr>
            <w:r>
              <w:rPr>
                <w:rFonts w:ascii="Arial" w:hAnsi="Arial"/>
                <w:sz w:val="18"/>
              </w:rPr>
              <w:t>14</w:t>
            </w:r>
          </w:p>
        </w:tc>
        <w:tc>
          <w:tcPr>
            <w:tcW w:type="dxa" w:w="1129"/>
            <w:shd w:fill="F2F6FC" w:val="clear"/>
          </w:tcPr>
          <w:p>
            <w:r>
              <w:rPr>
                <w:rFonts w:ascii="Arial" w:hAnsi="Arial"/>
                <w:sz w:val="18"/>
              </w:rPr>
              <w:t>Kebijakan Iklim</w:t>
            </w:r>
          </w:p>
        </w:tc>
        <w:tc>
          <w:tcPr>
            <w:tcW w:type="dxa" w:w="1129"/>
            <w:shd w:fill="F2F6FC" w:val="clear"/>
          </w:tcPr>
          <w:p>
            <w:r>
              <w:rPr>
                <w:rFonts w:ascii="Arial" w:hAnsi="Arial"/>
                <w:sz w:val="18"/>
              </w:rPr>
              <w:t>Ya/Tidak</w:t>
            </w:r>
          </w:p>
        </w:tc>
        <w:tc>
          <w:tcPr>
            <w:tcW w:type="dxa" w:w="1129"/>
            <w:shd w:fill="F2F6FC" w:val="clear"/>
          </w:tcPr>
          <w:p>
            <w:r>
              <w:rPr>
                <w:rFonts w:ascii="Arial" w:hAnsi="Arial"/>
                <w:sz w:val="18"/>
              </w:rPr>
              <w:t>Tidak</w:t>
            </w:r>
          </w:p>
        </w:tc>
        <w:tc>
          <w:tcPr>
            <w:tcW w:type="dxa" w:w="1129"/>
            <w:shd w:fill="F2F6FC" w:val="clear"/>
          </w:tcPr>
          <w:p>
            <w:r>
              <w:rPr>
                <w:rFonts w:ascii="Arial" w:hAnsi="Arial"/>
                <w:sz w:val="18"/>
              </w:rPr>
              <w:t>—</w:t>
            </w:r>
          </w:p>
        </w:tc>
        <w:tc>
          <w:tcPr>
            <w:tcW w:type="dxa" w:w="1129"/>
            <w:shd w:fill="F2F6FC" w:val="clear"/>
          </w:tcPr>
          <w:p>
            <w:r>
              <w:rPr>
                <w:rFonts w:ascii="Arial" w:hAnsi="Arial"/>
                <w:sz w:val="18"/>
              </w:rPr>
              <w:t>—</w:t>
            </w:r>
          </w:p>
        </w:tc>
        <w:tc>
          <w:tcPr>
            <w:tcW w:type="dxa" w:w="1129"/>
            <w:shd w:fill="F2F6FC" w:val="clear"/>
          </w:tcPr>
          <w:p>
            <w:r>
              <w:rPr>
                <w:rFonts w:ascii="Arial" w:hAnsi="Arial"/>
                <w:sz w:val="18"/>
              </w:rPr>
              <w:t>Q3 2025</w:t>
            </w:r>
          </w:p>
        </w:tc>
        <w:tc>
          <w:tcPr>
            <w:tcW w:type="dxa" w:w="1129"/>
            <w:shd w:fill="F2F6FC" w:val="clear"/>
          </w:tcPr>
          <w:p>
            <w:r>
              <w:rPr>
                <w:rFonts w:ascii="Arial" w:hAnsi="Arial"/>
                <w:sz w:val="18"/>
              </w:rPr>
              <w:t>❌ Belum</w:t>
            </w:r>
          </w:p>
        </w:tc>
      </w:tr>
      <w:tr>
        <w:tc>
          <w:tcPr>
            <w:tcW w:type="dxa" w:w="1129"/>
          </w:tcPr>
          <w:p>
            <w:pPr>
              <w:jc w:val="right"/>
            </w:pPr>
            <w:r>
              <w:rPr>
                <w:rFonts w:ascii="Arial" w:hAnsi="Arial"/>
                <w:sz w:val="18"/>
              </w:rPr>
              <w:t>15</w:t>
            </w:r>
          </w:p>
        </w:tc>
        <w:tc>
          <w:tcPr>
            <w:tcW w:type="dxa" w:w="1129"/>
          </w:tcPr>
          <w:p>
            <w:r>
              <w:rPr>
                <w:rFonts w:ascii="Arial" w:hAnsi="Arial"/>
                <w:sz w:val="18"/>
              </w:rPr>
              <w:t>Komitmen SBTi</w:t>
            </w:r>
          </w:p>
        </w:tc>
        <w:tc>
          <w:tcPr>
            <w:tcW w:type="dxa" w:w="1129"/>
          </w:tcPr>
          <w:p>
            <w:r>
              <w:rPr>
                <w:rFonts w:ascii="Arial" w:hAnsi="Arial"/>
                <w:sz w:val="18"/>
              </w:rPr>
              <w:t>Status</w:t>
            </w:r>
          </w:p>
        </w:tc>
        <w:tc>
          <w:tcPr>
            <w:tcW w:type="dxa" w:w="1129"/>
          </w:tcPr>
          <w:p>
            <w:r>
              <w:rPr>
                <w:rFonts w:ascii="Arial" w:hAnsi="Arial"/>
                <w:sz w:val="18"/>
              </w:rPr>
              <w:t>Belum</w:t>
            </w:r>
          </w:p>
        </w:tc>
        <w:tc>
          <w:tcPr>
            <w:tcW w:type="dxa" w:w="1129"/>
          </w:tcPr>
          <w:p>
            <w:r>
              <w:rPr>
                <w:rFonts w:ascii="Arial" w:hAnsi="Arial"/>
                <w:sz w:val="18"/>
              </w:rPr>
              <w:t>—</w:t>
            </w:r>
          </w:p>
        </w:tc>
        <w:tc>
          <w:tcPr>
            <w:tcW w:type="dxa" w:w="1129"/>
          </w:tcPr>
          <w:p>
            <w:r>
              <w:rPr>
                <w:rFonts w:ascii="Arial" w:hAnsi="Arial"/>
                <w:sz w:val="18"/>
              </w:rPr>
              <w:t>—</w:t>
            </w:r>
          </w:p>
        </w:tc>
        <w:tc>
          <w:tcPr>
            <w:tcW w:type="dxa" w:w="1129"/>
          </w:tcPr>
          <w:p>
            <w:r>
              <w:rPr>
                <w:rFonts w:ascii="Arial" w:hAnsi="Arial"/>
                <w:sz w:val="18"/>
              </w:rPr>
              <w:t>Q3 2025</w:t>
            </w:r>
          </w:p>
        </w:tc>
        <w:tc>
          <w:tcPr>
            <w:tcW w:type="dxa" w:w="1129"/>
          </w:tcPr>
          <w:p>
            <w:r>
              <w:rPr>
                <w:rFonts w:ascii="Arial" w:hAnsi="Arial"/>
                <w:sz w:val="18"/>
              </w:rPr>
              <w:t>❌ Belum</w:t>
            </w:r>
          </w:p>
        </w:tc>
      </w:tr>
    </w:tbl>
    <w:p>
      <w:r>
        <w:rPr>
          <w:rFonts w:ascii="Arial" w:hAnsi="Arial"/>
          <w:i/>
          <w:sz w:val="16"/>
        </w:rPr>
        <w:t>Source: POJK 51/2017 Lampiran. Data from Athena aggregated tables + HR metrics.</w:t>
      </w:r>
    </w:p>
    <w:p/>
    <w:p>
      <w:r>
        <w:br w:type="page"/>
      </w:r>
    </w:p>
    <w:p>
      <w:pPr>
        <w:pStyle w:val="Heading1"/>
        <w:keepNext/>
        <w:spacing w:before="480" w:after="240"/>
      </w:pPr>
      <w:r>
        <w:rPr>
          <w:rFonts w:ascii="Arial" w:hAnsi="Arial"/>
          <w:b/>
          <w:color w:val="1B3A6B"/>
          <w:sz w:val="36"/>
        </w:rPr>
        <w:t>Management Statement &amp; Sign-off</w:t>
      </w:r>
    </w:p>
    <w:p>
      <w:pPr>
        <w:pStyle w:val="Heading2"/>
        <w:keepNext/>
        <w:spacing w:before="360" w:after="160"/>
      </w:pPr>
      <w:r>
        <w:rPr>
          <w:rFonts w:ascii="Arial" w:hAnsi="Arial"/>
          <w:b/>
          <w:color w:val="3D6094"/>
          <w:sz w:val="28"/>
        </w:rPr>
        <w:t>Statement of Responsibility</w:t>
      </w:r>
    </w:p>
    <w:p>
      <w:pPr>
        <w:spacing w:after="160" w:line="276" w:lineRule="auto"/>
      </w:pPr>
      <w:r>
        <w:t>The Board of Directors and Management of GENERIC_FI_001 are responsible for the preparation of this Sustainability Report for the financial year ended 31 December 2024. This report has been prepared in accordance with the reporting frameworks stated herein and presents a balanced and reasonable representation of the institution's environmental, social, and governance performance.</w:t>
      </w:r>
    </w:p>
    <w:p>
      <w:pPr>
        <w:pStyle w:val="Heading2"/>
        <w:keepNext/>
        <w:spacing w:before="360" w:after="160"/>
      </w:pPr>
      <w:r>
        <w:rPr>
          <w:rFonts w:ascii="Arial" w:hAnsi="Arial"/>
          <w:b/>
          <w:color w:val="3D6094"/>
          <w:sz w:val="28"/>
        </w:rPr>
        <w:t>Internal Review Process</w:t>
      </w:r>
    </w:p>
    <w:p>
      <w:r>
        <w:rPr>
          <w:rFonts w:ascii="Arial" w:hAnsi="Arial"/>
          <w:b/>
          <w:sz w:val="20"/>
        </w:rPr>
        <w:t>Table 64: Review Process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Review Stage</w:t>
            </w:r>
          </w:p>
        </w:tc>
        <w:tc>
          <w:tcPr>
            <w:tcW w:type="dxa" w:w="2257"/>
            <w:shd w:fill="1B3A6B" w:val="clear"/>
          </w:tcPr>
          <w:p>
            <w:r>
              <w:rPr>
                <w:rFonts w:ascii="Arial" w:hAnsi="Arial"/>
                <w:b/>
                <w:color w:val="FFFFFF"/>
                <w:sz w:val="18"/>
              </w:rPr>
              <w:t>Responsible Party</w:t>
            </w:r>
          </w:p>
        </w:tc>
        <w:tc>
          <w:tcPr>
            <w:tcW w:type="dxa" w:w="2257"/>
            <w:shd w:fill="1B3A6B" w:val="clear"/>
          </w:tcPr>
          <w:p>
            <w:r>
              <w:rPr>
                <w:rFonts w:ascii="Arial" w:hAnsi="Arial"/>
                <w:b/>
                <w:color w:val="FFFFFF"/>
                <w:sz w:val="18"/>
              </w:rPr>
              <w:t>Date</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Data Collection</w:t>
            </w:r>
          </w:p>
        </w:tc>
        <w:tc>
          <w:tcPr>
            <w:tcW w:type="dxa" w:w="2257"/>
          </w:tcPr>
          <w:p>
            <w:r>
              <w:rPr>
                <w:rFonts w:ascii="Arial" w:hAnsi="Arial"/>
                <w:sz w:val="18"/>
              </w:rPr>
              <w:t>Sustainability Division</w:t>
            </w:r>
          </w:p>
        </w:tc>
        <w:tc>
          <w:tcPr>
            <w:tcW w:type="dxa" w:w="2257"/>
          </w:tcPr>
          <w:p>
            <w:r>
              <w:rPr>
                <w:rFonts w:ascii="Arial" w:hAnsi="Arial"/>
                <w:sz w:val="18"/>
              </w:rPr>
              <w:t>[DD/MM/2025]</w:t>
            </w:r>
          </w:p>
        </w:tc>
        <w:tc>
          <w:tcPr>
            <w:tcW w:type="dxa" w:w="2257"/>
          </w:tcPr>
          <w:p>
            <w:r>
              <w:rPr>
                <w:rFonts w:ascii="Arial" w:hAnsi="Arial"/>
                <w:sz w:val="18"/>
              </w:rPr>
              <w:t>☐ Completed</w:t>
            </w:r>
          </w:p>
        </w:tc>
      </w:tr>
      <w:tr>
        <w:tc>
          <w:tcPr>
            <w:tcW w:type="dxa" w:w="2257"/>
            <w:shd w:fill="F2F6FC" w:val="clear"/>
          </w:tcPr>
          <w:p>
            <w:r>
              <w:rPr>
                <w:rFonts w:ascii="Arial" w:hAnsi="Arial"/>
                <w:sz w:val="18"/>
              </w:rPr>
              <w:t>Methodology Verification</w:t>
            </w:r>
          </w:p>
        </w:tc>
        <w:tc>
          <w:tcPr>
            <w:tcW w:type="dxa" w:w="2257"/>
            <w:shd w:fill="F2F6FC" w:val="clear"/>
          </w:tcPr>
          <w:p>
            <w:r>
              <w:rPr>
                <w:rFonts w:ascii="Arial" w:hAnsi="Arial"/>
                <w:sz w:val="18"/>
              </w:rPr>
              <w:t>Risk Management</w:t>
            </w:r>
          </w:p>
        </w:tc>
        <w:tc>
          <w:tcPr>
            <w:tcW w:type="dxa" w:w="2257"/>
            <w:shd w:fill="F2F6FC" w:val="clear"/>
          </w:tcPr>
          <w:p>
            <w:r>
              <w:rPr>
                <w:rFonts w:ascii="Arial" w:hAnsi="Arial"/>
                <w:sz w:val="18"/>
              </w:rPr>
              <w:t>[DD/MM/2025]</w:t>
            </w:r>
          </w:p>
        </w:tc>
        <w:tc>
          <w:tcPr>
            <w:tcW w:type="dxa" w:w="2257"/>
            <w:shd w:fill="F2F6FC" w:val="clear"/>
          </w:tcPr>
          <w:p>
            <w:r>
              <w:rPr>
                <w:rFonts w:ascii="Arial" w:hAnsi="Arial"/>
                <w:sz w:val="18"/>
              </w:rPr>
              <w:t>☐ Completed</w:t>
            </w:r>
          </w:p>
        </w:tc>
      </w:tr>
      <w:tr>
        <w:tc>
          <w:tcPr>
            <w:tcW w:type="dxa" w:w="2257"/>
          </w:tcPr>
          <w:p>
            <w:r>
              <w:rPr>
                <w:rFonts w:ascii="Arial" w:hAnsi="Arial"/>
                <w:sz w:val="18"/>
              </w:rPr>
              <w:t>Management Review</w:t>
            </w:r>
          </w:p>
        </w:tc>
        <w:tc>
          <w:tcPr>
            <w:tcW w:type="dxa" w:w="2257"/>
          </w:tcPr>
          <w:p>
            <w:r>
              <w:rPr>
                <w:rFonts w:ascii="Arial" w:hAnsi="Arial"/>
                <w:sz w:val="18"/>
              </w:rPr>
              <w:t>Chief Sustainability Officer</w:t>
            </w:r>
          </w:p>
        </w:tc>
        <w:tc>
          <w:tcPr>
            <w:tcW w:type="dxa" w:w="2257"/>
          </w:tcPr>
          <w:p>
            <w:r>
              <w:rPr>
                <w:rFonts w:ascii="Arial" w:hAnsi="Arial"/>
                <w:sz w:val="18"/>
              </w:rPr>
              <w:t>[DD/MM/2025]</w:t>
            </w:r>
          </w:p>
        </w:tc>
        <w:tc>
          <w:tcPr>
            <w:tcW w:type="dxa" w:w="2257"/>
          </w:tcPr>
          <w:p>
            <w:r>
              <w:rPr>
                <w:rFonts w:ascii="Arial" w:hAnsi="Arial"/>
                <w:sz w:val="18"/>
              </w:rPr>
              <w:t>☐ Completed</w:t>
            </w:r>
          </w:p>
        </w:tc>
      </w:tr>
      <w:tr>
        <w:tc>
          <w:tcPr>
            <w:tcW w:type="dxa" w:w="2257"/>
            <w:shd w:fill="F2F6FC" w:val="clear"/>
          </w:tcPr>
          <w:p>
            <w:r>
              <w:rPr>
                <w:rFonts w:ascii="Arial" w:hAnsi="Arial"/>
                <w:sz w:val="18"/>
              </w:rPr>
              <w:t>Board Approval</w:t>
            </w:r>
          </w:p>
        </w:tc>
        <w:tc>
          <w:tcPr>
            <w:tcW w:type="dxa" w:w="2257"/>
            <w:shd w:fill="F2F6FC" w:val="clear"/>
          </w:tcPr>
          <w:p>
            <w:r>
              <w:rPr>
                <w:rFonts w:ascii="Arial" w:hAnsi="Arial"/>
                <w:sz w:val="18"/>
              </w:rPr>
              <w:t>Board of Directors</w:t>
            </w:r>
          </w:p>
        </w:tc>
        <w:tc>
          <w:tcPr>
            <w:tcW w:type="dxa" w:w="2257"/>
            <w:shd w:fill="F2F6FC" w:val="clear"/>
          </w:tcPr>
          <w:p>
            <w:r>
              <w:rPr>
                <w:rFonts w:ascii="Arial" w:hAnsi="Arial"/>
                <w:sz w:val="18"/>
              </w:rPr>
              <w:t>[DD/MM/2025]</w:t>
            </w:r>
          </w:p>
        </w:tc>
        <w:tc>
          <w:tcPr>
            <w:tcW w:type="dxa" w:w="2257"/>
            <w:shd w:fill="F2F6FC" w:val="clear"/>
          </w:tcPr>
          <w:p>
            <w:r>
              <w:rPr>
                <w:rFonts w:ascii="Arial" w:hAnsi="Arial"/>
                <w:sz w:val="18"/>
              </w:rPr>
              <w:t>☐ Completed</w:t>
            </w:r>
          </w:p>
        </w:tc>
      </w:tr>
    </w:tbl>
    <w:p/>
    <w:p>
      <w:pPr>
        <w:pStyle w:val="Heading2"/>
        <w:keepNext/>
        <w:spacing w:before="360" w:after="160"/>
      </w:pPr>
      <w:r>
        <w:rPr>
          <w:rFonts w:ascii="Arial" w:hAnsi="Arial"/>
          <w:b/>
          <w:color w:val="3D6094"/>
          <w:sz w:val="28"/>
        </w:rPr>
        <w:t>Assurance Status</w:t>
      </w:r>
    </w:p>
    <w:p>
      <w:pPr>
        <w:spacing w:after="160" w:line="276" w:lineRule="auto"/>
      </w:pPr>
      <w:r>
        <w:t>This report has NOT been subject to external assurance. The institution recommends obtaining limited assurance for Scope 1, 2, and 3 emissions data in future reporting cycles (target: FY2025).</w:t>
      </w:r>
    </w:p>
    <w:p>
      <w:pPr>
        <w:pStyle w:val="Heading2"/>
        <w:keepNext/>
        <w:spacing w:before="360" w:after="160"/>
      </w:pPr>
      <w:r>
        <w:rPr>
          <w:rFonts w:ascii="Arial" w:hAnsi="Arial"/>
          <w:b/>
          <w:color w:val="3D6094"/>
          <w:sz w:val="28"/>
        </w:rPr>
        <w:t>Sign-off</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Role</w:t>
            </w:r>
          </w:p>
        </w:tc>
        <w:tc>
          <w:tcPr>
            <w:tcW w:type="dxa" w:w="2257"/>
            <w:shd w:fill="1B3A6B" w:val="clear"/>
          </w:tcPr>
          <w:p>
            <w:r>
              <w:rPr>
                <w:rFonts w:ascii="Arial" w:hAnsi="Arial"/>
                <w:b/>
                <w:color w:val="FFFFFF"/>
                <w:sz w:val="18"/>
              </w:rPr>
              <w:t>Name</w:t>
            </w:r>
          </w:p>
        </w:tc>
        <w:tc>
          <w:tcPr>
            <w:tcW w:type="dxa" w:w="2257"/>
            <w:shd w:fill="1B3A6B" w:val="clear"/>
          </w:tcPr>
          <w:p>
            <w:r>
              <w:rPr>
                <w:rFonts w:ascii="Arial" w:hAnsi="Arial"/>
                <w:b/>
                <w:color w:val="FFFFFF"/>
                <w:sz w:val="18"/>
              </w:rPr>
              <w:t>Signature</w:t>
            </w:r>
          </w:p>
        </w:tc>
        <w:tc>
          <w:tcPr>
            <w:tcW w:type="dxa" w:w="2257"/>
            <w:shd w:fill="1B3A6B" w:val="clear"/>
          </w:tcPr>
          <w:p>
            <w:r>
              <w:rPr>
                <w:rFonts w:ascii="Arial" w:hAnsi="Arial"/>
                <w:b/>
                <w:color w:val="FFFFFF"/>
                <w:sz w:val="18"/>
              </w:rPr>
              <w:t>Date</w:t>
            </w:r>
          </w:p>
        </w:tc>
      </w:tr>
      <w:tr>
        <w:tc>
          <w:tcPr>
            <w:tcW w:type="dxa" w:w="2257"/>
          </w:tcPr>
          <w:p>
            <w:r>
              <w:rPr>
                <w:rFonts w:ascii="Arial" w:hAnsi="Arial"/>
                <w:sz w:val="18"/>
              </w:rPr>
              <w:t>President Director / CEO</w:t>
            </w:r>
          </w:p>
        </w:tc>
        <w:tc>
          <w:tcPr>
            <w:tcW w:type="dxa" w:w="2257"/>
          </w:tcPr>
          <w:p>
            <w:r>
              <w:rPr>
                <w:rFonts w:ascii="Arial" w:hAnsi="Arial"/>
                <w:sz w:val="18"/>
              </w:rPr>
              <w:t>[Name]</w:t>
            </w:r>
          </w:p>
        </w:tc>
        <w:tc>
          <w:tcPr>
            <w:tcW w:type="dxa" w:w="2257"/>
          </w:tcPr>
          <w:p>
            <w:r>
              <w:rPr>
                <w:rFonts w:ascii="Arial" w:hAnsi="Arial"/>
                <w:sz w:val="18"/>
              </w:rPr>
              <w:t>[Signature]</w:t>
            </w:r>
          </w:p>
        </w:tc>
        <w:tc>
          <w:tcPr>
            <w:tcW w:type="dxa" w:w="2257"/>
          </w:tcPr>
          <w:p>
            <w:r>
              <w:rPr>
                <w:rFonts w:ascii="Arial" w:hAnsi="Arial"/>
                <w:sz w:val="18"/>
              </w:rPr>
              <w:t>[DD/MM/2025]</w:t>
            </w:r>
          </w:p>
        </w:tc>
      </w:tr>
      <w:tr>
        <w:tc>
          <w:tcPr>
            <w:tcW w:type="dxa" w:w="2257"/>
            <w:shd w:fill="F2F6FC" w:val="clear"/>
          </w:tcPr>
          <w:p>
            <w:r>
              <w:rPr>
                <w:rFonts w:ascii="Arial" w:hAnsi="Arial"/>
                <w:sz w:val="18"/>
              </w:rPr>
              <w:t>Chief Sustainability Officer</w:t>
            </w:r>
          </w:p>
        </w:tc>
        <w:tc>
          <w:tcPr>
            <w:tcW w:type="dxa" w:w="2257"/>
            <w:shd w:fill="F2F6FC" w:val="clear"/>
          </w:tcPr>
          <w:p>
            <w:r>
              <w:rPr>
                <w:rFonts w:ascii="Arial" w:hAnsi="Arial"/>
                <w:sz w:val="18"/>
              </w:rPr>
              <w:t>[Name]</w:t>
            </w:r>
          </w:p>
        </w:tc>
        <w:tc>
          <w:tcPr>
            <w:tcW w:type="dxa" w:w="2257"/>
            <w:shd w:fill="F2F6FC" w:val="clear"/>
          </w:tcPr>
          <w:p>
            <w:r>
              <w:rPr>
                <w:rFonts w:ascii="Arial" w:hAnsi="Arial"/>
                <w:sz w:val="18"/>
              </w:rPr>
              <w:t>[Signature]</w:t>
            </w:r>
          </w:p>
        </w:tc>
        <w:tc>
          <w:tcPr>
            <w:tcW w:type="dxa" w:w="2257"/>
            <w:shd w:fill="F2F6FC" w:val="clear"/>
          </w:tcPr>
          <w:p>
            <w:r>
              <w:rPr>
                <w:rFonts w:ascii="Arial" w:hAnsi="Arial"/>
                <w:sz w:val="18"/>
              </w:rPr>
              <w:t>[DD/MM/2025]</w:t>
            </w:r>
          </w:p>
        </w:tc>
      </w:tr>
      <w:tr>
        <w:tc>
          <w:tcPr>
            <w:tcW w:type="dxa" w:w="2257"/>
          </w:tcPr>
          <w:p>
            <w:r>
              <w:rPr>
                <w:rFonts w:ascii="Arial" w:hAnsi="Arial"/>
                <w:sz w:val="18"/>
              </w:rPr>
              <w:t>Head of Risk Management</w:t>
            </w:r>
          </w:p>
        </w:tc>
        <w:tc>
          <w:tcPr>
            <w:tcW w:type="dxa" w:w="2257"/>
          </w:tcPr>
          <w:p>
            <w:r>
              <w:rPr>
                <w:rFonts w:ascii="Arial" w:hAnsi="Arial"/>
                <w:sz w:val="18"/>
              </w:rPr>
              <w:t>[Name]</w:t>
            </w:r>
          </w:p>
        </w:tc>
        <w:tc>
          <w:tcPr>
            <w:tcW w:type="dxa" w:w="2257"/>
          </w:tcPr>
          <w:p>
            <w:r>
              <w:rPr>
                <w:rFonts w:ascii="Arial" w:hAnsi="Arial"/>
                <w:sz w:val="18"/>
              </w:rPr>
              <w:t>[Signature]</w:t>
            </w:r>
          </w:p>
        </w:tc>
        <w:tc>
          <w:tcPr>
            <w:tcW w:type="dxa" w:w="2257"/>
          </w:tcPr>
          <w:p>
            <w:r>
              <w:rPr>
                <w:rFonts w:ascii="Arial" w:hAnsi="Arial"/>
                <w:sz w:val="18"/>
              </w:rPr>
              <w:t>[DD/MM/2025]</w:t>
            </w:r>
          </w:p>
        </w:tc>
      </w:tr>
    </w:tbl>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MULTI_FRAMEWORK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arn:aws:states:us-east-1:061039769766:execution:ESGReportGenerationStateMachine:57f758e7-7fa5-4001-b38d-9f866e62bcf4</dc:description>
  <cp:lastModifiedBy/>
  <cp:revision>1</cp:revision>
  <dcterms:created xsi:type="dcterms:W3CDTF">2013-12-23T23:15:00Z</dcterms:created>
  <dcterms:modified xsi:type="dcterms:W3CDTF">2013-12-23T23:15:00Z</dcterms:modified>
  <cp:category>ESG Sustainability Report</cp:category>
</cp:coreProperties>
</file>