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single" w:color="4A9BD4" w:sz="20"/>
              <w:right w:val="none" w:color="FFFFFF" w:sz="0"/>
            </w:tcBorders>
            <w:shd w:fill="1A3A5C" w:val="clear"/>
          </w:tcPr>
          <w:p>
            <w:pPr>
              <w:spacing w:after="80" w:before="360"/>
            </w:pPr>
            <w:r>
              <w:rPr>
                <w:rFonts w:ascii="Arial" w:cs="Arial" w:eastAsia="Arial" w:hAnsi="Arial"/>
                <w:b/>
                <w:bCs/>
                <w:color w:val="FFFFFF"/>
                <w:sz w:val="44"/>
                <w:szCs w:val="44"/>
              </w:rPr>
              <w:t xml:space="preserve">AI-POWERED ESG &amp; SUSTAINABILITY REPORTING</w:t>
            </w:r>
          </w:p>
          <w:p>
            <w:pPr>
              <w:spacing w:after="120" w:before="40"/>
            </w:pPr>
            <w:r>
              <w:rPr>
                <w:rFonts w:ascii="Arial" w:cs="Arial" w:eastAsia="Arial" w:hAnsi="Arial"/>
                <w:i/>
                <w:iCs/>
                <w:color w:val="A8C4E0"/>
                <w:sz w:val="26"/>
                <w:szCs w:val="26"/>
              </w:rPr>
              <w:t xml:space="preserve">Best Practices, Architecture &amp; Governance</w:t>
            </w:r>
          </w:p>
          <w:p>
            <w:pPr>
              <w:spacing w:after="360" w:before="80"/>
            </w:pPr>
            <w:r>
              <w:rPr>
                <w:rFonts w:ascii="Arial" w:cs="Arial" w:eastAsia="Arial" w:hAnsi="Arial"/>
                <w:color w:val="C8DCF0"/>
                <w:sz w:val="20"/>
                <w:szCs w:val="20"/>
              </w:rPr>
              <w:t xml:space="preserve">A Technical Reference for ESG Practitioners and Cloud Solution Architects</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EEF4FF" w:val="clear"/>
          </w:tcPr>
          <w:p>
            <w:pPr>
              <w:spacing w:after="40" w:before="80"/>
            </w:pPr>
            <w:r>
              <w:rPr>
                <w:rFonts w:ascii="Arial" w:cs="Arial" w:eastAsia="Arial" w:hAnsi="Arial"/>
                <w:b/>
                <w:bCs/>
                <w:color w:val="2E5FA3"/>
                <w:sz w:val="18"/>
                <w:szCs w:val="18"/>
              </w:rPr>
              <w:t xml:space="preserve">Target Audience</w:t>
            </w:r>
          </w:p>
          <w:p>
            <w:pPr>
              <w:spacing w:after="80"/>
            </w:pPr>
            <w:r>
              <w:rPr>
                <w:rFonts w:ascii="Arial" w:cs="Arial" w:eastAsia="Arial" w:hAnsi="Arial"/>
                <w:color w:val="333333"/>
                <w:sz w:val="18"/>
                <w:szCs w:val="18"/>
              </w:rPr>
              <w:t xml:space="preserve">ESG Practitioners, Cloud Architects</w:t>
            </w:r>
          </w:p>
        </w:tc>
        <w:tc>
          <w:tcPr>
            <w:tcW w:type="dxa" w:w="3120"/>
            <w:tcBorders>
              <w:top w:val="none" w:color="FFFFFF" w:sz="0"/>
              <w:left w:val="none" w:color="FFFFFF" w:sz="0"/>
              <w:bottom w:val="none" w:color="FFFFFF" w:sz="0"/>
              <w:right w:val="none" w:color="FFFFFF" w:sz="0"/>
            </w:tcBorders>
            <w:shd w:fill="EEF4FF" w:val="clear"/>
          </w:tcPr>
          <w:p>
            <w:pPr>
              <w:spacing w:after="40" w:before="80"/>
            </w:pPr>
            <w:r>
              <w:rPr>
                <w:rFonts w:ascii="Arial" w:cs="Arial" w:eastAsia="Arial" w:hAnsi="Arial"/>
                <w:b/>
                <w:bCs/>
                <w:color w:val="2E5FA3"/>
                <w:sz w:val="18"/>
                <w:szCs w:val="18"/>
              </w:rPr>
              <w:t xml:space="preserve">Frameworks Covered</w:t>
            </w:r>
          </w:p>
          <w:p>
            <w:pPr>
              <w:spacing w:after="80"/>
            </w:pPr>
            <w:r>
              <w:rPr>
                <w:rFonts w:ascii="Arial" w:cs="Arial" w:eastAsia="Arial" w:hAnsi="Arial"/>
                <w:color w:val="333333"/>
                <w:sz w:val="18"/>
                <w:szCs w:val="18"/>
              </w:rPr>
              <w:t xml:space="preserve">GRI, IFRS S1/S2, CSRD/ESRS, OJK PSPK</w:t>
            </w:r>
          </w:p>
        </w:tc>
        <w:tc>
          <w:tcPr>
            <w:tcW w:type="dxa" w:w="3120"/>
            <w:tcBorders>
              <w:top w:val="none" w:color="FFFFFF" w:sz="0"/>
              <w:left w:val="none" w:color="FFFFFF" w:sz="0"/>
              <w:bottom w:val="none" w:color="FFFFFF" w:sz="0"/>
              <w:right w:val="none" w:color="FFFFFF" w:sz="0"/>
            </w:tcBorders>
            <w:shd w:fill="EEF4FF" w:val="clear"/>
          </w:tcPr>
          <w:p>
            <w:pPr>
              <w:spacing w:after="40" w:before="80"/>
            </w:pPr>
            <w:r>
              <w:rPr>
                <w:rFonts w:ascii="Arial" w:cs="Arial" w:eastAsia="Arial" w:hAnsi="Arial"/>
                <w:b/>
                <w:bCs/>
                <w:color w:val="2E5FA3"/>
                <w:sz w:val="18"/>
                <w:szCs w:val="18"/>
              </w:rPr>
              <w:t xml:space="preserve">Reference Period</w:t>
            </w:r>
          </w:p>
          <w:p>
            <w:pPr>
              <w:spacing w:after="80"/>
            </w:pPr>
            <w:r>
              <w:rPr>
                <w:rFonts w:ascii="Arial" w:cs="Arial" w:eastAsia="Arial" w:hAnsi="Arial"/>
                <w:color w:val="333333"/>
                <w:sz w:val="18"/>
                <w:szCs w:val="18"/>
              </w:rPr>
              <w:t xml:space="preserve">2025-2026 Implementations</w:t>
            </w:r>
          </w:p>
        </w:tc>
      </w:tr>
    </w:tbl>
    <w:p>
      <w:pPr>
        <w:spacing w:after="280"/>
      </w:pPr>
      <w:r>
        <w:t xml:space="preserve"/>
      </w:r>
    </w:p>
    <w:p>
      <w:pPr>
        <w:pStyle w:val="Heading1"/>
        <w:spacing w:after="200" w:before="440"/>
      </w:pPr>
      <w:r>
        <w:rPr>
          <w:rFonts w:ascii="Arial" w:cs="Arial" w:eastAsia="Arial" w:hAnsi="Arial"/>
          <w:b/>
          <w:bCs/>
          <w:color w:val="1A3A5C"/>
          <w:sz w:val="30"/>
          <w:szCs w:val="30"/>
        </w:rPr>
        <w:t xml:space="preserve">1. Executive Summary</w:t>
      </w:r>
    </w:p>
    <w:p>
      <w:pPr>
        <w:pStyle w:val="BT"/>
      </w:pPr>
      <w:r>
        <w:rPr>
          <w:rFonts w:ascii="Arial" w:cs="Arial" w:eastAsia="Arial" w:hAnsi="Arial"/>
          <w:sz w:val="22"/>
          <w:szCs w:val="22"/>
        </w:rPr>
        <w:t xml:space="preserve">AI-powered ESG reporting has transitioned from a competitive advantage to an operational necessity. Leading implementations demonstrate up to 75% reduction in reporting time and scenario modelling compressed from a full day to just 20 minutes. Realising these gains safely requires a specific architectural discipline: the strict separation of deterministic, code-executed calculations from generative AI narrative generation.</w:t>
      </w:r>
    </w:p>
    <w:p>
      <w:pPr>
        <w:pStyle w:val="BT"/>
      </w:pPr>
      <w:r>
        <w:rPr>
          <w:rFonts w:ascii="Arial" w:cs="Arial" w:eastAsia="Arial" w:hAnsi="Arial"/>
          <w:sz w:val="22"/>
          <w:szCs w:val="22"/>
        </w:rPr>
        <w:t xml:space="preserve">This document synthesises findings from two commissioned research reports to equip ESG practitioners and cloud solution architects with a comprehensive technical reference covering best-practice architecture patterns, multi-framework compliance strategies, governance guardrails, real-world case studies, and a phased implementation roadmap.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1A3A5C" w:sz="24"/>
              <w:bottom w:val="single" w:color="C5D5E8" w:sz="4"/>
              <w:right w:val="none" w:color="FFFFFF" w:sz="0"/>
            </w:tcBorders>
            <w:shd w:fill="E8F0FB" w:val="clear"/>
          </w:tcPr>
          <w:p>
            <w:pPr>
              <w:spacing w:after="80" w:before="60"/>
            </w:pPr>
            <w:r>
              <w:rPr>
                <w:rFonts w:ascii="Arial" w:cs="Arial" w:eastAsia="Arial" w:hAnsi="Arial"/>
                <w:color w:val="1A3A5C"/>
                <w:sz w:val="21"/>
                <w:szCs w:val="21"/>
              </w:rPr>
              <w:t xml:space="preserve">Key Performance Benchmarks from Production Implementations:</w:t>
            </w:r>
          </w:p>
          <w:p>
            <w:pPr>
              <w:spacing w:after="80" w:before="60"/>
            </w:pPr>
            <w:r>
              <w:rPr>
                <w:rFonts w:ascii="Arial" w:cs="Arial" w:eastAsia="Arial" w:hAnsi="Arial"/>
                <w:color w:val="1A3A5C"/>
                <w:sz w:val="21"/>
                <w:szCs w:val="21"/>
              </w:rPr>
              <w:t xml:space="preserve"/>
            </w:r>
          </w:p>
          <w:p>
            <w:pPr>
              <w:spacing w:after="80" w:before="60"/>
            </w:pPr>
            <w:r>
              <w:rPr>
                <w:rFonts w:ascii="Arial" w:cs="Arial" w:eastAsia="Arial" w:hAnsi="Arial"/>
                <w:color w:val="1A3A5C"/>
                <w:sz w:val="21"/>
                <w:szCs w:val="21"/>
              </w:rPr>
              <w:t xml:space="preserve">  Up to 75% reduction in ESG reporting time  (Gardenia Technologies / Amazon Bedrock)</w:t>
            </w:r>
          </w:p>
          <w:p>
            <w:pPr>
              <w:spacing w:after="80" w:before="60"/>
            </w:pPr>
            <w:r>
              <w:rPr>
                <w:rFonts w:ascii="Arial" w:cs="Arial" w:eastAsia="Arial" w:hAnsi="Arial"/>
                <w:color w:val="1A3A5C"/>
                <w:sz w:val="21"/>
                <w:szCs w:val="21"/>
              </w:rPr>
              <w:t xml:space="preserve">  Scenario simulation: from 1 full day to 20 minutes  (SAP Sustainability AI Agents)</w:t>
            </w:r>
          </w:p>
          <w:p>
            <w:pPr>
              <w:spacing w:after="80" w:before="60"/>
            </w:pPr>
            <w:r>
              <w:rPr>
                <w:rFonts w:ascii="Arial" w:cs="Arial" w:eastAsia="Arial" w:hAnsi="Arial"/>
                <w:color w:val="1A3A5C"/>
                <w:sz w:val="21"/>
                <w:szCs w:val="21"/>
              </w:rPr>
              <w:t xml:space="preserve">  Hallucination detection accuracy: up to 99%  (Bedrock Guardrails Automated Reasoning)</w:t>
            </w:r>
          </w:p>
          <w:p>
            <w:pPr>
              <w:spacing w:after="80" w:before="60"/>
            </w:pPr>
            <w:r>
              <w:rPr>
                <w:rFonts w:ascii="Arial" w:cs="Arial" w:eastAsia="Arial" w:hAnsi="Arial"/>
                <w:color w:val="1A3A5C"/>
                <w:sz w:val="21"/>
                <w:szCs w:val="21"/>
              </w:rPr>
              <w:t xml:space="preserve">  Hallucinated responses filtered: &gt;75%  in RAG and summarisation use cases</w:t>
            </w:r>
          </w:p>
          <w:p>
            <w:pPr>
              <w:spacing w:after="80" w:before="60"/>
            </w:pPr>
            <w:r>
              <w:rPr>
                <w:rFonts w:ascii="Arial" w:cs="Arial" w:eastAsia="Arial" w:hAnsi="Arial"/>
                <w:color w:val="1A3A5C"/>
                <w:sz w:val="21"/>
                <w:szCs w:val="21"/>
              </w:rPr>
              <w:t xml:space="preserve">  AI-driven cross-framework mapping: 300+ ESG indicators  (SG Analytics)</w:t>
            </w:r>
          </w:p>
          <w:p>
            <w:pPr>
              <w:spacing w:after="80" w:before="60"/>
            </w:pPr>
            <w:r>
              <w:rPr>
                <w:rFonts w:ascii="Arial" w:cs="Arial" w:eastAsia="Arial" w:hAnsi="Arial"/>
                <w:color w:val="1A3A5C"/>
                <w:sz w:val="21"/>
                <w:szCs w:val="21"/>
              </w:rPr>
              <w:t xml:space="preserve">  Manual compliance effort reduction: up to 80%  (Net0)</w:t>
            </w:r>
          </w:p>
          <w:p>
            <w:pPr>
              <w:spacing w:after="80" w:before="60"/>
            </w:pPr>
            <w:r>
              <w:rPr>
                <w:rFonts w:ascii="Arial" w:cs="Arial" w:eastAsia="Arial" w:hAnsi="Arial"/>
                <w:color w:val="1A3A5C"/>
                <w:sz w:val="21"/>
                <w:szCs w:val="21"/>
              </w:rPr>
              <w:t xml:space="preserve">  ESG software market CAGR: 22.6%  ($1.39B to $1.7B, 2025-2026)</w:t>
            </w:r>
          </w:p>
        </w:tc>
      </w:tr>
    </w:tbl>
    <w:p>
      <w:pPr>
        <w:spacing w:after="160"/>
      </w:pPr>
      <w:r>
        <w:t xml:space="preserve"/>
      </w:r>
    </w:p>
    <w:p>
      <w:pPr>
        <w:pStyle w:val="BT"/>
      </w:pPr>
      <w:r>
        <w:rPr>
          <w:rFonts w:ascii="Arial" w:cs="Arial" w:eastAsia="Arial" w:hAnsi="Arial"/>
          <w:sz w:val="22"/>
          <w:szCs w:val="22"/>
        </w:rPr>
        <w:t xml:space="preserve">The most consequential finding for practitioners is that hallucination risk and greenwashing exposure demand formal guardrails as foundational architecture components, not afterthoughts. EU penalties for misleading sustainability claims reach 10% of annual turnover in several jurisdictions, and the DWS EUR 25 million fine in April 2025 signals active regulatory enforcement. Only 38% of US companies have published AI policies despite 72% disclosing AI use, representing a critical governance gap.</w:t>
      </w:r>
    </w:p>
    <w:p>
      <w:pPr>
        <w:pStyle w:val="BT"/>
      </w:pPr>
      <w:r>
        <w:rPr>
          <w:rFonts w:ascii="Arial" w:cs="Arial" w:eastAsia="Arial" w:hAnsi="Arial"/>
          <w:sz w:val="22"/>
          <w:szCs w:val="22"/>
        </w:rPr>
        <w:t xml:space="preserve">For multi-framework compliance, ISSB-ESRS convergence enables collect-once architectures that map data to 300+ indicators across IFRS S1/S2, CSRD, GRI, and CDP simultaneously. The decisive trend for 2025-2026 is the shift toward continuous, dynamic reporting architectures capable of real-time data processing and on-demand generation, replacing static annual cycles.</w:t>
      </w:r>
    </w:p>
    <w:p>
      <w:pPr>
        <w:pStyle w:val="Heading1"/>
        <w:spacing w:after="200" w:before="440"/>
      </w:pPr>
      <w:r>
        <w:rPr>
          <w:rFonts w:ascii="Arial" w:cs="Arial" w:eastAsia="Arial" w:hAnsi="Arial"/>
          <w:b/>
          <w:bCs/>
          <w:color w:val="1A3A5C"/>
          <w:sz w:val="30"/>
          <w:szCs w:val="30"/>
        </w:rPr>
        <w:t xml:space="preserve">2. Problem Statement and Business Drivers</w:t>
      </w:r>
    </w:p>
    <w:p>
      <w:pPr>
        <w:pStyle w:val="BT"/>
      </w:pPr>
      <w:r>
        <w:rPr>
          <w:rFonts w:ascii="Arial" w:cs="Arial" w:eastAsia="Arial" w:hAnsi="Arial"/>
          <w:sz w:val="22"/>
          <w:szCs w:val="22"/>
        </w:rPr>
        <w:t xml:space="preserve">The convergence of tightening regulatory mandates and exponentially increasing disclosure complexity is driving organisations toward AI-powered sustainability reporting at unprecedented scale. The ESG reporting software market is projected to grow from $1.39 billion in 2025 to $1.7 billion in 2026 at a 22.6% CAGR, with mandatory disclosure mandates and transnational harmonisation identified as the primary growth drivers. Technavio projects further expansion to $3.47 billion by 2030.</w:t>
      </w:r>
    </w:p>
    <w:p>
      <w:pPr>
        <w:pStyle w:val="Heading2"/>
        <w:spacing w:after="120" w:before="280"/>
      </w:pPr>
      <w:r>
        <w:rPr>
          <w:rFonts w:ascii="Arial" w:cs="Arial" w:eastAsia="Arial" w:hAnsi="Arial"/>
          <w:b/>
          <w:bCs/>
          <w:color w:val="2E5FA3"/>
          <w:sz w:val="24"/>
          <w:szCs w:val="24"/>
        </w:rPr>
        <w:t xml:space="preserve">2.1 Regulatory Convergence and Compliance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Regulation / Standard</w:t>
            </w:r>
          </w:p>
        </w:tc>
        <w:tc>
          <w:tcPr>
            <w:tcW w:type="dxa" w:w="30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Key Deadline</w:t>
            </w:r>
          </w:p>
        </w:tc>
        <w:tc>
          <w:tcPr>
            <w:tcW w:type="dxa" w:w="276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Jurisdiction</w:t>
            </w:r>
          </w:p>
        </w:tc>
      </w:tr>
      <w:tr>
        <w:tc>
          <w:tcPr>
            <w:tcW w:type="dxa" w:w="36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CSRD / ESRS - Large NFRD companies</w:t>
            </w:r>
          </w:p>
        </w:tc>
        <w:tc>
          <w:tcPr>
            <w:tcW w:type="dxa" w:w="30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FY2024 reporting (from 2025)</w:t>
            </w:r>
          </w:p>
        </w:tc>
        <w:tc>
          <w:tcPr>
            <w:tcW w:type="dxa" w:w="27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European Union</w:t>
            </w:r>
          </w:p>
        </w:tc>
      </w:tr>
      <w:tr>
        <w:tc>
          <w:tcPr>
            <w:tcW w:type="dxa" w:w="36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CSRD / ESRS - Large non-listed companies</w:t>
            </w:r>
          </w:p>
        </w:tc>
        <w:tc>
          <w:tcPr>
            <w:tcW w:type="dxa" w:w="30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FY2025 reporting (from 2026)</w:t>
            </w:r>
          </w:p>
        </w:tc>
        <w:tc>
          <w:tcPr>
            <w:tcW w:type="dxa" w:w="27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European Union</w:t>
            </w:r>
          </w:p>
        </w:tc>
      </w:tr>
      <w:tr>
        <w:tc>
          <w:tcPr>
            <w:tcW w:type="dxa" w:w="36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CSRD / ESRS - Non-EU companies</w:t>
            </w:r>
          </w:p>
        </w:tc>
        <w:tc>
          <w:tcPr>
            <w:tcW w:type="dxa" w:w="30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FY2028 reporting (from 2029)</w:t>
            </w:r>
          </w:p>
        </w:tc>
        <w:tc>
          <w:tcPr>
            <w:tcW w:type="dxa" w:w="27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European Union</w:t>
            </w:r>
          </w:p>
        </w:tc>
      </w:tr>
      <w:tr>
        <w:tc>
          <w:tcPr>
            <w:tcW w:type="dxa" w:w="36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OJK PSPK 1 &amp; 2 (IFRS S1/S2-aligned)</w:t>
            </w:r>
          </w:p>
        </w:tc>
        <w:tc>
          <w:tcPr>
            <w:tcW w:type="dxa" w:w="30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Mandatory for large banks: 1 Jan 2027</w:t>
            </w:r>
          </w:p>
        </w:tc>
        <w:tc>
          <w:tcPr>
            <w:tcW w:type="dxa" w:w="27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Indonesia</w:t>
            </w:r>
          </w:p>
        </w:tc>
      </w:tr>
      <w:tr>
        <w:tc>
          <w:tcPr>
            <w:tcW w:type="dxa" w:w="36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ISSB IFRS S1 / S2</w:t>
            </w:r>
          </w:p>
        </w:tc>
        <w:tc>
          <w:tcPr>
            <w:tcW w:type="dxa" w:w="30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20+ jurisdictions adopted (Mar 2026)</w:t>
            </w:r>
          </w:p>
        </w:tc>
        <w:tc>
          <w:tcPr>
            <w:tcW w:type="dxa" w:w="27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Global</w:t>
            </w:r>
          </w:p>
        </w:tc>
      </w:tr>
      <w:tr>
        <w:tc>
          <w:tcPr>
            <w:tcW w:type="dxa" w:w="36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EU Green Transition Directive</w:t>
            </w:r>
          </w:p>
        </w:tc>
        <w:tc>
          <w:tcPr>
            <w:tcW w:type="dxa" w:w="30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Effective 27 September 2025</w:t>
            </w:r>
          </w:p>
        </w:tc>
        <w:tc>
          <w:tcPr>
            <w:tcW w:type="dxa" w:w="27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European Union</w:t>
            </w:r>
          </w:p>
        </w:tc>
      </w:tr>
    </w:tbl>
    <w:p>
      <w:pPr>
        <w:spacing w:after="200" w:before="60"/>
        <w:jc w:val="center"/>
      </w:pPr>
      <w:r>
        <w:rPr>
          <w:rFonts w:ascii="Arial" w:cs="Arial" w:eastAsia="Arial" w:hAnsi="Arial"/>
          <w:i/>
          <w:iCs/>
          <w:color w:val="666666"/>
          <w:sz w:val="18"/>
          <w:szCs w:val="18"/>
        </w:rPr>
        <w:t xml:space="preserve">Table 1: Key Regulatory Compliance Deadlines, 2025-2029</w:t>
      </w:r>
    </w:p>
    <w:p>
      <w:pPr>
        <w:spacing w:after="80"/>
      </w:pPr>
      <w:r>
        <w:t xml:space="preserve"/>
      </w:r>
    </w:p>
    <w:p>
      <w:pPr>
        <w:pStyle w:val="Heading2"/>
        <w:spacing w:after="120" w:before="280"/>
      </w:pPr>
      <w:r>
        <w:rPr>
          <w:rFonts w:ascii="Arial" w:cs="Arial" w:eastAsia="Arial" w:hAnsi="Arial"/>
          <w:b/>
          <w:bCs/>
          <w:color w:val="2E5FA3"/>
          <w:sz w:val="24"/>
          <w:szCs w:val="24"/>
        </w:rPr>
        <w:t xml:space="preserve">2.2 Data Complexity and Manual Reporting Limitations</w:t>
      </w:r>
    </w:p>
    <w:p>
      <w:pPr>
        <w:pStyle w:val="BT"/>
      </w:pPr>
      <w:r>
        <w:rPr>
          <w:rFonts w:ascii="Arial" w:cs="Arial" w:eastAsia="Arial" w:hAnsi="Arial"/>
          <w:sz w:val="22"/>
          <w:szCs w:val="22"/>
        </w:rPr>
        <w:t xml:space="preserve">Traditional manual ESG reporting processes face structural limitations that AI addresses directly. Manual data gathering typically consumes 60-80% of the reporting cycle effort. For financial institutions, financed emissions (Scope 3 Category 15) account for over 99% of total GHG inventory - financing-related emissions average 750 times greater than direct operational emissions. Calculating PCAF attribution factors across diverse asset classes such as palm oil, coal, and infrastructure lending requires handling hundreds of loans with varying data quality tiers, a task that is error-prone and prohibitively time-consuming when performed manually.</w:t>
      </w:r>
    </w:p>
    <w:p>
      <w:pPr>
        <w:pStyle w:val="Heading2"/>
        <w:spacing w:after="120" w:before="280"/>
      </w:pPr>
      <w:r>
        <w:rPr>
          <w:rFonts w:ascii="Arial" w:cs="Arial" w:eastAsia="Arial" w:hAnsi="Arial"/>
          <w:b/>
          <w:bCs/>
          <w:color w:val="2E5FA3"/>
          <w:sz w:val="24"/>
          <w:szCs w:val="24"/>
        </w:rPr>
        <w:t xml:space="preserve">2.3 Greenwashing Risk and Regulatory Penalties</w:t>
      </w:r>
    </w:p>
    <w:p>
      <w:pPr>
        <w:pStyle w:val="BT"/>
      </w:pPr>
      <w:r>
        <w:rPr>
          <w:rFonts w:ascii="Arial" w:cs="Arial" w:eastAsia="Arial" w:hAnsi="Arial"/>
          <w:sz w:val="22"/>
          <w:szCs w:val="22"/>
        </w:rPr>
        <w:t xml:space="preserve">The regulatory environment for sustainability claims has grown significantly more punitive. Under the EU Empowering Consumers for the Green Transition Directive (effective 27 September 2025), organisations face fines of up to 4% of annual gross income, with penalties reaching 10% of annual turnover in several jurisdictions, plus personal liability for individual managers. In April 2025, German asset manager DWS was fined EUR 25 million for misleading statements about ESG integration, signalling active enforcement.</w:t>
      </w:r>
    </w:p>
    <w:p>
      <w:pPr>
        <w:pStyle w:val="Heading2"/>
        <w:spacing w:after="120" w:before="280"/>
      </w:pPr>
      <w:r>
        <w:rPr>
          <w:rFonts w:ascii="Arial" w:cs="Arial" w:eastAsia="Arial" w:hAnsi="Arial"/>
          <w:b/>
          <w:bCs/>
          <w:color w:val="2E5FA3"/>
          <w:sz w:val="24"/>
          <w:szCs w:val="24"/>
        </w:rPr>
        <w:t xml:space="preserve">2.4 The AI Governance Gap</w:t>
      </w:r>
    </w:p>
    <w:p>
      <w:pPr>
        <w:pStyle w:val="BT"/>
      </w:pPr>
      <w:r>
        <w:rPr>
          <w:rFonts w:ascii="Arial" w:cs="Arial" w:eastAsia="Arial" w:hAnsi="Arial"/>
          <w:sz w:val="22"/>
          <w:szCs w:val="22"/>
        </w:rPr>
        <w:t xml:space="preserve">A striking disconnect exists between AI adoption and AI governance in ESG contexts. AI disclosure among S&amp;P 500 companies jumped to 72% in 2025 from 12% in 2023, yet only 38% of US companies have published AI policies. Fabricated references in professional literature grew more than 12-fold since 2023. Organisations deploying AI for sustainability reporting without formal governance frameworks risk introducing new material liabilities while attempting to manage existing ones.</w:t>
      </w:r>
    </w:p>
    <w:p>
      <w:pPr>
        <w:pStyle w:val="Heading1"/>
        <w:spacing w:after="200" w:before="440"/>
      </w:pPr>
      <w:r>
        <w:rPr>
          <w:rFonts w:ascii="Arial" w:cs="Arial" w:eastAsia="Arial" w:hAnsi="Arial"/>
          <w:b/>
          <w:bCs/>
          <w:color w:val="1A3A5C"/>
          <w:sz w:val="30"/>
          <w:szCs w:val="30"/>
        </w:rPr>
        <w:t xml:space="preserve">3. Architecture Principles</w:t>
      </w:r>
    </w:p>
    <w:p>
      <w:pPr>
        <w:pStyle w:val="BT"/>
      </w:pPr>
      <w:r>
        <w:rPr>
          <w:rFonts w:ascii="Arial" w:cs="Arial" w:eastAsia="Arial" w:hAnsi="Arial"/>
          <w:sz w:val="22"/>
          <w:szCs w:val="22"/>
        </w:rPr>
        <w:t xml:space="preserve">Before examining specific components, five foundational principles should guide the design of any AI-powered ESG reporting platform. These emerge consistently from production implementations and the regulatory requirements governing sustainability disclosures.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6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Principle</w:t>
            </w:r>
          </w:p>
        </w:tc>
        <w:tc>
          <w:tcPr>
            <w:tcW w:type="dxa" w:w="72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Description and Rationale</w:t>
            </w:r>
          </w:p>
        </w:tc>
      </w:tr>
      <w:tr>
        <w:tc>
          <w:tcPr>
            <w:tcW w:type="dxa" w:w="2160"/>
            <w:tcBorders>
              <w:top w:val="single" w:color="C5D5E8" w:sz="4"/>
              <w:left w:val="single" w:color="C5D5E8" w:sz="4"/>
              <w:bottom w:val="single" w:color="C5D5E8" w:sz="4"/>
              <w:right w:val="single" w:color="C5D5E8" w:sz="4"/>
            </w:tcBorders>
            <w:shd w:fill="EEF4FF" w:val="clear"/>
            <w:vAlign w:val="center"/>
          </w:tcPr>
          <w:p>
            <w:pPr>
              <w:spacing w:after="80" w:before="80"/>
              <w:jc w:val="left"/>
            </w:pPr>
            <w:r>
              <w:rPr>
                <w:rFonts w:ascii="Arial" w:cs="Arial" w:eastAsia="Arial" w:hAnsi="Arial"/>
                <w:b/>
                <w:bCs/>
                <w:color w:val="111111"/>
                <w:sz w:val="20"/>
                <w:szCs w:val="20"/>
              </w:rPr>
              <w:t xml:space="preserve">P1</w:t>
            </w:r>
          </w:p>
        </w:tc>
        <w:tc>
          <w:tcPr>
            <w:tcW w:type="dxa" w:w="7200"/>
            <w:tcBorders>
              <w:top w:val="single" w:color="C5D5E8" w:sz="4"/>
              <w:left w:val="single" w:color="C5D5E8" w:sz="4"/>
              <w:bottom w:val="single" w:color="C5D5E8" w:sz="4"/>
              <w:right w:val="single" w:color="C5D5E8" w:sz="4"/>
            </w:tcBorders>
            <w:shd w:fill="EEF4FF" w:val="clear"/>
            <w:vAlign w:val="center"/>
          </w:tcPr>
          <w:p>
            <w:pPr>
              <w:spacing w:after="80" w:before="80"/>
              <w:jc w:val="left"/>
            </w:pPr>
            <w:r>
              <w:rPr>
                <w:rFonts w:ascii="Arial" w:cs="Arial" w:eastAsia="Arial" w:hAnsi="Arial"/>
                <w:b w:val="false"/>
                <w:bCs w:val="false"/>
                <w:color w:val="111111"/>
                <w:sz w:val="20"/>
                <w:szCs w:val="20"/>
              </w:rPr>
              <w:t xml:space="preserve">Separate deterministic calculations from generative AI. GHG figures, attribution factors, and all numerical claims must be computed via code execution (ETL pipelines, SQL, sandboxed Python) - never generated by LLMs. This ensures reproducibility and auditability under assurance requirements.</w:t>
            </w:r>
          </w:p>
        </w:tc>
      </w:tr>
      <w:tr>
        <w:tc>
          <w:tcPr>
            <w:tcW w:type="dxa" w:w="21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P2</w:t>
            </w:r>
          </w:p>
        </w:tc>
        <w:tc>
          <w:tcPr>
            <w:tcW w:type="dxa" w:w="72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Collect-once, comply-many. Design data collection to serve multiple frameworks simultaneously. The IFRS-EFRAG interoperability guidance (May 2024) and ISSB-ESRS alignment make this achievable for 300+ indicators across GRI, IFRS S1/S2, CSRD/ESRS, and CDP.</w:t>
            </w:r>
          </w:p>
        </w:tc>
      </w:tr>
      <w:tr>
        <w:tc>
          <w:tcPr>
            <w:tcW w:type="dxa" w:w="2160"/>
            <w:tcBorders>
              <w:top w:val="single" w:color="C5D5E8" w:sz="4"/>
              <w:left w:val="single" w:color="C5D5E8" w:sz="4"/>
              <w:bottom w:val="single" w:color="C5D5E8" w:sz="4"/>
              <w:right w:val="single" w:color="C5D5E8" w:sz="4"/>
            </w:tcBorders>
            <w:shd w:fill="EEF4FF" w:val="clear"/>
            <w:vAlign w:val="center"/>
          </w:tcPr>
          <w:p>
            <w:pPr>
              <w:spacing w:after="80" w:before="80"/>
              <w:jc w:val="left"/>
            </w:pPr>
            <w:r>
              <w:rPr>
                <w:rFonts w:ascii="Arial" w:cs="Arial" w:eastAsia="Arial" w:hAnsi="Arial"/>
                <w:b/>
                <w:bCs/>
                <w:color w:val="111111"/>
                <w:sz w:val="20"/>
                <w:szCs w:val="20"/>
              </w:rPr>
              <w:t xml:space="preserve">P3</w:t>
            </w:r>
          </w:p>
        </w:tc>
        <w:tc>
          <w:tcPr>
            <w:tcW w:type="dxa" w:w="7200"/>
            <w:tcBorders>
              <w:top w:val="single" w:color="C5D5E8" w:sz="4"/>
              <w:left w:val="single" w:color="C5D5E8" w:sz="4"/>
              <w:bottom w:val="single" w:color="C5D5E8" w:sz="4"/>
              <w:right w:val="single" w:color="C5D5E8" w:sz="4"/>
            </w:tcBorders>
            <w:shd w:fill="EEF4FF" w:val="clear"/>
            <w:vAlign w:val="center"/>
          </w:tcPr>
          <w:p>
            <w:pPr>
              <w:spacing w:after="80" w:before="80"/>
              <w:jc w:val="left"/>
            </w:pPr>
            <w:r>
              <w:rPr>
                <w:rFonts w:ascii="Arial" w:cs="Arial" w:eastAsia="Arial" w:hAnsi="Arial"/>
                <w:b w:val="false"/>
                <w:bCs w:val="false"/>
                <w:color w:val="111111"/>
                <w:sz w:val="20"/>
                <w:szCs w:val="20"/>
              </w:rPr>
              <w:t xml:space="preserve">Human-in-the-loop at critical decision points. AI dramatically accelerates workflows, but human oversight remains essential for materiality assessments, framework-specific interpretations, and final report approval before publication.</w:t>
            </w:r>
          </w:p>
        </w:tc>
      </w:tr>
      <w:tr>
        <w:tc>
          <w:tcPr>
            <w:tcW w:type="dxa" w:w="21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P4</w:t>
            </w:r>
          </w:p>
        </w:tc>
        <w:tc>
          <w:tcPr>
            <w:tcW w:type="dxa" w:w="72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Immutable audit trail as a first-class requirement. Every AI invocation, data retrieval, calculation, and narrative generation step must be logged immutably with cryptographic hash validation. This is what assurance providers require to validate AI-generated sustainability disclosures.</w:t>
            </w:r>
          </w:p>
        </w:tc>
      </w:tr>
      <w:tr>
        <w:tc>
          <w:tcPr>
            <w:tcW w:type="dxa" w:w="2160"/>
            <w:tcBorders>
              <w:top w:val="single" w:color="C5D5E8" w:sz="4"/>
              <w:left w:val="single" w:color="C5D5E8" w:sz="4"/>
              <w:bottom w:val="single" w:color="C5D5E8" w:sz="4"/>
              <w:right w:val="single" w:color="C5D5E8" w:sz="4"/>
            </w:tcBorders>
            <w:shd w:fill="EEF4FF" w:val="clear"/>
            <w:vAlign w:val="center"/>
          </w:tcPr>
          <w:p>
            <w:pPr>
              <w:spacing w:after="80" w:before="80"/>
              <w:jc w:val="left"/>
            </w:pPr>
            <w:r>
              <w:rPr>
                <w:rFonts w:ascii="Arial" w:cs="Arial" w:eastAsia="Arial" w:hAnsi="Arial"/>
                <w:b/>
                <w:bCs/>
                <w:color w:val="111111"/>
                <w:sz w:val="20"/>
                <w:szCs w:val="20"/>
              </w:rPr>
              <w:t xml:space="preserve">P5</w:t>
            </w:r>
          </w:p>
        </w:tc>
        <w:tc>
          <w:tcPr>
            <w:tcW w:type="dxa" w:w="7200"/>
            <w:tcBorders>
              <w:top w:val="single" w:color="C5D5E8" w:sz="4"/>
              <w:left w:val="single" w:color="C5D5E8" w:sz="4"/>
              <w:bottom w:val="single" w:color="C5D5E8" w:sz="4"/>
              <w:right w:val="single" w:color="C5D5E8" w:sz="4"/>
            </w:tcBorders>
            <w:shd w:fill="EEF4FF" w:val="clear"/>
            <w:vAlign w:val="center"/>
          </w:tcPr>
          <w:p>
            <w:pPr>
              <w:spacing w:after="80" w:before="80"/>
              <w:jc w:val="left"/>
            </w:pPr>
            <w:r>
              <w:rPr>
                <w:rFonts w:ascii="Arial" w:cs="Arial" w:eastAsia="Arial" w:hAnsi="Arial"/>
                <w:b w:val="false"/>
                <w:bCs w:val="false"/>
                <w:color w:val="111111"/>
                <w:sz w:val="20"/>
                <w:szCs w:val="20"/>
              </w:rPr>
              <w:t xml:space="preserve">Governance guardrails as foundation, not afterthought. Automated reasoning checks, content filters, and policy controls must be embedded in the initial architecture. Given greenwashing penalties of up to 10% of annual turnover, retrofitting guardrails after deployment is not an acceptable risk posture.</w:t>
            </w:r>
          </w:p>
        </w:tc>
      </w:tr>
    </w:tbl>
    <w:p>
      <w:pPr>
        <w:spacing w:after="200" w:before="60"/>
        <w:jc w:val="center"/>
      </w:pPr>
      <w:r>
        <w:rPr>
          <w:rFonts w:ascii="Arial" w:cs="Arial" w:eastAsia="Arial" w:hAnsi="Arial"/>
          <w:i/>
          <w:iCs/>
          <w:color w:val="666666"/>
          <w:sz w:val="18"/>
          <w:szCs w:val="18"/>
        </w:rPr>
        <w:t xml:space="preserve">Table 2: Five Foundational Architecture Principles for AI-Powered ESG Reporting</w:t>
      </w:r>
    </w:p>
    <w:p>
      <w:pPr>
        <w:spacing w:after="80"/>
      </w:pPr>
      <w:r>
        <w:t xml:space="preserve"/>
      </w:r>
    </w:p>
    <w:p>
      <w:pPr>
        <w:pStyle w:val="Heading1"/>
        <w:spacing w:after="200" w:before="440"/>
      </w:pPr>
      <w:r>
        <w:rPr>
          <w:rFonts w:ascii="Arial" w:cs="Arial" w:eastAsia="Arial" w:hAnsi="Arial"/>
          <w:b/>
          <w:bCs/>
          <w:color w:val="1A3A5C"/>
          <w:sz w:val="30"/>
          <w:szCs w:val="30"/>
        </w:rPr>
        <w:t xml:space="preserve">4. Solution Architecture Overview</w:t>
      </w:r>
    </w:p>
    <w:p>
      <w:pPr>
        <w:pStyle w:val="BT"/>
      </w:pPr>
      <w:r>
        <w:rPr>
          <w:rFonts w:ascii="Arial" w:cs="Arial" w:eastAsia="Arial" w:hAnsi="Arial"/>
          <w:sz w:val="22"/>
          <w:szCs w:val="22"/>
        </w:rPr>
        <w:t xml:space="preserve">The best-practice pattern for AI-powered ESG reporting follows a five-layer reference architecture that separates concerns across data ingestion, processing, AI-powered generation, output delivery, and governance. Each layer maps to specific AWS services and design choices validated in production implementations.</w:t>
      </w:r>
    </w:p>
    <w:p>
      <w:pPr>
        <w:pStyle w:val="Heading2"/>
        <w:spacing w:after="120" w:before="280"/>
      </w:pPr>
      <w:r>
        <w:rPr>
          <w:rFonts w:ascii="Arial" w:cs="Arial" w:eastAsia="Arial" w:hAnsi="Arial"/>
          <w:b/>
          <w:bCs/>
          <w:color w:val="2E5FA3"/>
          <w:sz w:val="24"/>
          <w:szCs w:val="24"/>
        </w:rPr>
        <w:t xml:space="preserve">4.1 Five-Layer Reference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C5D5E8" w:sz="4"/>
              <w:bottom w:val="single" w:color="C5D5E8" w:sz="4"/>
              <w:right w:val="single" w:color="C5D5E8" w:sz="4"/>
            </w:tcBorders>
            <w:shd w:fill="F2F6FC" w:val="clear"/>
          </w:tcPr>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LAYER 5: GOVERNANCE &amp; OBSERVABILITY                             |</w:t>
            </w:r>
          </w:p>
          <w:p>
            <w:pPr>
              <w:spacing w:after="40"/>
            </w:pPr>
            <w:r>
              <w:rPr>
                <w:rFonts w:ascii="Courier New" w:cs="Courier New" w:eastAsia="Courier New" w:hAnsi="Courier New"/>
                <w:color w:val="1A3A5C"/>
                <w:sz w:val="18"/>
                <w:szCs w:val="18"/>
              </w:rPr>
              <w:t xml:space="preserve">  |  AWS CloudTrail (Immutable Audit Log + Cryptographic Hash)       |</w:t>
            </w:r>
          </w:p>
          <w:p>
            <w:pPr>
              <w:spacing w:after="40"/>
            </w:pPr>
            <w:r>
              <w:rPr>
                <w:rFonts w:ascii="Courier New" w:cs="Courier New" w:eastAsia="Courier New" w:hAnsi="Courier New"/>
                <w:color w:val="1A3A5C"/>
                <w:sz w:val="18"/>
                <w:szCs w:val="18"/>
              </w:rPr>
              <w:t xml:space="preserve">  |  Bedrock Guardrails Automated Reasoning (99% accuracy)           |</w:t>
            </w:r>
          </w:p>
          <w:p>
            <w:pPr>
              <w:spacing w:after="40"/>
            </w:pPr>
            <w:r>
              <w:rPr>
                <w:rFonts w:ascii="Courier New" w:cs="Courier New" w:eastAsia="Courier New" w:hAnsi="Courier New"/>
                <w:color w:val="1A3A5C"/>
                <w:sz w:val="18"/>
                <w:szCs w:val="18"/>
              </w:rPr>
              <w:t xml:space="preserve">  |  AgentCore Policy (Cedar) | IAM / Identity | Human Review Gate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wraps all layers below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LAYER 4: OUTPUT &amp; DELIVERY                                      |</w:t>
            </w:r>
          </w:p>
          <w:p>
            <w:pPr>
              <w:spacing w:after="40"/>
            </w:pPr>
            <w:r>
              <w:rPr>
                <w:rFonts w:ascii="Courier New" w:cs="Courier New" w:eastAsia="Courier New" w:hAnsi="Courier New"/>
                <w:color w:val="1A3A5C"/>
                <w:sz w:val="18"/>
                <w:szCs w:val="18"/>
              </w:rPr>
              <w:t xml:space="preserve">  |  Word / PDF Report Generation                                    |</w:t>
            </w:r>
          </w:p>
          <w:p>
            <w:pPr>
              <w:spacing w:after="40"/>
            </w:pPr>
            <w:r>
              <w:rPr>
                <w:rFonts w:ascii="Courier New" w:cs="Courier New" w:eastAsia="Courier New" w:hAnsi="Courier New"/>
                <w:color w:val="1A3A5C"/>
                <w:sz w:val="18"/>
                <w:szCs w:val="18"/>
              </w:rPr>
              <w:t xml:space="preserve">  |  Compliance Dashboard (framework coverage, regulatory timeline)  |</w:t>
            </w:r>
          </w:p>
          <w:p>
            <w:pPr>
              <w:spacing w:after="40"/>
            </w:pPr>
            <w:r>
              <w:rPr>
                <w:rFonts w:ascii="Courier New" w:cs="Courier New" w:eastAsia="Courier New" w:hAnsi="Courier New"/>
                <w:color w:val="1A3A5C"/>
                <w:sz w:val="18"/>
                <w:szCs w:val="18"/>
              </w:rPr>
              <w:t xml:space="preserve">  |  ESG Scoring Engine | Multi-Framework Export (GRI, CDP, TCFD)    |</w:t>
            </w:r>
          </w:p>
          <w:p>
            <w:pPr>
              <w:spacing w:after="40"/>
            </w:pPr>
            <w:r>
              <w:rPr>
                <w:rFonts w:ascii="Courier New" w:cs="Courier New" w:eastAsia="Courier New" w:hAnsi="Courier New"/>
                <w:color w:val="1A3A5C"/>
                <w:sz w:val="18"/>
                <w:szCs w:val="18"/>
              </w:rPr>
              <w:t xml:space="preserve">  |  Amazon QuickSight (Dashboards, ML Insights, BI Stories)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LAYER 3: AI REPORT GENERATION ENGINE                            |</w:t>
            </w:r>
          </w:p>
          <w:p>
            <w:pPr>
              <w:spacing w:after="40"/>
            </w:pPr>
            <w:r>
              <w:rPr>
                <w:rFonts w:ascii="Courier New" w:cs="Courier New" w:eastAsia="Courier New" w:hAnsi="Courier New"/>
                <w:color w:val="1A3A5C"/>
                <w:sz w:val="18"/>
                <w:szCs w:val="18"/>
              </w:rPr>
              <w:t xml:space="preserve">  |  Amazon Bedrock Knowledge Bases (RAG over regulatory docs)       |</w:t>
            </w:r>
          </w:p>
          <w:p>
            <w:pPr>
              <w:spacing w:after="40"/>
            </w:pPr>
            <w:r>
              <w:rPr>
                <w:rFonts w:ascii="Courier New" w:cs="Courier New" w:eastAsia="Courier New" w:hAnsi="Courier New"/>
                <w:color w:val="1A3A5C"/>
                <w:sz w:val="18"/>
                <w:szCs w:val="18"/>
              </w:rPr>
              <w:t xml:space="preserve">  |  Claude on Amazon Bedrock (Narrative Generation)                 |</w:t>
            </w:r>
          </w:p>
          <w:p>
            <w:pPr>
              <w:spacing w:after="40"/>
            </w:pPr>
            <w:r>
              <w:rPr>
                <w:rFonts w:ascii="Courier New" w:cs="Courier New" w:eastAsia="Courier New" w:hAnsi="Courier New"/>
                <w:color w:val="1A3A5C"/>
                <w:sz w:val="18"/>
                <w:szCs w:val="18"/>
              </w:rPr>
              <w:t xml:space="preserve">  |  AWS Step Functions (up to 40x parallel InvokeModel via Map)     |</w:t>
            </w:r>
          </w:p>
          <w:p>
            <w:pPr>
              <w:spacing w:after="40"/>
            </w:pPr>
            <w:r>
              <w:rPr>
                <w:rFonts w:ascii="Courier New" w:cs="Courier New" w:eastAsia="Courier New" w:hAnsi="Courier New"/>
                <w:color w:val="1A3A5C"/>
                <w:sz w:val="18"/>
                <w:szCs w:val="18"/>
              </w:rPr>
              <w:t xml:space="preserve">  |  Bedrock AgentCore Runtime (Orchestration, Session Isolation)    |</w:t>
            </w:r>
          </w:p>
          <w:p>
            <w:pPr>
              <w:spacing w:after="40"/>
            </w:pPr>
            <w:r>
              <w:rPr>
                <w:rFonts w:ascii="Courier New" w:cs="Courier New" w:eastAsia="Courier New" w:hAnsi="Courier New"/>
                <w:color w:val="1A3A5C"/>
                <w:sz w:val="18"/>
                <w:szCs w:val="18"/>
              </w:rPr>
              <w:t xml:space="preserve">  |  AgentCore Code Interpreter (Sandboxed Python / GHG Calc)        |</w:t>
            </w:r>
          </w:p>
          <w:p>
            <w:pPr>
              <w:spacing w:after="40"/>
            </w:pPr>
            <w:r>
              <w:rPr>
                <w:rFonts w:ascii="Courier New" w:cs="Courier New" w:eastAsia="Courier New" w:hAnsi="Courier New"/>
                <w:color w:val="1A3A5C"/>
                <w:sz w:val="18"/>
                <w:szCs w:val="18"/>
              </w:rPr>
              <w:t xml:space="preserve">  |  AgentCore Memory (Short-term + Long-term / YoY baseline)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LAYER 2: DATA LAKE &amp; PROCESSING                                 |</w:t>
            </w:r>
          </w:p>
          <w:p>
            <w:pPr>
              <w:spacing w:after="40"/>
            </w:pPr>
            <w:r>
              <w:rPr>
                <w:rFonts w:ascii="Courier New" w:cs="Courier New" w:eastAsia="Courier New" w:hAnsi="Courier New"/>
                <w:color w:val="1A3A5C"/>
                <w:sz w:val="18"/>
                <w:szCs w:val="18"/>
              </w:rPr>
              <w:t xml:space="preserve">  |  Amazon S3: [Raw Zone] -&gt; [Curated Zone] -&gt; [Aggregated Zone]    |</w:t>
            </w:r>
          </w:p>
          <w:p>
            <w:pPr>
              <w:spacing w:after="40"/>
            </w:pPr>
            <w:r>
              <w:rPr>
                <w:rFonts w:ascii="Courier New" w:cs="Courier New" w:eastAsia="Courier New" w:hAnsi="Courier New"/>
                <w:color w:val="1A3A5C"/>
                <w:sz w:val="18"/>
                <w:szCs w:val="18"/>
              </w:rPr>
              <w:t xml:space="preserve">  |  AWS Glue PySpark ETL (normalise, deduplicate, convert to MTCO2e)|</w:t>
            </w:r>
          </w:p>
          <w:p>
            <w:pPr>
              <w:spacing w:after="40"/>
            </w:pPr>
            <w:r>
              <w:rPr>
                <w:rFonts w:ascii="Courier New" w:cs="Courier New" w:eastAsia="Courier New" w:hAnsi="Courier New"/>
                <w:color w:val="1A3A5C"/>
                <w:sz w:val="18"/>
                <w:szCs w:val="18"/>
              </w:rPr>
              <w:t xml:space="preserve">  |  Amazon Athena SQL (deterministic GHG calculations, PCAF)        |</w:t>
            </w:r>
          </w:p>
          <w:p>
            <w:pPr>
              <w:spacing w:after="40"/>
            </w:pPr>
            <w:r>
              <w:rPr>
                <w:rFonts w:ascii="Courier New" w:cs="Courier New" w:eastAsia="Courier New" w:hAnsi="Courier New"/>
                <w:color w:val="1A3A5C"/>
                <w:sz w:val="18"/>
                <w:szCs w:val="18"/>
              </w:rPr>
              <w:t xml:space="preserve">  |  OpenSearch Serverless  OR  Aurora PostgreSQL pgvector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LAYER 1: DATA SOURCES &amp; INGESTION                               |</w:t>
            </w:r>
          </w:p>
          <w:p>
            <w:pPr>
              <w:spacing w:after="40"/>
            </w:pPr>
            <w:r>
              <w:rPr>
                <w:rFonts w:ascii="Courier New" w:cs="Courier New" w:eastAsia="Courier New" w:hAnsi="Courier New"/>
                <w:color w:val="1A3A5C"/>
                <w:sz w:val="18"/>
                <w:szCs w:val="18"/>
              </w:rPr>
              <w:t xml:space="preserve">  |  Core Banking | HR Systems | ERP (SAP OData) | IoT / Meters      |</w:t>
            </w:r>
          </w:p>
          <w:p>
            <w:pPr>
              <w:spacing w:after="40"/>
            </w:pPr>
            <w:r>
              <w:rPr>
                <w:rFonts w:ascii="Courier New" w:cs="Courier New" w:eastAsia="Courier New" w:hAnsi="Courier New"/>
                <w:color w:val="1A3A5C"/>
                <w:sz w:val="18"/>
                <w:szCs w:val="18"/>
              </w:rPr>
              <w:t xml:space="preserve">  |  AWS CloudWatch Metrics | Supply Chain APIs | Utility Bills       |</w:t>
            </w:r>
          </w:p>
          <w:p>
            <w:pPr>
              <w:spacing w:after="40"/>
            </w:pPr>
            <w:r>
              <w:rPr>
                <w:rFonts w:ascii="Courier New" w:cs="Courier New" w:eastAsia="Courier New" w:hAnsi="Courier New"/>
                <w:color w:val="1A3A5C"/>
                <w:sz w:val="18"/>
                <w:szCs w:val="18"/>
              </w:rPr>
              <w:t xml:space="preserve">  |  AWS Transfer Family (SFTP) | AppFlow | EventBridge | Firehose   |</w:t>
            </w:r>
          </w:p>
          <w:p>
            <w:pPr>
              <w:spacing w:after="40"/>
            </w:pPr>
            <w:r>
              <w:rPr>
                <w:rFonts w:ascii="Courier New" w:cs="Courier New" w:eastAsia="Courier New" w:hAnsi="Courier New"/>
                <w:color w:val="1A3A5C"/>
                <w:sz w:val="18"/>
                <w:szCs w:val="18"/>
              </w:rPr>
              <w:t xml:space="preserve">  +------------------------------------------------------------------+</w:t>
            </w:r>
          </w:p>
        </w:tc>
      </w:tr>
    </w:tbl>
    <w:p>
      <w:pPr>
        <w:spacing w:after="200" w:before="60"/>
        <w:jc w:val="center"/>
      </w:pPr>
      <w:r>
        <w:rPr>
          <w:rFonts w:ascii="Arial" w:cs="Arial" w:eastAsia="Arial" w:hAnsi="Arial"/>
          <w:i/>
          <w:iCs/>
          <w:color w:val="666666"/>
          <w:sz w:val="18"/>
          <w:szCs w:val="18"/>
        </w:rPr>
        <w:t xml:space="preserve">Figure 1: Five-Layer Reference Architecture for AI-Powered ESG Reporting (AWS-Native)</w:t>
      </w:r>
    </w:p>
    <w:p>
      <w:pPr>
        <w:spacing w:after="120"/>
      </w:pPr>
      <w:r>
        <w:t xml:space="preserve"/>
      </w:r>
    </w:p>
    <w:p>
      <w:pPr>
        <w:pStyle w:val="Heading2"/>
        <w:spacing w:after="120" w:before="280"/>
      </w:pPr>
      <w:r>
        <w:rPr>
          <w:rFonts w:ascii="Arial" w:cs="Arial" w:eastAsia="Arial" w:hAnsi="Arial"/>
          <w:b/>
          <w:bCs/>
          <w:color w:val="2E5FA3"/>
          <w:sz w:val="24"/>
          <w:szCs w:val="24"/>
        </w:rPr>
        <w:t xml:space="preserve">4.2 Critical Separation: Deterministic Calculations vs.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1A3A5C" w:sz="24"/>
              <w:bottom w:val="single" w:color="C5D5E8" w:sz="4"/>
              <w:right w:val="none" w:color="FFFFFF" w:sz="0"/>
            </w:tcBorders>
            <w:shd w:fill="FFF8E1" w:val="clear"/>
          </w:tcPr>
          <w:p>
            <w:pPr>
              <w:spacing w:after="80" w:before="60"/>
            </w:pPr>
            <w:r>
              <w:rPr>
                <w:rFonts w:ascii="Arial" w:cs="Arial" w:eastAsia="Arial" w:hAnsi="Arial"/>
                <w:color w:val="1A3A5C"/>
                <w:sz w:val="21"/>
                <w:szCs w:val="21"/>
              </w:rPr>
              <w:t xml:space="preserve">Architectural Rule: LLMs Must Never Perform Numerical Calculations</w:t>
            </w:r>
          </w:p>
          <w:p>
            <w:pPr>
              <w:spacing w:after="80" w:before="60"/>
            </w:pPr>
            <w:r>
              <w:rPr>
                <w:rFonts w:ascii="Arial" w:cs="Arial" w:eastAsia="Arial" w:hAnsi="Arial"/>
                <w:color w:val="1A3A5C"/>
                <w:sz w:val="21"/>
                <w:szCs w:val="21"/>
              </w:rPr>
              <w:t xml:space="preserve"/>
            </w:r>
          </w:p>
          <w:p>
            <w:pPr>
              <w:spacing w:after="80" w:before="60"/>
            </w:pPr>
            <w:r>
              <w:rPr>
                <w:rFonts w:ascii="Arial" w:cs="Arial" w:eastAsia="Arial" w:hAnsi="Arial"/>
                <w:color w:val="1A3A5C"/>
                <w:sz w:val="21"/>
                <w:szCs w:val="21"/>
              </w:rPr>
              <w:t xml:space="preserve">All figures in sustainability reports - GHG emissions, PCAF attribution factors,</w:t>
            </w:r>
          </w:p>
          <w:p>
            <w:pPr>
              <w:spacing w:after="80" w:before="60"/>
            </w:pPr>
            <w:r>
              <w:rPr>
                <w:rFonts w:ascii="Arial" w:cs="Arial" w:eastAsia="Arial" w:hAnsi="Arial"/>
                <w:color w:val="1A3A5C"/>
                <w:sz w:val="21"/>
                <w:szCs w:val="21"/>
              </w:rPr>
              <w:t xml:space="preserve">intensity ratios, and financial metrics - MUST be computed via deterministic code:</w:t>
            </w:r>
          </w:p>
          <w:p>
            <w:pPr>
              <w:spacing w:after="80" w:before="60"/>
            </w:pPr>
            <w:r>
              <w:rPr>
                <w:rFonts w:ascii="Arial" w:cs="Arial" w:eastAsia="Arial" w:hAnsi="Arial"/>
                <w:color w:val="1A3A5C"/>
                <w:sz w:val="21"/>
                <w:szCs w:val="21"/>
              </w:rPr>
              <w:t xml:space="preserve"/>
            </w:r>
          </w:p>
          <w:p>
            <w:pPr>
              <w:spacing w:after="80" w:before="60"/>
            </w:pPr>
            <w:r>
              <w:rPr>
                <w:rFonts w:ascii="Arial" w:cs="Arial" w:eastAsia="Arial" w:hAnsi="Arial"/>
                <w:color w:val="1A3A5C"/>
                <w:sz w:val="21"/>
                <w:szCs w:val="21"/>
              </w:rPr>
              <w:t xml:space="preserve">  CORRECT: Athena SQL on curated S3 data -&gt; emission figure -&gt; passed to Claude as context</w:t>
            </w:r>
          </w:p>
          <w:p>
            <w:pPr>
              <w:spacing w:after="80" w:before="60"/>
            </w:pPr>
            <w:r>
              <w:rPr>
                <w:rFonts w:ascii="Arial" w:cs="Arial" w:eastAsia="Arial" w:hAnsi="Arial"/>
                <w:color w:val="1A3A5C"/>
                <w:sz w:val="21"/>
                <w:szCs w:val="21"/>
              </w:rPr>
              <w:t xml:space="preserve">  CORRECT: Glue PySpark computes MTCO2e conversion -&gt; result stored -&gt; cited in narrative</w:t>
            </w:r>
          </w:p>
          <w:p>
            <w:pPr>
              <w:spacing w:after="80" w:before="60"/>
            </w:pPr>
            <w:r>
              <w:rPr>
                <w:rFonts w:ascii="Arial" w:cs="Arial" w:eastAsia="Arial" w:hAnsi="Arial"/>
                <w:color w:val="1A3A5C"/>
                <w:sz w:val="21"/>
                <w:szCs w:val="21"/>
              </w:rPr>
              <w:t xml:space="preserve">  WRONG:   Ask Claude: "what are our total Scope 1 emissions?" -&gt; unacceptable hallucination risk</w:t>
            </w:r>
          </w:p>
          <w:p>
            <w:pPr>
              <w:spacing w:after="80" w:before="60"/>
            </w:pPr>
            <w:r>
              <w:rPr>
                <w:rFonts w:ascii="Arial" w:cs="Arial" w:eastAsia="Arial" w:hAnsi="Arial"/>
                <w:color w:val="1A3A5C"/>
                <w:sz w:val="21"/>
                <w:szCs w:val="21"/>
              </w:rPr>
              <w:t xml:space="preserve"/>
            </w:r>
          </w:p>
          <w:p>
            <w:pPr>
              <w:spacing w:after="80" w:before="60"/>
            </w:pPr>
            <w:r>
              <w:rPr>
                <w:rFonts w:ascii="Arial" w:cs="Arial" w:eastAsia="Arial" w:hAnsi="Arial"/>
                <w:color w:val="1A3A5C"/>
                <w:sz w:val="21"/>
                <w:szCs w:val="21"/>
              </w:rPr>
              <w:t xml:space="preserve">Claude / LLM role: transform verified, structured data into regulatory-compliant narrative prose.</w:t>
            </w:r>
          </w:p>
          <w:p>
            <w:pPr>
              <w:spacing w:after="80" w:before="60"/>
            </w:pPr>
            <w:r>
              <w:rPr>
                <w:rFonts w:ascii="Arial" w:cs="Arial" w:eastAsia="Arial" w:hAnsi="Arial"/>
                <w:color w:val="1A3A5C"/>
                <w:sz w:val="21"/>
                <w:szCs w:val="21"/>
              </w:rPr>
              <w:t xml:space="preserve">Athena / Glue / Code Interpreter role: produce the auditable numbers that prose references.</w:t>
            </w:r>
          </w:p>
        </w:tc>
      </w:tr>
    </w:tbl>
    <w:p>
      <w:pPr>
        <w:spacing w:after="120"/>
      </w:pPr>
      <w:r>
        <w:t xml:space="preserve"/>
      </w:r>
    </w:p>
    <w:p>
      <w:pPr>
        <w:pStyle w:val="Heading2"/>
        <w:spacing w:after="120" w:before="280"/>
      </w:pPr>
      <w:r>
        <w:rPr>
          <w:rFonts w:ascii="Arial" w:cs="Arial" w:eastAsia="Arial" w:hAnsi="Arial"/>
          <w:b/>
          <w:bCs/>
          <w:color w:val="2E5FA3"/>
          <w:sz w:val="24"/>
          <w:szCs w:val="24"/>
        </w:rPr>
        <w:t xml:space="preserve">4.3 Agentic Orchestration Pattern</w:t>
      </w:r>
    </w:p>
    <w:p>
      <w:pPr>
        <w:pStyle w:val="BT"/>
      </w:pPr>
      <w:r>
        <w:rPr>
          <w:rFonts w:ascii="Arial" w:cs="Arial" w:eastAsia="Arial" w:hAnsi="Arial"/>
          <w:sz w:val="22"/>
          <w:szCs w:val="22"/>
        </w:rPr>
        <w:t xml:space="preserve">The dominant orchestration pattern uses Amazon Bedrock AgentCore (or Bedrock Agents with action groups) as the central coordinator. When a report generation request arrives, the agent applies ReAct (Reason and Act) logic to determine which data sources to query, which calculations to perform, and which framework requirements to address. AWS Step Functions then orchestrates up to 40 concurrent Bedrock InvokeModel calls, enabling parallelised generation of multi-section sustainability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C5D5E8" w:sz="4"/>
              <w:bottom w:val="single" w:color="C5D5E8" w:sz="4"/>
              <w:right w:val="single" w:color="C5D5E8" w:sz="4"/>
            </w:tcBorders>
            <w:shd w:fill="F2F6FC" w:val="clear"/>
          </w:tcPr>
          <w:p>
            <w:pPr>
              <w:spacing w:after="40"/>
            </w:pPr>
            <w:r>
              <w:rPr>
                <w:rFonts w:ascii="Courier New" w:cs="Courier New" w:eastAsia="Courier New" w:hAnsi="Courier New"/>
                <w:color w:val="1A3A5C"/>
                <w:sz w:val="18"/>
                <w:szCs w:val="18"/>
              </w:rPr>
              <w:t xml:space="preserve">Report Generation Request (User / Scheduled Trigger)</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[AgentCore / Bedrock Agent]  &lt;- ReAct reasoning loop</w:t>
            </w:r>
          </w:p>
          <w:p>
            <w:pPr>
              <w:spacing w:after="40"/>
            </w:pPr>
            <w:r>
              <w:rPr>
                <w:rFonts w:ascii="Courier New" w:cs="Courier New" w:eastAsia="Courier New" w:hAnsi="Courier New"/>
                <w:color w:val="1A3A5C"/>
                <w:sz w:val="18"/>
                <w:szCs w:val="18"/>
              </w:rPr>
              <w:t xml:space="preserve">  |-- Tool: text-to-SQL  --&gt;  [Amazon Athena]  --&gt;  structured ESG metrics</w:t>
            </w:r>
          </w:p>
          <w:p>
            <w:pPr>
              <w:spacing w:after="40"/>
            </w:pPr>
            <w:r>
              <w:rPr>
                <w:rFonts w:ascii="Courier New" w:cs="Courier New" w:eastAsia="Courier New" w:hAnsi="Courier New"/>
                <w:color w:val="1A3A5C"/>
                <w:sz w:val="18"/>
                <w:szCs w:val="18"/>
              </w:rPr>
              <w:t xml:space="preserve">  |-- Tool: RAG query    --&gt;  [Bedrock Knowledge Bases]  --&gt;  regulatory context</w:t>
            </w:r>
          </w:p>
          <w:p>
            <w:pPr>
              <w:spacing w:after="40"/>
            </w:pPr>
            <w:r>
              <w:rPr>
                <w:rFonts w:ascii="Courier New" w:cs="Courier New" w:eastAsia="Courier New" w:hAnsi="Courier New"/>
                <w:color w:val="1A3A5C"/>
                <w:sz w:val="18"/>
                <w:szCs w:val="18"/>
              </w:rPr>
              <w:t xml:space="preserve">  |-- Tool: Code Exec    --&gt;  [AgentCore Code Interpreter]  --&gt;  GHG calculations</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[AWS Step Functions State Machine]</w:t>
            </w:r>
          </w:p>
          <w:p>
            <w:pPr>
              <w:spacing w:after="40"/>
            </w:pPr>
            <w:r>
              <w:rPr>
                <w:rFonts w:ascii="Courier New" w:cs="Courier New" w:eastAsia="Courier New" w:hAnsi="Courier New"/>
                <w:color w:val="1A3A5C"/>
                <w:sz w:val="18"/>
                <w:szCs w:val="18"/>
              </w:rPr>
              <w:t xml:space="preserve">  |-- Stage 1: Read structured ESG data from S3 Aggregated zone</w:t>
            </w:r>
          </w:p>
          <w:p>
            <w:pPr>
              <w:spacing w:after="40"/>
            </w:pPr>
            <w:r>
              <w:rPr>
                <w:rFonts w:ascii="Courier New" w:cs="Courier New" w:eastAsia="Courier New" w:hAnsi="Courier New"/>
                <w:color w:val="1A3A5C"/>
                <w:sz w:val="18"/>
                <w:szCs w:val="18"/>
              </w:rPr>
              <w:t xml:space="preserve">  |-- Stage 2: Map state: distribute to 40x parallel Bedrock InvokeModel calls</w:t>
            </w:r>
          </w:p>
          <w:p>
            <w:pPr>
              <w:spacing w:after="40"/>
            </w:pPr>
            <w:r>
              <w:rPr>
                <w:rFonts w:ascii="Courier New" w:cs="Courier New" w:eastAsia="Courier New" w:hAnsi="Courier New"/>
                <w:color w:val="1A3A5C"/>
                <w:sz w:val="18"/>
                <w:szCs w:val="18"/>
              </w:rPr>
              <w:t xml:space="preserve">  |-- Stage 3: Assemble section outputs into unified document structure</w:t>
            </w:r>
          </w:p>
          <w:p>
            <w:pPr>
              <w:spacing w:after="40"/>
            </w:pPr>
            <w:r>
              <w:rPr>
                <w:rFonts w:ascii="Courier New" w:cs="Courier New" w:eastAsia="Courier New" w:hAnsi="Courier New"/>
                <w:color w:val="1A3A5C"/>
                <w:sz w:val="18"/>
                <w:szCs w:val="18"/>
              </w:rPr>
              <w:t xml:space="preserve">  |-- Stage 4: Quality evaluation (citation coverage, regulatory term presence)</w:t>
            </w:r>
          </w:p>
          <w:p>
            <w:pPr>
              <w:spacing w:after="40"/>
            </w:pPr>
            <w:r>
              <w:rPr>
                <w:rFonts w:ascii="Courier New" w:cs="Courier New" w:eastAsia="Courier New" w:hAnsi="Courier New"/>
                <w:color w:val="1A3A5C"/>
                <w:sz w:val="18"/>
                <w:szCs w:val="18"/>
              </w:rPr>
              <w:t xml:space="preserve">  |-- Stage 5: Write final report + compliance artifacts to S3 / output layer</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[Bedrock Guardrails Automated Reasoning]  --&gt;  verify all numerical claims (99% accuracy)</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Human Review Gate  --&gt;  ESG Manager / Sustainability Officer sign-off</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Published Report (Word/PDF) | Compliance Dashboard | ESG Score | Multi-Framework Export</w:t>
            </w:r>
          </w:p>
        </w:tc>
      </w:tr>
    </w:tbl>
    <w:p>
      <w:pPr>
        <w:spacing w:after="200" w:before="60"/>
        <w:jc w:val="center"/>
      </w:pPr>
      <w:r>
        <w:rPr>
          <w:rFonts w:ascii="Arial" w:cs="Arial" w:eastAsia="Arial" w:hAnsi="Arial"/>
          <w:i/>
          <w:iCs/>
          <w:color w:val="666666"/>
          <w:sz w:val="18"/>
          <w:szCs w:val="18"/>
        </w:rPr>
        <w:t xml:space="preserve">Figure 2: Agentic Orchestration and Step Functions Workflow for ESG Report Generation</w:t>
      </w:r>
    </w:p>
    <w:p>
      <w:pPr>
        <w:spacing w:after="80"/>
      </w:pPr>
      <w:r>
        <w:t xml:space="preserve"/>
      </w:r>
    </w:p>
    <w:p>
      <w:pPr>
        <w:pStyle w:val="Heading2"/>
        <w:spacing w:after="120" w:before="280"/>
      </w:pPr>
      <w:r>
        <w:rPr>
          <w:rFonts w:ascii="Arial" w:cs="Arial" w:eastAsia="Arial" w:hAnsi="Arial"/>
          <w:b/>
          <w:bCs/>
          <w:color w:val="2E5FA3"/>
          <w:sz w:val="24"/>
          <w:szCs w:val="24"/>
        </w:rPr>
        <w:t xml:space="preserve">4.4 Vector Store Selection</w:t>
      </w:r>
    </w:p>
    <w:p>
      <w:pPr>
        <w:pStyle w:val="BT"/>
      </w:pPr>
      <w:r>
        <w:rPr>
          <w:rFonts w:ascii="Arial" w:cs="Arial" w:eastAsia="Arial" w:hAnsi="Arial"/>
          <w:sz w:val="22"/>
          <w:szCs w:val="22"/>
        </w:rPr>
        <w:t xml:space="preserve">The choice of vector store for the RAG knowledge base has downstream implications for multi-tenancy, query performance, and integration complexity. Production implementations offer two validated patterns: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Vector Store</w:t>
            </w:r>
          </w:p>
        </w:tc>
        <w:tc>
          <w:tcPr>
            <w:tcW w:type="dxa" w:w="348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Best For</w:t>
            </w:r>
          </w:p>
        </w:tc>
        <w:tc>
          <w:tcPr>
            <w:tcW w:type="dxa" w:w="348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Key Characteristics</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OpenSearch Serverless</w:t>
            </w:r>
          </w:p>
        </w:tc>
        <w:tc>
          <w:tcPr>
            <w:tcW w:type="dxa" w:w="348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Native Bedrock integration, high-throughput RAG workloads</w:t>
            </w:r>
          </w:p>
        </w:tc>
        <w:tc>
          <w:tcPr>
            <w:tcW w:type="dxa" w:w="348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Sub-10ms query latency, automatic scaling, simplified development pipeline</w:t>
            </w:r>
          </w:p>
        </w:tc>
      </w:tr>
      <w:tr>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Aurora PostgreSQL (pgvector)</w:t>
            </w:r>
          </w:p>
        </w:tc>
        <w:tc>
          <w:tcPr>
            <w:tcW w:type="dxa" w:w="348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Multi-tenant SaaS platforms, existing relational workloads</w:t>
            </w:r>
          </w:p>
        </w:tc>
        <w:tc>
          <w:tcPr>
            <w:tcW w:type="dxa" w:w="348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ACID transactions, SQL-based metadata filtering, row-level security for tenant isolation</w:t>
            </w:r>
          </w:p>
        </w:tc>
      </w:tr>
    </w:tbl>
    <w:p>
      <w:pPr>
        <w:spacing w:after="200" w:before="60"/>
        <w:jc w:val="center"/>
      </w:pPr>
      <w:r>
        <w:rPr>
          <w:rFonts w:ascii="Arial" w:cs="Arial" w:eastAsia="Arial" w:hAnsi="Arial"/>
          <w:i/>
          <w:iCs/>
          <w:color w:val="666666"/>
          <w:sz w:val="18"/>
          <w:szCs w:val="18"/>
        </w:rPr>
        <w:t xml:space="preserve">Table 3: Vector Store Selection for ESG RAG Knowledge Base</w:t>
      </w:r>
    </w:p>
    <w:p>
      <w:pPr>
        <w:spacing w:after="80"/>
      </w:pPr>
      <w:r>
        <w:t xml:space="preserve"/>
      </w:r>
    </w:p>
    <w:p>
      <w:pPr>
        <w:pStyle w:val="Heading1"/>
        <w:spacing w:after="200" w:before="440"/>
      </w:pPr>
      <w:r>
        <w:rPr>
          <w:rFonts w:ascii="Arial" w:cs="Arial" w:eastAsia="Arial" w:hAnsi="Arial"/>
          <w:b/>
          <w:bCs/>
          <w:color w:val="1A3A5C"/>
          <w:sz w:val="30"/>
          <w:szCs w:val="30"/>
        </w:rPr>
        <w:t xml:space="preserve">5. AI Applications Across the ESG Reporting Lifecycle</w:t>
      </w:r>
    </w:p>
    <w:p>
      <w:pPr>
        <w:pStyle w:val="BT"/>
      </w:pPr>
      <w:r>
        <w:rPr>
          <w:rFonts w:ascii="Arial" w:cs="Arial" w:eastAsia="Arial" w:hAnsi="Arial"/>
          <w:sz w:val="22"/>
          <w:szCs w:val="22"/>
        </w:rPr>
        <w:t xml:space="preserve">AI delivers value across all five stages of the ESG reporting lifecycle, but the nature of that value - and the appropriate tools - differ significantly across stages. Understanding this distinction prevents the most common architectural mistake: deploying generative AI where deterministic processing is required.</w:t>
      </w:r>
    </w:p>
    <w:p>
      <w:pPr>
        <w:pStyle w:val="Heading2"/>
        <w:spacing w:after="120" w:before="280"/>
      </w:pPr>
      <w:r>
        <w:rPr>
          <w:rFonts w:ascii="Arial" w:cs="Arial" w:eastAsia="Arial" w:hAnsi="Arial"/>
          <w:b/>
          <w:bCs/>
          <w:color w:val="2E5FA3"/>
          <w:sz w:val="24"/>
          <w:szCs w:val="24"/>
        </w:rPr>
        <w:t xml:space="preserve">5.1 Data Collection and Ingestion</w:t>
      </w:r>
    </w:p>
    <w:p>
      <w:pPr>
        <w:pStyle w:val="BT"/>
      </w:pPr>
      <w:r>
        <w:rPr>
          <w:rFonts w:ascii="Arial" w:cs="Arial" w:eastAsia="Arial" w:hAnsi="Arial"/>
          <w:sz w:val="22"/>
          <w:szCs w:val="22"/>
        </w:rPr>
        <w:t xml:space="preserve">Modern AI-powered ESG platforms automate data collection from heterogeneous enterprise systems. An AWS-native architecture for Indonesian banks demonstrates a three-zone S3 data lake that ingests data via: Transfer Family (SFTP for structured exports), AppFlow (SAP OData change data capture), Data Exports, Firehose (streaming telemetry), and EventBridge (event-driven triggers). This multi-source ingestion eliminates the manual data gathering that traditionally consumes the majority of reporting cycles.</w:t>
      </w:r>
    </w:p>
    <w:p>
      <w:pPr>
        <w:pStyle w:val="BT"/>
      </w:pPr>
      <w:r>
        <w:rPr>
          <w:rFonts w:ascii="Arial" w:cs="Arial" w:eastAsia="Arial" w:hAnsi="Arial"/>
          <w:sz w:val="22"/>
          <w:szCs w:val="22"/>
        </w:rPr>
        <w:t xml:space="preserve">Gardenia Technologies implements a central agent executor using LangChain with ReAct logic, combining three tools - web search, text-to-SQL for emissions databases, and RAG over corporate document stores - to iteratively collect thousands of data points from utility bills, databases, and unstructured documents with human-in-the-loop review.</w:t>
      </w:r>
    </w:p>
    <w:p>
      <w:pPr>
        <w:pStyle w:val="Heading2"/>
        <w:spacing w:after="120" w:before="280"/>
      </w:pPr>
      <w:r>
        <w:rPr>
          <w:rFonts w:ascii="Arial" w:cs="Arial" w:eastAsia="Arial" w:hAnsi="Arial"/>
          <w:b/>
          <w:bCs/>
          <w:color w:val="2E5FA3"/>
          <w:sz w:val="24"/>
          <w:szCs w:val="24"/>
        </w:rPr>
        <w:t xml:space="preserve">5.2 GHG Calculations and Carbon Accounting</w:t>
      </w:r>
    </w:p>
    <w:p>
      <w:pPr>
        <w:pStyle w:val="BT"/>
      </w:pPr>
      <w:r>
        <w:rPr>
          <w:rFonts w:ascii="Arial" w:cs="Arial" w:eastAsia="Arial" w:hAnsi="Arial"/>
          <w:sz w:val="22"/>
          <w:szCs w:val="22"/>
        </w:rPr>
        <w:t xml:space="preserve">Precise greenhouse gas calculations require deterministic computation, not probabilistic AI inference. Best-practice architectures isolate all numerical calculations in dedicated computation layers. For financial institutions, the PCAF (Partnership for Carbon Accounting Financials) methodology calculates financed emissions (Scope 3 Category 15) as: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C5D5E8" w:sz="4"/>
              <w:bottom w:val="single" w:color="C5D5E8" w:sz="4"/>
              <w:right w:val="single" w:color="C5D5E8" w:sz="4"/>
            </w:tcBorders>
            <w:shd w:fill="F2F6FC" w:val="clear"/>
          </w:tcPr>
          <w:p>
            <w:pPr>
              <w:spacing w:after="40"/>
            </w:pPr>
            <w:r>
              <w:rPr>
                <w:rFonts w:ascii="Courier New" w:cs="Courier New" w:eastAsia="Courier New" w:hAnsi="Courier New"/>
                <w:color w:val="1A3A5C"/>
                <w:sz w:val="18"/>
                <w:szCs w:val="18"/>
              </w:rPr>
              <w:t xml:space="preserve">  Financed Emissions = SUM over all loans of:</w:t>
            </w:r>
          </w:p>
          <w:p>
            <w:pPr>
              <w:spacing w:after="40"/>
            </w:pPr>
            <w:r>
              <w:rPr>
                <w:rFonts w:ascii="Courier New" w:cs="Courier New" w:eastAsia="Courier New" w:hAnsi="Courier New"/>
                <w:color w:val="1A3A5C"/>
                <w:sz w:val="18"/>
                <w:szCs w:val="18"/>
              </w:rPr>
              <w:t xml:space="preserve">    Attribution Factor x Emissions of Borrower</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Where:</w:t>
            </w:r>
          </w:p>
          <w:p>
            <w:pPr>
              <w:spacing w:after="40"/>
            </w:pPr>
            <w:r>
              <w:rPr>
                <w:rFonts w:ascii="Courier New" w:cs="Courier New" w:eastAsia="Courier New" w:hAnsi="Courier New"/>
                <w:color w:val="1A3A5C"/>
                <w:sz w:val="18"/>
                <w:szCs w:val="18"/>
              </w:rPr>
              <w:t xml:space="preserve">    Attribution Factor = Outstanding Amount / (Total Equity + Debt of Borrower)</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PCAF Data Quality Score: Tier 1 (measured) to Tier 5 (estimated from sector averages)</w:t>
            </w:r>
          </w:p>
          <w:p>
            <w:pPr>
              <w:spacing w:after="40"/>
            </w:pPr>
            <w:r>
              <w:rPr>
                <w:rFonts w:ascii="Courier New" w:cs="Courier New" w:eastAsia="Courier New" w:hAnsi="Courier New"/>
                <w:color w:val="1A3A5C"/>
                <w:sz w:val="18"/>
                <w:szCs w:val="18"/>
              </w:rPr>
              <w:t xml:space="preserve">  Unit Conversion: all values normalised to MTCO2e via AWS Glue PySpark ETL jobs</w:t>
            </w:r>
          </w:p>
          <w:p>
            <w:pPr>
              <w:spacing w:after="40"/>
            </w:pPr>
            <w:r>
              <w:rPr>
                <w:rFonts w:ascii="Courier New" w:cs="Courier New" w:eastAsia="Courier New" w:hAnsi="Courier New"/>
                <w:color w:val="1A3A5C"/>
                <w:sz w:val="18"/>
                <w:szCs w:val="18"/>
              </w:rPr>
              <w:t xml:space="preserve">  Query Layer: Amazon Athena SQL on curated S3 zone ($5/TB scanned)</w:t>
            </w:r>
          </w:p>
        </w:tc>
      </w:tr>
    </w:tbl>
    <w:p>
      <w:pPr>
        <w:spacing w:after="200" w:before="60"/>
        <w:jc w:val="center"/>
      </w:pPr>
      <w:r>
        <w:rPr>
          <w:rFonts w:ascii="Arial" w:cs="Arial" w:eastAsia="Arial" w:hAnsi="Arial"/>
          <w:i/>
          <w:iCs/>
          <w:color w:val="666666"/>
          <w:sz w:val="18"/>
          <w:szCs w:val="18"/>
        </w:rPr>
        <w:t xml:space="preserve">Figure 3: PCAF Financed Emissions Formula and Calculation Pipeline</w:t>
      </w:r>
    </w:p>
    <w:p>
      <w:pPr>
        <w:spacing w:after="100"/>
      </w:pPr>
      <w:r>
        <w:t xml:space="preserve"/>
      </w:r>
    </w:p>
    <w:p>
      <w:pPr>
        <w:pStyle w:val="BT"/>
      </w:pPr>
      <w:r>
        <w:rPr>
          <w:rFonts w:ascii="Arial" w:cs="Arial" w:eastAsia="Arial" w:hAnsi="Arial"/>
          <w:sz w:val="22"/>
          <w:szCs w:val="22"/>
        </w:rPr>
        <w:t xml:space="preserve">Amazon Bedrock AgentCore Code Interpreter enables agents to write and execute code securely in isolated sandbox environments, supporting Python, TypeScript, and JavaScript with files up to 100MB inline and 5GB via S3. This is the recommended mechanism for all GHG calculations within an agentic reporting workflow.</w:t>
      </w:r>
    </w:p>
    <w:p>
      <w:pPr>
        <w:pStyle w:val="Heading2"/>
        <w:spacing w:after="120" w:before="280"/>
      </w:pPr>
      <w:r>
        <w:rPr>
          <w:rFonts w:ascii="Arial" w:cs="Arial" w:eastAsia="Arial" w:hAnsi="Arial"/>
          <w:b/>
          <w:bCs/>
          <w:color w:val="2E5FA3"/>
          <w:sz w:val="24"/>
          <w:szCs w:val="24"/>
        </w:rPr>
        <w:t xml:space="preserve">5.3 Scenario Modelling and Climate Risk Analysis</w:t>
      </w:r>
    </w:p>
    <w:p>
      <w:pPr>
        <w:pStyle w:val="BT"/>
      </w:pPr>
      <w:r>
        <w:rPr>
          <w:rFonts w:ascii="Arial" w:cs="Arial" w:eastAsia="Arial" w:hAnsi="Arial"/>
          <w:sz w:val="22"/>
          <w:szCs w:val="22"/>
        </w:rPr>
        <w:t xml:space="preserve">AI enables organisations to shift from reactive to proactive environmental management. SAP Sustainability AI Agents have compressed carbon footprint scenario simulation time from a full day to approximately 20 minutes. IBM Envizi Planning Analytics combines ESG data with AI-infused forecasting and scenario modelling, enabling sustainability and finance teams to model emissions baselines, explore what-if scenarios, and set data-backed reduction targets.</w:t>
      </w:r>
    </w:p>
    <w:p>
      <w:pPr>
        <w:pStyle w:val="BT"/>
      </w:pPr>
      <w:r>
        <w:rPr>
          <w:rFonts w:ascii="Arial" w:cs="Arial" w:eastAsia="Arial" w:hAnsi="Arial"/>
          <w:sz w:val="22"/>
          <w:szCs w:val="22"/>
        </w:rPr>
        <w:t xml:space="preserve">SAP Sustainability Footprint Management extends calculations beyond CO2 to land use, energy, waste, and abiotic resource depletion. For climate risk under TCFD and IFRS S2, AI can simultaneously run multiple physical and transition risk scenarios - a computation that would take analysts weeks to complete manually.</w:t>
      </w:r>
    </w:p>
    <w:p>
      <w:pPr>
        <w:pStyle w:val="Heading2"/>
        <w:spacing w:after="120" w:before="280"/>
      </w:pPr>
      <w:r>
        <w:rPr>
          <w:rFonts w:ascii="Arial" w:cs="Arial" w:eastAsia="Arial" w:hAnsi="Arial"/>
          <w:b/>
          <w:bCs/>
          <w:color w:val="2E5FA3"/>
          <w:sz w:val="24"/>
          <w:szCs w:val="24"/>
        </w:rPr>
        <w:t xml:space="preserve">5.4 Narrative Generation and Report Drafting</w:t>
      </w:r>
    </w:p>
    <w:p>
      <w:pPr>
        <w:pStyle w:val="BT"/>
      </w:pPr>
      <w:r>
        <w:rPr>
          <w:rFonts w:ascii="Arial" w:cs="Arial" w:eastAsia="Arial" w:hAnsi="Arial"/>
          <w:sz w:val="22"/>
          <w:szCs w:val="22"/>
        </w:rPr>
        <w:t xml:space="preserve">Large language models excel at transforming structured, verified ESG data into regulatory-compliant narrative text. The Indonesian bank platform uses Amazon Bedrock with Claude and Step Functions to orchestrate up to 40 concurrent InvokeModel calls for generating IFRS S1/S2-compliant sustainability report sections. The Step Functions state machine executes five stages: reading structured ESG data, distributing to parallel Bedrock calls, assembling section outputs, evaluating quality metrics (citation coverage, regulatory term presence, length requirements), and writing the final report.</w:t>
      </w:r>
    </w:p>
    <w:p>
      <w:pPr>
        <w:pStyle w:val="BT"/>
      </w:pPr>
      <w:r>
        <w:rPr>
          <w:rFonts w:ascii="Arial" w:cs="Arial" w:eastAsia="Arial" w:hAnsi="Arial"/>
          <w:sz w:val="22"/>
          <w:szCs w:val="22"/>
        </w:rPr>
        <w:t xml:space="preserve">This orchestrated approach ensures consistency across multi-section reports while maintaining throughput for enterprise-scale generation. Gardenia Technologies demonstrates that this pattern reduces overall ESG reporting time by up to 75%.</w:t>
      </w:r>
    </w:p>
    <w:p>
      <w:pPr>
        <w:pStyle w:val="Heading2"/>
        <w:spacing w:after="120" w:before="280"/>
      </w:pPr>
      <w:r>
        <w:rPr>
          <w:rFonts w:ascii="Arial" w:cs="Arial" w:eastAsia="Arial" w:hAnsi="Arial"/>
          <w:b/>
          <w:bCs/>
          <w:color w:val="2E5FA3"/>
          <w:sz w:val="24"/>
          <w:szCs w:val="24"/>
        </w:rPr>
        <w:t xml:space="preserve">5.5 Assurance Readiness and Compliance Output</w:t>
      </w:r>
    </w:p>
    <w:p>
      <w:pPr>
        <w:pStyle w:val="BT"/>
      </w:pPr>
      <w:r>
        <w:rPr>
          <w:rFonts w:ascii="Arial" w:cs="Arial" w:eastAsia="Arial" w:hAnsi="Arial"/>
          <w:sz w:val="22"/>
          <w:szCs w:val="22"/>
        </w:rPr>
        <w:t xml:space="preserve">AI platforms increasingly generate compliance dashboards that visualise progress against disclosure requirements with phased regulatory timelines, alongside ESG Scoring Engines and multi-framework export capabilities. SAP's Sustainability Regulatory Readiness Agent automates financial-grade data mapping between material topics, regulatory requirements, and finance data, translating materiality assessments into defensible reporting scope.</w:t>
      </w:r>
    </w:p>
    <w:p>
      <w:pPr>
        <w:pStyle w:val="BT"/>
      </w:pPr>
      <w:r>
        <w:rPr>
          <w:rFonts w:ascii="Arial" w:cs="Arial" w:eastAsia="Arial" w:hAnsi="Arial"/>
          <w:sz w:val="22"/>
          <w:szCs w:val="22"/>
        </w:rPr>
        <w:t xml:space="preserve">For audit preparation, multi-agent frameworks propose approaches for report validation and multi-report comparison - key capabilities that enable assurance teams to verify consistency and completeness across reporting periods. The 2025 CSRD update raises expectations for how every figure is sourced, validated, and reconciled with financial reporting.</w:t>
      </w:r>
    </w:p>
    <w:p>
      <w:pPr>
        <w:pStyle w:val="Heading1"/>
        <w:spacing w:after="200" w:before="440"/>
      </w:pPr>
      <w:r>
        <w:rPr>
          <w:rFonts w:ascii="Arial" w:cs="Arial" w:eastAsia="Arial" w:hAnsi="Arial"/>
          <w:b/>
          <w:bCs/>
          <w:color w:val="1A3A5C"/>
          <w:sz w:val="30"/>
          <w:szCs w:val="30"/>
        </w:rPr>
        <w:t xml:space="preserve">6. Multi-Framework Compliance and Interoperability</w:t>
      </w:r>
    </w:p>
    <w:p>
      <w:pPr>
        <w:pStyle w:val="BT"/>
      </w:pPr>
      <w:r>
        <w:rPr>
          <w:rFonts w:ascii="Arial" w:cs="Arial" w:eastAsia="Arial" w:hAnsi="Arial"/>
          <w:sz w:val="22"/>
          <w:szCs w:val="22"/>
        </w:rPr>
        <w:t xml:space="preserve">The proliferation of ESG standards creates a significant compliance burden that AI is uniquely positioned to address. A collect-once architecture - enabled by the ISSB-ESRS interoperability guidance published in May 2024 - allows a single data collection and governance process to satisfy multiple frameworks simultaneously.</w:t>
      </w:r>
    </w:p>
    <w:p>
      <w:pPr>
        <w:pStyle w:val="Heading2"/>
        <w:spacing w:after="120" w:before="280"/>
      </w:pPr>
      <w:r>
        <w:rPr>
          <w:rFonts w:ascii="Arial" w:cs="Arial" w:eastAsia="Arial" w:hAnsi="Arial"/>
          <w:b/>
          <w:bCs/>
          <w:color w:val="2E5FA3"/>
          <w:sz w:val="24"/>
          <w:szCs w:val="24"/>
        </w:rPr>
        <w:t xml:space="preserve">6.1 Framework Landscape and Materiality Differences</w:t>
      </w:r>
    </w:p>
    <w:p>
      <w:pPr>
        <w:pStyle w:val="BT"/>
      </w:pPr>
      <w:r>
        <w:rPr>
          <w:rFonts w:ascii="Arial" w:cs="Arial" w:eastAsia="Arial" w:hAnsi="Arial"/>
          <w:sz w:val="22"/>
          <w:szCs w:val="22"/>
        </w:rPr>
        <w:t xml:space="preserve">Understanding materiality differences across frameworks is essential for correct AI classification and mapping. The frameworks diverge fundamentally in their scoping approach: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Framework</w:t>
            </w:r>
          </w:p>
        </w:tc>
        <w:tc>
          <w:tcPr>
            <w:tcW w:type="dxa" w:w="216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Materiality Lens</w:t>
            </w:r>
          </w:p>
        </w:tc>
        <w:tc>
          <w:tcPr>
            <w:tcW w:type="dxa" w:w="24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Primary Audience</w:t>
            </w:r>
          </w:p>
        </w:tc>
        <w:tc>
          <w:tcPr>
            <w:tcW w:type="dxa" w:w="24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Climate Standard</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IFRS S1 / S2</w:t>
            </w:r>
          </w:p>
        </w:tc>
        <w:tc>
          <w:tcPr>
            <w:tcW w:type="dxa" w:w="21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Financial materiality (investor-focused)</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Investors, capital markets</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TCFD-aligned</w:t>
            </w:r>
          </w:p>
        </w:tc>
      </w:tr>
      <w:tr>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CSRD / ESRS</w:t>
            </w:r>
          </w:p>
        </w:tc>
        <w:tc>
          <w:tcPr>
            <w:tcW w:type="dxa" w:w="21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Double materiality (financial + impact)</w:t>
            </w:r>
          </w:p>
        </w:tc>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Multiple stakeholders, EU regulators</w:t>
            </w:r>
          </w:p>
        </w:tc>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ESRS E1 (Climate)</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GRI Standards</w:t>
            </w:r>
          </w:p>
        </w:tc>
        <w:tc>
          <w:tcPr>
            <w:tcW w:type="dxa" w:w="21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Impact materiality (multi-stakeholder)</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NGOs, civil society, employees</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GRI 305 (Emissions)</w:t>
            </w:r>
          </w:p>
        </w:tc>
      </w:tr>
      <w:tr>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OJK PSPK (Indonesia)</w:t>
            </w:r>
          </w:p>
        </w:tc>
        <w:tc>
          <w:tcPr>
            <w:tcW w:type="dxa" w:w="21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IFRS S1/S2-aligned + local variations</w:t>
            </w:r>
          </w:p>
        </w:tc>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OJK regulator, investors</w:t>
            </w:r>
          </w:p>
        </w:tc>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PSPK 2 (Climate)</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CDP</w:t>
            </w:r>
          </w:p>
        </w:tc>
        <w:tc>
          <w:tcPr>
            <w:tcW w:type="dxa" w:w="21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Environmental disclosure (investor/buyer)</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Institutional investors, procurement</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CDP Climate Module</w:t>
            </w:r>
          </w:p>
        </w:tc>
      </w:tr>
    </w:tbl>
    <w:p>
      <w:pPr>
        <w:spacing w:after="200" w:before="60"/>
        <w:jc w:val="center"/>
      </w:pPr>
      <w:r>
        <w:rPr>
          <w:rFonts w:ascii="Arial" w:cs="Arial" w:eastAsia="Arial" w:hAnsi="Arial"/>
          <w:i/>
          <w:iCs/>
          <w:color w:val="666666"/>
          <w:sz w:val="18"/>
          <w:szCs w:val="18"/>
        </w:rPr>
        <w:t xml:space="preserve">Table 4: ESG Framework Materiality and Primary Audience Comparison</w:t>
      </w:r>
    </w:p>
    <w:p>
      <w:pPr>
        <w:spacing w:after="80"/>
      </w:pPr>
      <w:r>
        <w:t xml:space="preserve"/>
      </w:r>
    </w:p>
    <w:p>
      <w:pPr>
        <w:pStyle w:val="Heading2"/>
        <w:spacing w:after="120" w:before="280"/>
      </w:pPr>
      <w:r>
        <w:rPr>
          <w:rFonts w:ascii="Arial" w:cs="Arial" w:eastAsia="Arial" w:hAnsi="Arial"/>
          <w:b/>
          <w:bCs/>
          <w:color w:val="2E5FA3"/>
          <w:sz w:val="24"/>
          <w:szCs w:val="24"/>
        </w:rPr>
        <w:t xml:space="preserve">6.2 Collect-Once Architecture for Multi-Framework Output</w:t>
      </w:r>
    </w:p>
    <w:p>
      <w:pPr>
        <w:pStyle w:val="BT"/>
      </w:pPr>
      <w:r>
        <w:rPr>
          <w:rFonts w:ascii="Arial" w:cs="Arial" w:eastAsia="Arial" w:hAnsi="Arial"/>
          <w:sz w:val="22"/>
          <w:szCs w:val="22"/>
        </w:rPr>
        <w:t xml:space="preserve">SG Analytics delivered an AI-enabled solution that mapped 300+ ESG indicators across IFRS S1/S2, CSRD, CDP, and GRI using AI classification with human-in-the-loop validation to resolve overlaps and ensure alignment accuracy. This collect-once approach eliminates the costly pattern of maintaining parallel data collection processes for each framework.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C5D5E8" w:sz="4"/>
              <w:bottom w:val="single" w:color="C5D5E8" w:sz="4"/>
              <w:right w:val="single" w:color="C5D5E8" w:sz="4"/>
            </w:tcBorders>
            <w:shd w:fill="F2F6FC" w:val="clear"/>
          </w:tcPr>
          <w:p>
            <w:pPr>
              <w:spacing w:after="40"/>
            </w:pPr>
            <w:r>
              <w:rPr>
                <w:rFonts w:ascii="Courier New" w:cs="Courier New" w:eastAsia="Courier New" w:hAnsi="Courier New"/>
                <w:color w:val="1A3A5C"/>
                <w:sz w:val="18"/>
                <w:szCs w:val="18"/>
              </w:rPr>
              <w:t xml:space="preserve">  Single Data Collection</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  [AI Classification Engine]</w:t>
            </w:r>
          </w:p>
          <w:p>
            <w:pPr>
              <w:spacing w:after="40"/>
            </w:pPr>
            <w:r>
              <w:rPr>
                <w:rFonts w:ascii="Courier New" w:cs="Courier New" w:eastAsia="Courier New" w:hAnsi="Courier New"/>
                <w:color w:val="1A3A5C"/>
                <w:sz w:val="18"/>
                <w:szCs w:val="18"/>
              </w:rPr>
              <w:t xml:space="preserve">  |-- NLP: extract from unstructured sustainability data</w:t>
            </w:r>
          </w:p>
          <w:p>
            <w:pPr>
              <w:spacing w:after="40"/>
            </w:pPr>
            <w:r>
              <w:rPr>
                <w:rFonts w:ascii="Courier New" w:cs="Courier New" w:eastAsia="Courier New" w:hAnsi="Courier New"/>
                <w:color w:val="1A3A5C"/>
                <w:sz w:val="18"/>
                <w:szCs w:val="18"/>
              </w:rPr>
              <w:t xml:space="preserve">  |-- ML: automated materiality assessment per framework</w:t>
            </w:r>
          </w:p>
          <w:p>
            <w:pPr>
              <w:spacing w:after="40"/>
            </w:pPr>
            <w:r>
              <w:rPr>
                <w:rFonts w:ascii="Courier New" w:cs="Courier New" w:eastAsia="Courier New" w:hAnsi="Courier New"/>
                <w:color w:val="1A3A5C"/>
                <w:sz w:val="18"/>
                <w:szCs w:val="18"/>
              </w:rPr>
              <w:t xml:space="preserve">  |-- Tag: 300+ indicators mapped to GRI / IFRS S1/S2 / CSRD / CDP</w:t>
            </w:r>
          </w:p>
          <w:p>
            <w:pPr>
              <w:spacing w:after="40"/>
            </w:pPr>
            <w:r>
              <w:rPr>
                <w:rFonts w:ascii="Courier New" w:cs="Courier New" w:eastAsia="Courier New" w:hAnsi="Courier New"/>
                <w:color w:val="1A3A5C"/>
                <w:sz w:val="18"/>
                <w:szCs w:val="18"/>
              </w:rPr>
              <w:t xml:space="preserve">  |-- Validate: human-in-the-loop review for overlaps and edge cases</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v</w:t>
            </w:r>
          </w:p>
          <w:p>
            <w:pPr>
              <w:spacing w:after="40"/>
            </w:pPr>
            <w:r>
              <w:rPr>
                <w:rFonts w:ascii="Courier New" w:cs="Courier New" w:eastAsia="Courier New" w:hAnsi="Courier New"/>
                <w:color w:val="1A3A5C"/>
                <w:sz w:val="18"/>
                <w:szCs w:val="18"/>
              </w:rPr>
              <w:t xml:space="preserve">  Framework-Specific Output Templates</w:t>
            </w:r>
          </w:p>
          <w:p>
            <w:pPr>
              <w:spacing w:after="40"/>
            </w:pPr>
            <w:r>
              <w:rPr>
                <w:rFonts w:ascii="Courier New" w:cs="Courier New" w:eastAsia="Courier New" w:hAnsi="Courier New"/>
                <w:color w:val="1A3A5C"/>
                <w:sz w:val="18"/>
                <w:szCs w:val="18"/>
              </w:rPr>
              <w:t xml:space="preserve">  |-- GRI Index (Standards-specific disclosures)</w:t>
            </w:r>
          </w:p>
          <w:p>
            <w:pPr>
              <w:spacing w:after="40"/>
            </w:pPr>
            <w:r>
              <w:rPr>
                <w:rFonts w:ascii="Courier New" w:cs="Courier New" w:eastAsia="Courier New" w:hAnsi="Courier New"/>
                <w:color w:val="1A3A5C"/>
                <w:sz w:val="18"/>
                <w:szCs w:val="18"/>
              </w:rPr>
              <w:t xml:space="preserve">  |-- IFRS S2 Climate Disclosures (governance, strategy, risk, metrics)</w:t>
            </w:r>
          </w:p>
          <w:p>
            <w:pPr>
              <w:spacing w:after="40"/>
            </w:pPr>
            <w:r>
              <w:rPr>
                <w:rFonts w:ascii="Courier New" w:cs="Courier New" w:eastAsia="Courier New" w:hAnsi="Courier New"/>
                <w:color w:val="1A3A5C"/>
                <w:sz w:val="18"/>
                <w:szCs w:val="18"/>
              </w:rPr>
              <w:t xml:space="preserve">  |-- CSRD / ESRS Report (12 standards, double materiality)</w:t>
            </w:r>
          </w:p>
          <w:p>
            <w:pPr>
              <w:spacing w:after="40"/>
            </w:pPr>
            <w:r>
              <w:rPr>
                <w:rFonts w:ascii="Courier New" w:cs="Courier New" w:eastAsia="Courier New" w:hAnsi="Courier New"/>
                <w:color w:val="1A3A5C"/>
                <w:sz w:val="18"/>
                <w:szCs w:val="18"/>
              </w:rPr>
              <w:t xml:space="preserve">  |-- CDP Climate Module (scoring-aligned format)</w:t>
            </w:r>
          </w:p>
          <w:p>
            <w:pPr>
              <w:spacing w:after="40"/>
            </w:pPr>
            <w:r>
              <w:rPr>
                <w:rFonts w:ascii="Courier New" w:cs="Courier New" w:eastAsia="Courier New" w:hAnsi="Courier New"/>
                <w:color w:val="1A3A5C"/>
                <w:sz w:val="18"/>
                <w:szCs w:val="18"/>
              </w:rPr>
              <w:t xml:space="preserve">  |-- OJK PSPK 1 &amp; 2 (Indonesia-specific regulatory format)</w:t>
            </w:r>
          </w:p>
        </w:tc>
      </w:tr>
    </w:tbl>
    <w:p>
      <w:pPr>
        <w:spacing w:after="200" w:before="60"/>
        <w:jc w:val="center"/>
      </w:pPr>
      <w:r>
        <w:rPr>
          <w:rFonts w:ascii="Arial" w:cs="Arial" w:eastAsia="Arial" w:hAnsi="Arial"/>
          <w:i/>
          <w:iCs/>
          <w:color w:val="666666"/>
          <w:sz w:val="18"/>
          <w:szCs w:val="18"/>
        </w:rPr>
        <w:t xml:space="preserve">Figure 4: Collect-Once, Comply-Many Architecture for Multi-Framework ESG Output</w:t>
      </w:r>
    </w:p>
    <w:p>
      <w:pPr>
        <w:spacing w:after="80"/>
      </w:pPr>
      <w:r>
        <w:t xml:space="preserve"/>
      </w:r>
    </w:p>
    <w:p>
      <w:pPr>
        <w:pStyle w:val="Heading2"/>
        <w:spacing w:after="120" w:before="280"/>
      </w:pPr>
      <w:r>
        <w:rPr>
          <w:rFonts w:ascii="Arial" w:cs="Arial" w:eastAsia="Arial" w:hAnsi="Arial"/>
          <w:b/>
          <w:bCs/>
          <w:color w:val="2E5FA3"/>
          <w:sz w:val="24"/>
          <w:szCs w:val="24"/>
        </w:rPr>
        <w:t xml:space="preserve">6.3 Indonesia PSPK - Key Divergences from IFRS S2</w:t>
      </w:r>
    </w:p>
    <w:p>
      <w:pPr>
        <w:pStyle w:val="BT"/>
      </w:pPr>
      <w:r>
        <w:rPr>
          <w:rFonts w:ascii="Arial" w:cs="Arial" w:eastAsia="Arial" w:hAnsi="Arial"/>
          <w:sz w:val="22"/>
          <w:szCs w:val="22"/>
        </w:rPr>
        <w:t xml:space="preserve">Indonesia's PSPK 1 and PSPK 2, adopted from IFRS S1/S2, maintain high structural alignment with international standards but introduce critical jurisdiction-specific divergences that AI mapping engines must account for:</w:t>
      </w:r>
    </w:p>
    <w:p>
      <w:pPr>
        <w:pStyle w:val="ListParagraph"/>
        <w:numPr>
          <w:ilvl w:val="0"/>
          <w:numId w:val="2"/>
        </w:numPr>
        <w:spacing w:after="100"/>
      </w:pPr>
      <w:r>
        <w:rPr>
          <w:rFonts w:ascii="Arial" w:cs="Arial" w:eastAsia="Arial" w:hAnsi="Arial"/>
          <w:sz w:val="22"/>
          <w:szCs w:val="22"/>
        </w:rPr>
        <w:t xml:space="preserve">Scope 3 grace period: Three years (versus IFRS S2's one-year relief) - Scope 3 reporting not required until 2030 for large banks</w:t>
      </w:r>
    </w:p>
    <w:p>
      <w:pPr>
        <w:pStyle w:val="ListParagraph"/>
        <w:numPr>
          <w:ilvl w:val="0"/>
          <w:numId w:val="2"/>
        </w:numPr>
        <w:spacing w:after="100"/>
      </w:pPr>
      <w:r>
        <w:rPr>
          <w:rFonts w:ascii="Arial" w:cs="Arial" w:eastAsia="Arial" w:hAnsi="Arial"/>
          <w:sz w:val="22"/>
          <w:szCs w:val="22"/>
        </w:rPr>
        <w:t xml:space="preserve">Mandatory transition plans with independent assurance, exceeding IFRS S2 requirements</w:t>
      </w:r>
    </w:p>
    <w:p>
      <w:pPr>
        <w:pStyle w:val="ListParagraph"/>
        <w:numPr>
          <w:ilvl w:val="0"/>
          <w:numId w:val="2"/>
        </w:numPr>
        <w:spacing w:after="100"/>
      </w:pPr>
      <w:r>
        <w:rPr>
          <w:rFonts w:ascii="Arial" w:cs="Arial" w:eastAsia="Arial" w:hAnsi="Arial"/>
          <w:sz w:val="22"/>
          <w:szCs w:val="22"/>
        </w:rPr>
        <w:t xml:space="preserve">Local industry classifications permitted instead of GICS (Global Industry Classification Standard)</w:t>
      </w:r>
    </w:p>
    <w:p>
      <w:pPr>
        <w:pStyle w:val="ListParagraph"/>
        <w:numPr>
          <w:ilvl w:val="0"/>
          <w:numId w:val="2"/>
        </w:numPr>
        <w:spacing w:after="100"/>
      </w:pPr>
      <w:r>
        <w:rPr>
          <w:rFonts w:ascii="Arial" w:cs="Arial" w:eastAsia="Arial" w:hAnsi="Arial"/>
          <w:sz w:val="22"/>
          <w:szCs w:val="22"/>
        </w:rPr>
        <w:t xml:space="preserve">Mandatory PSPK compliance beginning 1 January 2027 for large banks, with phased expansion through 2029</w:t>
      </w:r>
    </w:p>
    <w:p>
      <w:pPr>
        <w:pStyle w:val="ListParagraph"/>
        <w:numPr>
          <w:ilvl w:val="0"/>
          <w:numId w:val="2"/>
        </w:numPr>
        <w:spacing w:after="100"/>
      </w:pPr>
      <w:r>
        <w:rPr>
          <w:rFonts w:ascii="Arial" w:cs="Arial" w:eastAsia="Arial" w:hAnsi="Arial"/>
          <w:sz w:val="22"/>
          <w:szCs w:val="22"/>
        </w:rPr>
        <w:t xml:space="preserve">First-mover window: Approximately 12-18 months remain before the compliance deadline</w:t>
      </w:r>
    </w:p>
    <w:p>
      <w:pPr>
        <w:spacing w:after="80"/>
      </w:pPr>
      <w:r>
        <w:t xml:space="preserve"/>
      </w:r>
    </w:p>
    <w:p>
      <w:pPr>
        <w:pStyle w:val="Heading2"/>
        <w:spacing w:after="120" w:before="280"/>
      </w:pPr>
      <w:r>
        <w:rPr>
          <w:rFonts w:ascii="Arial" w:cs="Arial" w:eastAsia="Arial" w:hAnsi="Arial"/>
          <w:b/>
          <w:bCs/>
          <w:color w:val="2E5FA3"/>
          <w:sz w:val="24"/>
          <w:szCs w:val="24"/>
        </w:rPr>
        <w:t xml:space="preserve">6.4 CSRD / ESRS - Recent Developments</w:t>
      </w:r>
    </w:p>
    <w:p>
      <w:pPr>
        <w:pStyle w:val="BT"/>
      </w:pPr>
      <w:r>
        <w:rPr>
          <w:rFonts w:ascii="Arial" w:cs="Arial" w:eastAsia="Arial" w:hAnsi="Arial"/>
          <w:sz w:val="22"/>
          <w:szCs w:val="22"/>
        </w:rPr>
        <w:t xml:space="preserve">The EU adopted "quick fix" amendments to ESRS in July 2025, allowing companies that started reporting on FY2024 to not report additional ESRS information for FY2025-2026. The revised ESRS (May 2026) includes amendments increasing alignment with ISSB, including flexibility to use either the financial control or operational control approach for GHG reporting boundaries. AI platforms must be architected to accommodate these evolving requirements through updateable regulatory knowledge bases rather than hardcoded rules.</w:t>
      </w:r>
    </w:p>
    <w:p>
      <w:pPr>
        <w:pStyle w:val="BT"/>
      </w:pPr>
      <w:r>
        <w:rPr>
          <w:rFonts w:ascii="Arial" w:cs="Arial" w:eastAsia="Arial" w:hAnsi="Arial"/>
          <w:sz w:val="22"/>
          <w:szCs w:val="22"/>
        </w:rPr>
        <w:t xml:space="preserve">The 2025 CSRD update reduces the number of mandatory data points but simultaneously raises expectations for data quality, source documentation, and reconciliation with financial statements - directly favouring AI platforms with robust data lineage and deterministic calculation capabilities.</w:t>
      </w:r>
    </w:p>
    <w:p>
      <w:pPr>
        <w:pStyle w:val="Heading1"/>
        <w:spacing w:after="200" w:before="440"/>
      </w:pPr>
      <w:r>
        <w:rPr>
          <w:rFonts w:ascii="Arial" w:cs="Arial" w:eastAsia="Arial" w:hAnsi="Arial"/>
          <w:b/>
          <w:bCs/>
          <w:color w:val="1A3A5C"/>
          <w:sz w:val="30"/>
          <w:szCs w:val="30"/>
        </w:rPr>
        <w:t xml:space="preserve">7. Governance, Risk, and Hallucination Mitigation</w:t>
      </w:r>
    </w:p>
    <w:p>
      <w:pPr>
        <w:pStyle w:val="BT"/>
      </w:pPr>
      <w:r>
        <w:rPr>
          <w:rFonts w:ascii="Arial" w:cs="Arial" w:eastAsia="Arial" w:hAnsi="Arial"/>
          <w:sz w:val="22"/>
          <w:szCs w:val="22"/>
        </w:rPr>
        <w:t xml:space="preserve">Governance is not a supplementary concern for AI-powered ESG reporting - it is the decisive factor that determines whether AI-generated disclosures are defensible under regulatory scrutiny. This section addresses the four governance imperatives: data quality, hallucination detection, audit traceability, and human oversight.</w:t>
      </w:r>
    </w:p>
    <w:p>
      <w:pPr>
        <w:pStyle w:val="Heading2"/>
        <w:spacing w:after="120" w:before="280"/>
      </w:pPr>
      <w:r>
        <w:rPr>
          <w:rFonts w:ascii="Arial" w:cs="Arial" w:eastAsia="Arial" w:hAnsi="Arial"/>
          <w:b/>
          <w:bCs/>
          <w:color w:val="2E5FA3"/>
          <w:sz w:val="24"/>
          <w:szCs w:val="24"/>
        </w:rPr>
        <w:t xml:space="preserve">7.1 Data Quality as the Foundation</w:t>
      </w:r>
    </w:p>
    <w:p>
      <w:pPr>
        <w:pStyle w:val="BT"/>
      </w:pPr>
      <w:r>
        <w:rPr>
          <w:rFonts w:ascii="Arial" w:cs="Arial" w:eastAsia="Arial" w:hAnsi="Arial"/>
          <w:sz w:val="22"/>
          <w:szCs w:val="22"/>
        </w:rPr>
        <w:t xml:space="preserve">AI-powered ESG reporting is entirely reliant on the data it is fed, which can be incomplete, biased, or inaccurate. Without expert human oversight, organisations risk processing dirty data that produces unreliable ESG disclosures. This challenge is particularly acute for Scope 3 emissions, where data must be gathered across complex supply chains with varying levels of measurement maturity.</w:t>
      </w:r>
    </w:p>
    <w:p>
      <w:pPr>
        <w:pStyle w:val="BT"/>
      </w:pPr>
      <w:r>
        <w:rPr>
          <w:rFonts w:ascii="Arial" w:cs="Arial" w:eastAsia="Arial" w:hAnsi="Arial"/>
          <w:sz w:val="22"/>
          <w:szCs w:val="22"/>
        </w:rPr>
        <w:t xml:space="preserve">The three-zone data lake pattern (Raw -&gt; Curated -&gt; Aggregated) addresses this through progressive data validation. Only data that passes normalisation, deduplication, and quality checks in the Glue ETL layer is promoted to the Curated zone. The Aggregated zone contains only metrics that have passed the full pipeline, forming the exclusive input to the AI narrative generation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8E6C9" w:sz="4"/>
              <w:left w:val="single" w:color="2E7D32" w:sz="24"/>
              <w:bottom w:val="single" w:color="C8E6C9" w:sz="4"/>
              <w:right w:val="none" w:color="FFFFFF" w:sz="0"/>
            </w:tcBorders>
            <w:shd w:fill="E8F5E9" w:val="clear"/>
          </w:tcPr>
          <w:p>
            <w:pPr>
              <w:spacing w:after="80" w:before="60"/>
            </w:pPr>
            <w:r>
              <w:rPr>
                <w:rFonts w:ascii="Arial" w:cs="Arial" w:eastAsia="Arial" w:hAnsi="Arial"/>
                <w:color w:val="1B5E20"/>
                <w:sz w:val="21"/>
                <w:szCs w:val="21"/>
              </w:rPr>
              <w:t xml:space="preserve">Data Quality Gates: Three-Zone Validation Pattern</w:t>
            </w:r>
          </w:p>
          <w:p>
            <w:pPr>
              <w:spacing w:after="80" w:before="60"/>
            </w:pPr>
            <w:r>
              <w:rPr>
                <w:rFonts w:ascii="Arial" w:cs="Arial" w:eastAsia="Arial" w:hAnsi="Arial"/>
                <w:color w:val="1B5E20"/>
                <w:sz w:val="21"/>
                <w:szCs w:val="21"/>
              </w:rPr>
              <w:t xml:space="preserve"/>
            </w:r>
          </w:p>
          <w:p>
            <w:pPr>
              <w:spacing w:after="80" w:before="60"/>
            </w:pPr>
            <w:r>
              <w:rPr>
                <w:rFonts w:ascii="Arial" w:cs="Arial" w:eastAsia="Arial" w:hAnsi="Arial"/>
                <w:color w:val="1B5E20"/>
                <w:sz w:val="21"/>
                <w:szCs w:val="21"/>
              </w:rPr>
              <w:t xml:space="preserve">  Raw Zone: Ingested as-is from source systems. No quality assumptions.</w:t>
            </w:r>
          </w:p>
          <w:p>
            <w:pPr>
              <w:spacing w:after="80" w:before="60"/>
            </w:pPr>
            <w:r>
              <w:rPr>
                <w:rFonts w:ascii="Arial" w:cs="Arial" w:eastAsia="Arial" w:hAnsi="Arial"/>
                <w:color w:val="1B5E20"/>
                <w:sz w:val="21"/>
                <w:szCs w:val="21"/>
              </w:rPr>
              <w:t xml:space="preserve">  Curated Zone: Glue ETL applied. Normalised, deduplicated, unit-converted to MTCO2e.</w:t>
            </w:r>
          </w:p>
          <w:p>
            <w:pPr>
              <w:spacing w:after="80" w:before="60"/>
            </w:pPr>
            <w:r>
              <w:rPr>
                <w:rFonts w:ascii="Arial" w:cs="Arial" w:eastAsia="Arial" w:hAnsi="Arial"/>
                <w:color w:val="1B5E20"/>
                <w:sz w:val="21"/>
                <w:szCs w:val="21"/>
              </w:rPr>
              <w:t xml:space="preserve">               Validation rules applied. Rows failing validation flagged, not deleted.</w:t>
            </w:r>
          </w:p>
          <w:p>
            <w:pPr>
              <w:spacing w:after="80" w:before="60"/>
            </w:pPr>
            <w:r>
              <w:rPr>
                <w:rFonts w:ascii="Arial" w:cs="Arial" w:eastAsia="Arial" w:hAnsi="Arial"/>
                <w:color w:val="1B5E20"/>
                <w:sz w:val="21"/>
                <w:szCs w:val="21"/>
              </w:rPr>
              <w:t xml:space="preserve">  Aggregated Zone: SQL-computed metrics. Only clean, validated data reaches this zone.</w:t>
            </w:r>
          </w:p>
          <w:p>
            <w:pPr>
              <w:spacing w:after="80" w:before="60"/>
            </w:pPr>
            <w:r>
              <w:rPr>
                <w:rFonts w:ascii="Arial" w:cs="Arial" w:eastAsia="Arial" w:hAnsi="Arial"/>
                <w:color w:val="1B5E20"/>
                <w:sz w:val="21"/>
                <w:szCs w:val="21"/>
              </w:rPr>
              <w:t xml:space="preserve">               This is the ONLY input layer for LLM narrative generation.</w:t>
            </w:r>
          </w:p>
          <w:p>
            <w:pPr>
              <w:spacing w:after="80" w:before="60"/>
            </w:pPr>
            <w:r>
              <w:rPr>
                <w:rFonts w:ascii="Arial" w:cs="Arial" w:eastAsia="Arial" w:hAnsi="Arial"/>
                <w:color w:val="1B5E20"/>
                <w:sz w:val="21"/>
                <w:szCs w:val="21"/>
              </w:rPr>
              <w:t xml:space="preserve"/>
            </w:r>
          </w:p>
          <w:p>
            <w:pPr>
              <w:spacing w:after="80" w:before="60"/>
            </w:pPr>
            <w:r>
              <w:rPr>
                <w:rFonts w:ascii="Arial" w:cs="Arial" w:eastAsia="Arial" w:hAnsi="Arial"/>
                <w:color w:val="1B5E20"/>
                <w:sz w:val="21"/>
                <w:szCs w:val="21"/>
              </w:rPr>
              <w:t xml:space="preserve">  Alert: Any AI narrative must cite Aggregated zone data - not Raw or Curated.</w:t>
            </w:r>
          </w:p>
        </w:tc>
      </w:tr>
    </w:tbl>
    <w:p>
      <w:pPr>
        <w:spacing w:after="120"/>
      </w:pPr>
      <w:r>
        <w:t xml:space="preserve"/>
      </w:r>
    </w:p>
    <w:p>
      <w:pPr>
        <w:pStyle w:val="Heading2"/>
        <w:spacing w:after="120" w:before="280"/>
      </w:pPr>
      <w:r>
        <w:rPr>
          <w:rFonts w:ascii="Arial" w:cs="Arial" w:eastAsia="Arial" w:hAnsi="Arial"/>
          <w:b/>
          <w:bCs/>
          <w:color w:val="2E5FA3"/>
          <w:sz w:val="24"/>
          <w:szCs w:val="24"/>
        </w:rPr>
        <w:t xml:space="preserve">7.2 Hallucination Detection with Automated Reasoning</w:t>
      </w:r>
    </w:p>
    <w:p>
      <w:pPr>
        <w:pStyle w:val="BT"/>
      </w:pPr>
      <w:r>
        <w:rPr>
          <w:rFonts w:ascii="Arial" w:cs="Arial" w:eastAsia="Arial" w:hAnsi="Arial"/>
          <w:sz w:val="22"/>
          <w:szCs w:val="22"/>
        </w:rPr>
        <w:t xml:space="preserve">Hallucination risk in ESG reporting is acute and growing. Fabricated references in professional literature grew more than 12-fold since 2023. In the ESG context, hallucinated emissions figures, fabricated benchmark comparisons, or invented regulatory citations could expose organisations to greenwashing liability and regulatory sanctions.</w:t>
      </w:r>
    </w:p>
    <w:p>
      <w:pPr>
        <w:pStyle w:val="BT"/>
      </w:pPr>
      <w:r>
        <w:rPr>
          <w:rFonts w:ascii="Arial" w:cs="Arial" w:eastAsia="Arial" w:hAnsi="Arial"/>
          <w:sz w:val="22"/>
          <w:szCs w:val="22"/>
        </w:rPr>
        <w:t xml:space="preserve">The most robust mitigation available is Bedrock Guardrails Automated Reasoning, which uses mathematical formal logic - not probabilistic validation - to deliver up to 99% accuracy at detecting correct LLM responses, filtering over 75% of hallucinated responses in RAG and summarisation use cases. Source document references (available since February 2026) enable full traceability of validation decisions.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Mitigation Layer</w:t>
            </w:r>
          </w:p>
        </w:tc>
        <w:tc>
          <w:tcPr>
            <w:tcW w:type="dxa" w:w="624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Mechanism and Effectiveness</w:t>
            </w:r>
          </w:p>
        </w:tc>
      </w:tr>
      <w:tr>
        <w:tc>
          <w:tcPr>
            <w:tcW w:type="dxa" w:w="31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Separation of Concerns</w:t>
            </w:r>
          </w:p>
        </w:tc>
        <w:tc>
          <w:tcPr>
            <w:tcW w:type="dxa" w:w="624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Never ask LLMs to compute GHG figures. All numerical claims generated by deterministic code paths (Athena SQL, Glue PySpark, AgentCore Code Interpreter) and passed to LLMs as verified context.</w:t>
            </w:r>
          </w:p>
        </w:tc>
      </w:tr>
      <w:tr>
        <w:tc>
          <w:tcPr>
            <w:tcW w:type="dxa" w:w="31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RAG Grounding</w:t>
            </w:r>
          </w:p>
        </w:tc>
        <w:tc>
          <w:tcPr>
            <w:tcW w:type="dxa" w:w="624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Bedrock Knowledge Bases retrieves relevant regulatory context at inference time, grounding narrative generation in authoritative source documents rather than model parametric knowledge.</w:t>
            </w:r>
          </w:p>
        </w:tc>
      </w:tr>
      <w:tr>
        <w:tc>
          <w:tcPr>
            <w:tcW w:type="dxa" w:w="31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Automated Reasoning</w:t>
            </w:r>
          </w:p>
        </w:tc>
        <w:tc>
          <w:tcPr>
            <w:tcW w:type="dxa" w:w="624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Bedrock Guardrails Automated Reasoning checks use formal logic (not probabilistic) to achieve up to 99% accuracy in detecting correct responses and filter &gt;75% of hallucinations in RAG use cases.</w:t>
            </w:r>
          </w:p>
        </w:tc>
      </w:tr>
      <w:tr>
        <w:tc>
          <w:tcPr>
            <w:tcW w:type="dxa" w:w="31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Source References</w:t>
            </w:r>
          </w:p>
        </w:tc>
        <w:tc>
          <w:tcPr>
            <w:tcW w:type="dxa" w:w="624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Every validation decision is traceable to a source document. Every AI-generated claim in a published report can be traced back to its evidentiary basis - the audit trail assurance providers require.</w:t>
            </w:r>
          </w:p>
        </w:tc>
      </w:tr>
      <w:tr>
        <w:tc>
          <w:tcPr>
            <w:tcW w:type="dxa" w:w="31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Human Review Gate</w:t>
            </w:r>
          </w:p>
        </w:tc>
        <w:tc>
          <w:tcPr>
            <w:tcW w:type="dxa" w:w="624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Final sign-off by ESG Manager or Sustainability Officer before publication. AI-generated drafts are reviewed for materiality assessments, framework-specific interpretations, and consistency with prior year disclosures.</w:t>
            </w:r>
          </w:p>
        </w:tc>
      </w:tr>
    </w:tbl>
    <w:p>
      <w:pPr>
        <w:spacing w:after="200" w:before="60"/>
        <w:jc w:val="center"/>
      </w:pPr>
      <w:r>
        <w:rPr>
          <w:rFonts w:ascii="Arial" w:cs="Arial" w:eastAsia="Arial" w:hAnsi="Arial"/>
          <w:i/>
          <w:iCs/>
          <w:color w:val="666666"/>
          <w:sz w:val="18"/>
          <w:szCs w:val="18"/>
        </w:rPr>
        <w:t xml:space="preserve">Table 5: Hallucination Mitigation Layers for AI-Generated ESG Disclosures</w:t>
      </w:r>
    </w:p>
    <w:p>
      <w:pPr>
        <w:spacing w:after="80"/>
      </w:pPr>
      <w:r>
        <w:t xml:space="preserve"/>
      </w:r>
    </w:p>
    <w:p>
      <w:pPr>
        <w:pStyle w:val="Heading2"/>
        <w:spacing w:after="120" w:before="280"/>
      </w:pPr>
      <w:r>
        <w:rPr>
          <w:rFonts w:ascii="Arial" w:cs="Arial" w:eastAsia="Arial" w:hAnsi="Arial"/>
          <w:b/>
          <w:bCs/>
          <w:color w:val="2E5FA3"/>
          <w:sz w:val="24"/>
          <w:szCs w:val="24"/>
        </w:rPr>
        <w:t xml:space="preserve">7.3 Immutable Audit Trail Architecture</w:t>
      </w:r>
    </w:p>
    <w:p>
      <w:pPr>
        <w:pStyle w:val="BT"/>
      </w:pPr>
      <w:r>
        <w:rPr>
          <w:rFonts w:ascii="Arial" w:cs="Arial" w:eastAsia="Arial" w:hAnsi="Arial"/>
          <w:sz w:val="22"/>
          <w:szCs w:val="22"/>
        </w:rPr>
        <w:t xml:space="preserve">AWS CloudTrail provides governance, compliance, and risk auditing by logging all API calls with user identity, timestamps, source IP, and request parameters, with cryptographic hash validation for tamper detection. For AI-generated ESG reports, this means every model invocation, data retrieval, calculation execution, and narrative generation step is logged immutably - creating the complete chain of custody that external assurance providers require.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C5D5E8" w:sz="4"/>
              <w:bottom w:val="single" w:color="C5D5E8" w:sz="4"/>
              <w:right w:val="single" w:color="C5D5E8" w:sz="4"/>
            </w:tcBorders>
            <w:shd w:fill="F2F6FC" w:val="clear"/>
          </w:tcPr>
          <w:p>
            <w:pPr>
              <w:spacing w:after="40"/>
            </w:pPr>
            <w:r>
              <w:rPr>
                <w:rFonts w:ascii="Courier New" w:cs="Courier New" w:eastAsia="Courier New" w:hAnsi="Courier New"/>
                <w:color w:val="1A3A5C"/>
                <w:sz w:val="18"/>
                <w:szCs w:val="18"/>
              </w:rPr>
              <w:t xml:space="preserve">  Audit Trail Chain for a Single ESG Disclosure Claim:</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1. Source Data Ingestion</w:t>
            </w:r>
          </w:p>
          <w:p>
            <w:pPr>
              <w:spacing w:after="40"/>
            </w:pPr>
            <w:r>
              <w:rPr>
                <w:rFonts w:ascii="Courier New" w:cs="Courier New" w:eastAsia="Courier New" w:hAnsi="Courier New"/>
                <w:color w:val="1A3A5C"/>
                <w:sz w:val="18"/>
                <w:szCs w:val="18"/>
              </w:rPr>
              <w:t xml:space="preserve">     CloudTrail: AppFlow pull from SAP OData [timestamp, user, source record ID]</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2. ETL Processing</w:t>
            </w:r>
          </w:p>
          <w:p>
            <w:pPr>
              <w:spacing w:after="40"/>
            </w:pPr>
            <w:r>
              <w:rPr>
                <w:rFonts w:ascii="Courier New" w:cs="Courier New" w:eastAsia="Courier New" w:hAnsi="Courier New"/>
                <w:color w:val="1A3A5C"/>
                <w:sz w:val="18"/>
                <w:szCs w:val="18"/>
              </w:rPr>
              <w:t xml:space="preserve">     CloudTrail: Glue job execution [job ID, input partitions, output schema, row count]</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3. GHG Calculation</w:t>
            </w:r>
          </w:p>
          <w:p>
            <w:pPr>
              <w:spacing w:after="40"/>
            </w:pPr>
            <w:r>
              <w:rPr>
                <w:rFonts w:ascii="Courier New" w:cs="Courier New" w:eastAsia="Courier New" w:hAnsi="Courier New"/>
                <w:color w:val="1A3A5C"/>
                <w:sz w:val="18"/>
                <w:szCs w:val="18"/>
              </w:rPr>
              <w:t xml:space="preserve">     CloudTrail: Athena query execution [query ID, SQL text, result location, execution time]</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4. AI Narrative Generation</w:t>
            </w:r>
          </w:p>
          <w:p>
            <w:pPr>
              <w:spacing w:after="40"/>
            </w:pPr>
            <w:r>
              <w:rPr>
                <w:rFonts w:ascii="Courier New" w:cs="Courier New" w:eastAsia="Courier New" w:hAnsi="Courier New"/>
                <w:color w:val="1A3A5C"/>
                <w:sz w:val="18"/>
                <w:szCs w:val="18"/>
              </w:rPr>
              <w:t xml:space="preserve">     CloudTrail: Bedrock InvokeModel [model ID, prompt hash, response hash, guardrail result]</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5. Guardrail Verification</w:t>
            </w:r>
          </w:p>
          <w:p>
            <w:pPr>
              <w:spacing w:after="40"/>
            </w:pPr>
            <w:r>
              <w:rPr>
                <w:rFonts w:ascii="Courier New" w:cs="Courier New" w:eastAsia="Courier New" w:hAnsi="Courier New"/>
                <w:color w:val="1A3A5C"/>
                <w:sz w:val="18"/>
                <w:szCs w:val="18"/>
              </w:rPr>
              <w:t xml:space="preserve">     CloudTrail: Guardrail check [claim text, source reference, formal logic result, decision]</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6. Human Approval</w:t>
            </w:r>
          </w:p>
          <w:p>
            <w:pPr>
              <w:spacing w:after="40"/>
            </w:pPr>
            <w:r>
              <w:rPr>
                <w:rFonts w:ascii="Courier New" w:cs="Courier New" w:eastAsia="Courier New" w:hAnsi="Courier New"/>
                <w:color w:val="1A3A5C"/>
                <w:sz w:val="18"/>
                <w:szCs w:val="18"/>
              </w:rPr>
              <w:t xml:space="preserve">     CloudTrail: Approval action [approver ID, timestamp, document version hash]</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  =&gt; Complete, cryptographically-validated chain from raw source data to published claim</w:t>
            </w:r>
          </w:p>
        </w:tc>
      </w:tr>
    </w:tbl>
    <w:p>
      <w:pPr>
        <w:spacing w:after="200" w:before="60"/>
        <w:jc w:val="center"/>
      </w:pPr>
      <w:r>
        <w:rPr>
          <w:rFonts w:ascii="Arial" w:cs="Arial" w:eastAsia="Arial" w:hAnsi="Arial"/>
          <w:i/>
          <w:iCs/>
          <w:color w:val="666666"/>
          <w:sz w:val="18"/>
          <w:szCs w:val="18"/>
        </w:rPr>
        <w:t xml:space="preserve">Figure 5: Immutable Audit Trail Chain for a Single ESG Disclosure Claim</w:t>
      </w:r>
    </w:p>
    <w:p>
      <w:pPr>
        <w:spacing w:after="80"/>
      </w:pPr>
      <w:r>
        <w:t xml:space="preserve"/>
      </w:r>
    </w:p>
    <w:p>
      <w:pPr>
        <w:pStyle w:val="Heading2"/>
        <w:spacing w:after="120" w:before="280"/>
      </w:pPr>
      <w:r>
        <w:rPr>
          <w:rFonts w:ascii="Arial" w:cs="Arial" w:eastAsia="Arial" w:hAnsi="Arial"/>
          <w:b/>
          <w:bCs/>
          <w:color w:val="2E5FA3"/>
          <w:sz w:val="24"/>
          <w:szCs w:val="24"/>
        </w:rPr>
        <w:t xml:space="preserve">7.4 AI Governance Framework Requirements</w:t>
      </w:r>
    </w:p>
    <w:p>
      <w:pPr>
        <w:pStyle w:val="BT"/>
      </w:pPr>
      <w:r>
        <w:rPr>
          <w:rFonts w:ascii="Arial" w:cs="Arial" w:eastAsia="Arial" w:hAnsi="Arial"/>
          <w:sz w:val="22"/>
          <w:szCs w:val="22"/>
        </w:rPr>
        <w:t xml:space="preserve">The FINOS AI Governance Framework notes that hallucinations remain a persistent and unresolved challenge - RAG can minimise but not eliminate the risk. Organisations deploying AI for ESG reporting should establish a formal AI governance framework addressing:</w:t>
      </w:r>
    </w:p>
    <w:p>
      <w:pPr>
        <w:pStyle w:val="ListParagraph"/>
        <w:numPr>
          <w:ilvl w:val="0"/>
          <w:numId w:val="2"/>
        </w:numPr>
        <w:spacing w:after="100"/>
      </w:pPr>
      <w:r>
        <w:rPr>
          <w:rFonts w:ascii="Arial" w:cs="Arial" w:eastAsia="Arial" w:hAnsi="Arial"/>
          <w:sz w:val="22"/>
          <w:szCs w:val="22"/>
        </w:rPr>
        <w:t xml:space="preserve">Data quality standards: Minimum acceptable quality thresholds for each data category before AI processing</w:t>
      </w:r>
    </w:p>
    <w:p>
      <w:pPr>
        <w:pStyle w:val="ListParagraph"/>
        <w:numPr>
          <w:ilvl w:val="0"/>
          <w:numId w:val="2"/>
        </w:numPr>
        <w:spacing w:after="100"/>
      </w:pPr>
      <w:r>
        <w:rPr>
          <w:rFonts w:ascii="Arial" w:cs="Arial" w:eastAsia="Arial" w:hAnsi="Arial"/>
          <w:sz w:val="22"/>
          <w:szCs w:val="22"/>
        </w:rPr>
        <w:t xml:space="preserve">Model selection criteria: Approved foundation models, versioning policy, and change management process</w:t>
      </w:r>
    </w:p>
    <w:p>
      <w:pPr>
        <w:pStyle w:val="ListParagraph"/>
        <w:numPr>
          <w:ilvl w:val="0"/>
          <w:numId w:val="2"/>
        </w:numPr>
        <w:spacing w:after="100"/>
      </w:pPr>
      <w:r>
        <w:rPr>
          <w:rFonts w:ascii="Arial" w:cs="Arial" w:eastAsia="Arial" w:hAnsi="Arial"/>
          <w:sz w:val="22"/>
          <w:szCs w:val="22"/>
        </w:rPr>
        <w:t xml:space="preserve">Hallucination mitigation procedures: Specific controls for each report section type</w:t>
      </w:r>
    </w:p>
    <w:p>
      <w:pPr>
        <w:pStyle w:val="ListParagraph"/>
        <w:numPr>
          <w:ilvl w:val="0"/>
          <w:numId w:val="2"/>
        </w:numPr>
        <w:spacing w:after="100"/>
      </w:pPr>
      <w:r>
        <w:rPr>
          <w:rFonts w:ascii="Arial" w:cs="Arial" w:eastAsia="Arial" w:hAnsi="Arial"/>
          <w:sz w:val="22"/>
          <w:szCs w:val="22"/>
        </w:rPr>
        <w:t xml:space="preserve">Human oversight requirements: Roles, responsibilities, and sign-off authority at each review gate</w:t>
      </w:r>
    </w:p>
    <w:p>
      <w:pPr>
        <w:pStyle w:val="ListParagraph"/>
        <w:numPr>
          <w:ilvl w:val="0"/>
          <w:numId w:val="2"/>
        </w:numPr>
        <w:spacing w:after="100"/>
      </w:pPr>
      <w:r>
        <w:rPr>
          <w:rFonts w:ascii="Arial" w:cs="Arial" w:eastAsia="Arial" w:hAnsi="Arial"/>
          <w:sz w:val="22"/>
          <w:szCs w:val="22"/>
        </w:rPr>
        <w:t xml:space="preserve">Audit trail specifications: Retention periods, access controls, and assurance provider access procedures</w:t>
      </w:r>
    </w:p>
    <w:p>
      <w:pPr>
        <w:pStyle w:val="ListParagraph"/>
        <w:numPr>
          <w:ilvl w:val="0"/>
          <w:numId w:val="2"/>
        </w:numPr>
        <w:spacing w:after="100"/>
      </w:pPr>
      <w:r>
        <w:rPr>
          <w:rFonts w:ascii="Arial" w:cs="Arial" w:eastAsia="Arial" w:hAnsi="Arial"/>
          <w:sz w:val="22"/>
          <w:szCs w:val="22"/>
        </w:rPr>
        <w:t xml:space="preserve">Greenwashing risk policy: Prohibition on publishing AI-generated claims that lack deterministic verification</w:t>
      </w:r>
    </w:p>
    <w:p>
      <w:pPr>
        <w:spacing w:after="80"/>
      </w:pPr>
      <w:r>
        <w:t xml:space="preserve"/>
      </w:r>
    </w:p>
    <w:p>
      <w:pPr>
        <w:pStyle w:val="Heading1"/>
        <w:spacing w:after="200" w:before="440"/>
      </w:pPr>
      <w:r>
        <w:rPr>
          <w:rFonts w:ascii="Arial" w:cs="Arial" w:eastAsia="Arial" w:hAnsi="Arial"/>
          <w:b/>
          <w:bCs/>
          <w:color w:val="1A3A5C"/>
          <w:sz w:val="30"/>
          <w:szCs w:val="30"/>
        </w:rPr>
        <w:t xml:space="preserve">8. Real-World Case Studies</w:t>
      </w:r>
    </w:p>
    <w:p>
      <w:pPr>
        <w:pStyle w:val="Heading2"/>
        <w:spacing w:after="120" w:before="280"/>
      </w:pPr>
      <w:r>
        <w:rPr>
          <w:rFonts w:ascii="Arial" w:cs="Arial" w:eastAsia="Arial" w:hAnsi="Arial"/>
          <w:b/>
          <w:bCs/>
          <w:color w:val="2E5FA3"/>
          <w:sz w:val="24"/>
          <w:szCs w:val="24"/>
        </w:rPr>
        <w:t xml:space="preserve">8.1 AWS Bedrock: Indonesian Bank Sustainability Report Generator</w:t>
      </w:r>
    </w:p>
    <w:p>
      <w:pPr>
        <w:pStyle w:val="BT"/>
      </w:pPr>
      <w:r>
        <w:rPr>
          <w:rFonts w:ascii="Arial" w:cs="Arial" w:eastAsia="Arial" w:hAnsi="Arial"/>
          <w:sz w:val="22"/>
          <w:szCs w:val="22"/>
        </w:rPr>
        <w:t xml:space="preserve">A production-ready architecture targeting Indonesia's 2027 OJK PSPK mandatory reporting deadline demonstrates the full five-layer reference architecture in practice. The platform ingests data from Core Banking, HR, and AWS CloudWatch systems through an ingestion layer, processes it through a three-zone S3 Data Lake with Glue ETL, and feeds an AI Report Generation Engine using Bedrock Knowledge Bases RAG, Claude on Bedrock, Step Functions (40x parallel InvokeModel), and Bedrock Guardrails.</w:t>
      </w:r>
    </w:p>
    <w:p>
      <w:pPr>
        <w:pStyle w:val="BT"/>
      </w:pPr>
      <w:r>
        <w:rPr>
          <w:rFonts w:ascii="Arial" w:cs="Arial" w:eastAsia="Arial" w:hAnsi="Arial"/>
          <w:sz w:val="22"/>
          <w:szCs w:val="22"/>
        </w:rPr>
        <w:t xml:space="preserve">The platform generates formatted Word/PDF sustainability reports, compliance dashboards, and ESG scores aligned to OJK/PSPK regulatory standards. A regulatory mapping engine automatically maps data inputs to PSPK 1 and PSPK 2 disclosure requirements aligned with IFRS S1/S2. Cost modelling shows the platform scales from approximately $800-1,800/month for five bank tenants to $8,000-24,000/month at 50+ tenants - significantly below competitor subscription pricing of $25,000+ per year.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1A3A5C" w:sz="24"/>
              <w:bottom w:val="single" w:color="C5D5E8" w:sz="4"/>
              <w:right w:val="none" w:color="FFFFFF" w:sz="0"/>
            </w:tcBorders>
            <w:shd w:fill="E8F0FB" w:val="clear"/>
          </w:tcPr>
          <w:p>
            <w:pPr>
              <w:spacing w:after="80" w:before="60"/>
            </w:pPr>
            <w:r>
              <w:rPr>
                <w:rFonts w:ascii="Arial" w:cs="Arial" w:eastAsia="Arial" w:hAnsi="Arial"/>
                <w:color w:val="1A3A5C"/>
                <w:sz w:val="21"/>
                <w:szCs w:val="21"/>
              </w:rPr>
              <w:t xml:space="preserve">Key Technical Specifications - Indonesian Bank Platform:</w:t>
            </w:r>
          </w:p>
          <w:p>
            <w:pPr>
              <w:spacing w:after="80" w:before="60"/>
            </w:pPr>
            <w:r>
              <w:rPr>
                <w:rFonts w:ascii="Arial" w:cs="Arial" w:eastAsia="Arial" w:hAnsi="Arial"/>
                <w:color w:val="1A3A5C"/>
                <w:sz w:val="21"/>
                <w:szCs w:val="21"/>
              </w:rPr>
              <w:t xml:space="preserve"/>
            </w:r>
          </w:p>
          <w:p>
            <w:pPr>
              <w:spacing w:after="80" w:before="60"/>
            </w:pPr>
            <w:r>
              <w:rPr>
                <w:rFonts w:ascii="Arial" w:cs="Arial" w:eastAsia="Arial" w:hAnsi="Arial"/>
                <w:color w:val="1A3A5C"/>
                <w:sz w:val="21"/>
                <w:szCs w:val="21"/>
              </w:rPr>
              <w:t xml:space="preserve">  PCAF methodology: 5-tier data quality scoring across palm oil, coal, infrastructure portfolios</w:t>
            </w:r>
          </w:p>
          <w:p>
            <w:pPr>
              <w:spacing w:after="80" w:before="60"/>
            </w:pPr>
            <w:r>
              <w:rPr>
                <w:rFonts w:ascii="Arial" w:cs="Arial" w:eastAsia="Arial" w:hAnsi="Arial"/>
                <w:color w:val="1A3A5C"/>
                <w:sz w:val="21"/>
                <w:szCs w:val="21"/>
              </w:rPr>
              <w:t xml:space="preserve">  Vector store: OpenSearch Serverless (native Bedrock integration) OR Aurora pgvector (multi-tenant)</w:t>
            </w:r>
          </w:p>
          <w:p>
            <w:pPr>
              <w:spacing w:after="80" w:before="60"/>
            </w:pPr>
            <w:r>
              <w:rPr>
                <w:rFonts w:ascii="Arial" w:cs="Arial" w:eastAsia="Arial" w:hAnsi="Arial"/>
                <w:color w:val="1A3A5C"/>
                <w:sz w:val="21"/>
                <w:szCs w:val="21"/>
              </w:rPr>
              <w:t xml:space="preserve">  Guardrails: Automated Reasoning (99% accuracy), content filters, topic denial policies</w:t>
            </w:r>
          </w:p>
          <w:p>
            <w:pPr>
              <w:spacing w:after="80" w:before="60"/>
            </w:pPr>
            <w:r>
              <w:rPr>
                <w:rFonts w:ascii="Arial" w:cs="Arial" w:eastAsia="Arial" w:hAnsi="Arial"/>
                <w:color w:val="1A3A5C"/>
                <w:sz w:val="21"/>
                <w:szCs w:val="21"/>
              </w:rPr>
              <w:t xml:space="preserve">  Step Functions: ReportWorkflowStateMachine with 5 stages, Map state for 40x parallelism</w:t>
            </w:r>
          </w:p>
          <w:p>
            <w:pPr>
              <w:spacing w:after="80" w:before="60"/>
            </w:pPr>
            <w:r>
              <w:rPr>
                <w:rFonts w:ascii="Arial" w:cs="Arial" w:eastAsia="Arial" w:hAnsi="Arial"/>
                <w:color w:val="1A3A5C"/>
                <w:sz w:val="21"/>
                <w:szCs w:val="21"/>
              </w:rPr>
              <w:t xml:space="preserve">  Cost: $800-1,800/month (5 tenants) to $8,000-24,000/month (50+ tenants)</w:t>
            </w:r>
          </w:p>
          <w:p>
            <w:pPr>
              <w:spacing w:after="80" w:before="60"/>
            </w:pPr>
            <w:r>
              <w:rPr>
                <w:rFonts w:ascii="Arial" w:cs="Arial" w:eastAsia="Arial" w:hAnsi="Arial"/>
                <w:color w:val="1A3A5C"/>
                <w:sz w:val="21"/>
                <w:szCs w:val="21"/>
              </w:rPr>
              <w:t xml:space="preserve">  Compliance: OJK PSPK 1 &amp; 2, IFRS S1/S2, GRI (post-MVP), CDP (post-MVP), TCFD (post-MVP)</w:t>
            </w:r>
          </w:p>
        </w:tc>
      </w:tr>
    </w:tbl>
    <w:p>
      <w:pPr>
        <w:spacing w:after="120"/>
      </w:pPr>
      <w:r>
        <w:t xml:space="preserve"/>
      </w:r>
    </w:p>
    <w:p>
      <w:pPr>
        <w:pStyle w:val="Heading2"/>
        <w:spacing w:after="120" w:before="280"/>
      </w:pPr>
      <w:r>
        <w:rPr>
          <w:rFonts w:ascii="Arial" w:cs="Arial" w:eastAsia="Arial" w:hAnsi="Arial"/>
          <w:b/>
          <w:bCs/>
          <w:color w:val="2E5FA3"/>
          <w:sz w:val="24"/>
          <w:szCs w:val="24"/>
        </w:rPr>
        <w:t xml:space="preserve">8.2 Gardenia Technologies: Report GenAI on Amazon Bedrock</w:t>
      </w:r>
    </w:p>
    <w:p>
      <w:pPr>
        <w:pStyle w:val="BT"/>
      </w:pPr>
      <w:r>
        <w:rPr>
          <w:rFonts w:ascii="Arial" w:cs="Arial" w:eastAsia="Arial" w:hAnsi="Arial"/>
          <w:sz w:val="22"/>
          <w:szCs w:val="22"/>
        </w:rPr>
        <w:t xml:space="preserve">Gardenia Technologies partnered with the AWS PACE team to develop Report GenAI, a fully automated ESG reporting solution. The platform uses agentic search with RAG and text-to-SQL capabilities, combining three tools - web search, text-to-SQL for emissions databases, and RAG over corporate document stores - to reduce ESG reporting time by up to 75%. The agent executor is hosted on AWS Lambda using the open-source LangChain framework with ReAct orchestration logic.</w:t>
      </w:r>
    </w:p>
    <w:p>
      <w:pPr>
        <w:pStyle w:val="BT"/>
      </w:pPr>
      <w:r>
        <w:rPr>
          <w:rFonts w:ascii="Arial" w:cs="Arial" w:eastAsia="Arial" w:hAnsi="Arial"/>
          <w:sz w:val="22"/>
          <w:szCs w:val="22"/>
        </w:rPr>
        <w:t xml:space="preserve">The production architecture uses ECS Fargate for auto-scaled containers serving the UI, Cognito for authentication, and encrypted S3 with VPC endpoints for data residency. This serverless-first approach is well-suited to the intermittent nature of ESG reporting workloads, where demand spikes during reporting periods but remains minimal otherwise.</w:t>
      </w:r>
    </w:p>
    <w:p>
      <w:pPr>
        <w:pStyle w:val="Heading2"/>
        <w:spacing w:after="120" w:before="280"/>
      </w:pPr>
      <w:r>
        <w:rPr>
          <w:rFonts w:ascii="Arial" w:cs="Arial" w:eastAsia="Arial" w:hAnsi="Arial"/>
          <w:b/>
          <w:bCs/>
          <w:color w:val="2E5FA3"/>
          <w:sz w:val="24"/>
          <w:szCs w:val="24"/>
        </w:rPr>
        <w:t xml:space="preserve">8.3 SAP Sustainability AI Agents</w:t>
      </w:r>
    </w:p>
    <w:p>
      <w:pPr>
        <w:pStyle w:val="BT"/>
      </w:pPr>
      <w:r>
        <w:rPr>
          <w:rFonts w:ascii="Arial" w:cs="Arial" w:eastAsia="Arial" w:hAnsi="Arial"/>
          <w:sz w:val="22"/>
          <w:szCs w:val="22"/>
        </w:rPr>
        <w:t xml:space="preserve">SAP announced new Sustainability AI Agents (announced May 2026, general availability by end of 2026) delivering measurable operational improvements across sustainability reporting workflows. These autonomous agents handle multi-step processes including sustainability reporting preparation, carbon footprint simulation across supply chains, and packaging / product compliance assessments.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SAP Agent</w:t>
            </w:r>
          </w:p>
        </w:tc>
        <w:tc>
          <w:tcPr>
            <w:tcW w:type="dxa" w:w="468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Reported Improvement</w:t>
            </w:r>
          </w:p>
        </w:tc>
      </w:tr>
      <w:tr>
        <w:tc>
          <w:tcPr>
            <w:tcW w:type="dxa" w:w="468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Carbon Footprint Agent</w:t>
            </w:r>
          </w:p>
        </w:tc>
        <w:tc>
          <w:tcPr>
            <w:tcW w:type="dxa" w:w="468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Scenario simulation time: 1 full day to 20 minutes</w:t>
            </w:r>
          </w:p>
        </w:tc>
      </w:tr>
      <w:tr>
        <w:tc>
          <w:tcPr>
            <w:tcW w:type="dxa" w:w="468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Packaging Compliance Agent</w:t>
            </w:r>
          </w:p>
        </w:tc>
        <w:tc>
          <w:tcPr>
            <w:tcW w:type="dxa" w:w="468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&gt;50% reduction in compliance review hours; &gt;20% fewer errors</w:t>
            </w:r>
          </w:p>
        </w:tc>
      </w:tr>
      <w:tr>
        <w:tc>
          <w:tcPr>
            <w:tcW w:type="dxa" w:w="468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Regulatory Readiness Agent</w:t>
            </w:r>
          </w:p>
        </w:tc>
        <w:tc>
          <w:tcPr>
            <w:tcW w:type="dxa" w:w="468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Automates financial-grade materiality-to-disclosure mapping</w:t>
            </w:r>
          </w:p>
        </w:tc>
      </w:tr>
      <w:tr>
        <w:tc>
          <w:tcPr>
            <w:tcW w:type="dxa" w:w="468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GHS Classification Agent</w:t>
            </w:r>
          </w:p>
        </w:tc>
        <w:tc>
          <w:tcPr>
            <w:tcW w:type="dxa" w:w="468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Up to 80% reduction in manual classification effort</w:t>
            </w:r>
          </w:p>
        </w:tc>
      </w:tr>
    </w:tbl>
    <w:p>
      <w:pPr>
        <w:spacing w:after="200" w:before="60"/>
        <w:jc w:val="center"/>
      </w:pPr>
      <w:r>
        <w:rPr>
          <w:rFonts w:ascii="Arial" w:cs="Arial" w:eastAsia="Arial" w:hAnsi="Arial"/>
          <w:i/>
          <w:iCs/>
          <w:color w:val="666666"/>
          <w:sz w:val="18"/>
          <w:szCs w:val="18"/>
        </w:rPr>
        <w:t xml:space="preserve">Table 6: SAP Sustainability AI Agent Capabilities and Measured Improvements</w:t>
      </w:r>
    </w:p>
    <w:p>
      <w:pPr>
        <w:spacing w:after="80"/>
      </w:pPr>
      <w:r>
        <w:t xml:space="preserve"/>
      </w:r>
    </w:p>
    <w:p>
      <w:pPr>
        <w:pStyle w:val="Heading2"/>
        <w:spacing w:after="120" w:before="280"/>
      </w:pPr>
      <w:r>
        <w:rPr>
          <w:rFonts w:ascii="Arial" w:cs="Arial" w:eastAsia="Arial" w:hAnsi="Arial"/>
          <w:b/>
          <w:bCs/>
          <w:color w:val="2E5FA3"/>
          <w:sz w:val="24"/>
          <w:szCs w:val="24"/>
        </w:rPr>
        <w:t xml:space="preserve">8.4 Enterprise Vendor Comparison</w:t>
      </w:r>
    </w:p>
    <w:p>
      <w:pPr>
        <w:pStyle w:val="BT"/>
      </w:pPr>
      <w:r>
        <w:rPr>
          <w:rFonts w:ascii="Arial" w:cs="Arial" w:eastAsia="Arial" w:hAnsi="Arial"/>
          <w:sz w:val="22"/>
          <w:szCs w:val="22"/>
        </w:rPr>
        <w:t xml:space="preserve">Organisations evaluating AI-powered ESG platforms face a clear choice between custom cloud pipelines, managed AI platforms, and enterprise SaaS solutions. Each approach carries distinct trade-offs in control, cost, time-to-market, and audit readiness: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Approach</w:t>
            </w:r>
          </w:p>
        </w:tc>
        <w:tc>
          <w:tcPr>
            <w:tcW w:type="dxa" w:w="22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Cost Range</w:t>
            </w:r>
          </w:p>
        </w:tc>
        <w:tc>
          <w:tcPr>
            <w:tcW w:type="dxa" w:w="236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Key Strength</w:t>
            </w:r>
          </w:p>
        </w:tc>
        <w:tc>
          <w:tcPr>
            <w:tcW w:type="dxa" w:w="24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Best For</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Custom Bedrock Pipeline</w:t>
            </w:r>
          </w:p>
        </w:tc>
        <w:tc>
          <w:tcPr>
            <w:tcW w:type="dxa" w:w="22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$800-24K/month</w:t>
            </w:r>
          </w:p>
        </w:tc>
        <w:tc>
          <w:tcPr>
            <w:tcW w:type="dxa" w:w="23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99% hallucination detection, full architecture control</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Regulated industries, production-grade reports</w:t>
            </w:r>
          </w:p>
        </w:tc>
      </w:tr>
      <w:tr>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Amazon Q (Managed)</w:t>
            </w:r>
          </w:p>
        </w:tc>
        <w:tc>
          <w:tcPr>
            <w:tcW w:type="dxa" w:w="22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Usage-based</w:t>
            </w:r>
          </w:p>
        </w:tc>
        <w:tc>
          <w:tcPr>
            <w:tcW w:type="dxa" w:w="23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40+ native connectors, rapid no-code deployment</w:t>
            </w:r>
          </w:p>
        </w:tc>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Teams prioritising speed-to-market</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Watershed / SAP (Enterprise SaaS)</w:t>
            </w:r>
          </w:p>
        </w:tc>
        <w:tc>
          <w:tcPr>
            <w:tcW w:type="dxa" w:w="22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$25K+/year</w:t>
            </w:r>
          </w:p>
        </w:tc>
        <w:tc>
          <w:tcPr>
            <w:tcW w:type="dxa" w:w="23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500K+ emission factors, 100% audit pass rate (Verdantix 2026)</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Multi-site enterprises, turnkey audit readiness</w:t>
            </w:r>
          </w:p>
        </w:tc>
      </w:tr>
      <w:tr>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Net0 (AI-first SaaS)</w:t>
            </w:r>
          </w:p>
        </w:tc>
        <w:tc>
          <w:tcPr>
            <w:tcW w:type="dxa" w:w="22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Usage-based</w:t>
            </w:r>
          </w:p>
        </w:tc>
        <w:tc>
          <w:tcPr>
            <w:tcW w:type="dxa" w:w="236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30+ frameworks from single audit-grade ledger, 80% effort reduction</w:t>
            </w:r>
          </w:p>
        </w:tc>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Multi-framework compliance automation</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IBM Envizi</w:t>
            </w:r>
          </w:p>
        </w:tc>
        <w:tc>
          <w:tcPr>
            <w:tcW w:type="dxa" w:w="22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Enterprise pricing</w:t>
            </w:r>
          </w:p>
        </w:tc>
        <w:tc>
          <w:tcPr>
            <w:tcW w:type="dxa" w:w="236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IDC + Verdantix Leader 2025, strong forecasting &amp; transition risk</w:t>
            </w:r>
          </w:p>
        </w:tc>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Large enterprises, advanced scenario modelling</w:t>
            </w:r>
          </w:p>
        </w:tc>
      </w:tr>
    </w:tbl>
    <w:p>
      <w:pPr>
        <w:spacing w:after="200" w:before="60"/>
        <w:jc w:val="center"/>
      </w:pPr>
      <w:r>
        <w:rPr>
          <w:rFonts w:ascii="Arial" w:cs="Arial" w:eastAsia="Arial" w:hAnsi="Arial"/>
          <w:i/>
          <w:iCs/>
          <w:color w:val="666666"/>
          <w:sz w:val="18"/>
          <w:szCs w:val="18"/>
        </w:rPr>
        <w:t xml:space="preserve">Table 7: AI-ESG Platform Deployment Approaches - Cost, Strengths, and Use Cases</w:t>
      </w:r>
    </w:p>
    <w:p>
      <w:pPr>
        <w:spacing w:after="80"/>
      </w:pPr>
      <w:r>
        <w:t xml:space="preserve"/>
      </w:r>
    </w:p>
    <w:p>
      <w:pPr>
        <w:pStyle w:val="Heading1"/>
        <w:spacing w:after="200" w:before="440"/>
      </w:pPr>
      <w:r>
        <w:rPr>
          <w:rFonts w:ascii="Arial" w:cs="Arial" w:eastAsia="Arial" w:hAnsi="Arial"/>
          <w:b/>
          <w:bCs/>
          <w:color w:val="1A3A5C"/>
          <w:sz w:val="30"/>
          <w:szCs w:val="30"/>
        </w:rPr>
        <w:t xml:space="preserve">9. Implementation Roadmap</w:t>
      </w:r>
    </w:p>
    <w:p>
      <w:pPr>
        <w:pStyle w:val="BT"/>
      </w:pPr>
      <w:r>
        <w:rPr>
          <w:rFonts w:ascii="Arial" w:cs="Arial" w:eastAsia="Arial" w:hAnsi="Arial"/>
          <w:sz w:val="22"/>
          <w:szCs w:val="22"/>
        </w:rPr>
        <w:t xml:space="preserve">A phased implementation approach reduces risk, delivers early wins, and builds organisational capability progressively. The three-phase roadmap below is calibrated for organisations with existing AWS infrastructure and cloud data assets, targeting full production capability within 12-18 months.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C5D5E8" w:sz="4"/>
              <w:bottom w:val="single" w:color="C5D5E8" w:sz="4"/>
              <w:right w:val="single" w:color="C5D5E8" w:sz="4"/>
            </w:tcBorders>
            <w:shd w:fill="F2F6FC" w:val="clear"/>
          </w:tcPr>
          <w:p>
            <w:pPr>
              <w:spacing w:after="40"/>
            </w:pPr>
            <w:r>
              <w:rPr>
                <w:rFonts w:ascii="Courier New" w:cs="Courier New" w:eastAsia="Courier New" w:hAnsi="Courier New"/>
                <w:color w:val="1A3A5C"/>
                <w:sz w:val="18"/>
                <w:szCs w:val="18"/>
              </w:rPr>
              <w:t xml:space="preserve">PHASE 1: Quick Win (Months 1-4)</w:t>
            </w:r>
          </w:p>
          <w:p>
            <w:pPr>
              <w:spacing w:after="40"/>
            </w:pPr>
            <w:r>
              <w:rPr>
                <w:rFonts w:ascii="Courier New" w:cs="Courier New" w:eastAsia="Courier New" w:hAnsi="Courier New"/>
                <w:color w:val="1A3A5C"/>
                <w:sz w:val="18"/>
                <w:szCs w:val="18"/>
              </w:rPr>
              <w:t xml:space="preserve">  Goal: Deliver immediate ESG visibility and basic AI-assisted reporting</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Amazon QuickSight Dashboards: ESG KPI monitoring               |</w:t>
            </w:r>
          </w:p>
          <w:p>
            <w:pPr>
              <w:spacing w:after="40"/>
            </w:pPr>
            <w:r>
              <w:rPr>
                <w:rFonts w:ascii="Courier New" w:cs="Courier New" w:eastAsia="Courier New" w:hAnsi="Courier New"/>
                <w:color w:val="1A3A5C"/>
                <w:sz w:val="18"/>
                <w:szCs w:val="18"/>
              </w:rPr>
              <w:t xml:space="preserve">  |  QuickSight Stories: Auto-narrative from dashboard metrics      |</w:t>
            </w:r>
          </w:p>
          <w:p>
            <w:pPr>
              <w:spacing w:after="40"/>
            </w:pPr>
            <w:r>
              <w:rPr>
                <w:rFonts w:ascii="Courier New" w:cs="Courier New" w:eastAsia="Courier New" w:hAnsi="Courier New"/>
                <w:color w:val="1A3A5C"/>
                <w:sz w:val="18"/>
                <w:szCs w:val="18"/>
              </w:rPr>
              <w:t xml:space="preserve">  |  S3 Data Lake: Raw and Curated zones established                |</w:t>
            </w:r>
          </w:p>
          <w:p>
            <w:pPr>
              <w:spacing w:after="40"/>
            </w:pPr>
            <w:r>
              <w:rPr>
                <w:rFonts w:ascii="Courier New" w:cs="Courier New" w:eastAsia="Courier New" w:hAnsi="Courier New"/>
                <w:color w:val="1A3A5C"/>
                <w:sz w:val="18"/>
                <w:szCs w:val="18"/>
              </w:rPr>
              <w:t xml:space="preserve">  |  Glue ETL: Basic normalisation and unit conversion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Outcome: ESG metrics visible; basic automated narrative; &lt;4 months</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PHASE 2: Enhancement (Months 5-9)</w:t>
            </w:r>
          </w:p>
          <w:p>
            <w:pPr>
              <w:spacing w:after="40"/>
            </w:pPr>
            <w:r>
              <w:rPr>
                <w:rFonts w:ascii="Courier New" w:cs="Courier New" w:eastAsia="Courier New" w:hAnsi="Courier New"/>
                <w:color w:val="1A3A5C"/>
                <w:sz w:val="18"/>
                <w:szCs w:val="18"/>
              </w:rPr>
              <w:t xml:space="preserve">  Goal: AI-powered report generation for primary compliance framework</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Bedrock Agent + Action Groups: structured report generation    |</w:t>
            </w:r>
          </w:p>
          <w:p>
            <w:pPr>
              <w:spacing w:after="40"/>
            </w:pPr>
            <w:r>
              <w:rPr>
                <w:rFonts w:ascii="Courier New" w:cs="Courier New" w:eastAsia="Courier New" w:hAnsi="Courier New"/>
                <w:color w:val="1A3A5C"/>
                <w:sz w:val="18"/>
                <w:szCs w:val="18"/>
              </w:rPr>
              <w:t xml:space="preserve">  |  Bedrock Knowledge Bases: regulatory RAG (OJK/PSPK or CSRD)    |</w:t>
            </w:r>
          </w:p>
          <w:p>
            <w:pPr>
              <w:spacing w:after="40"/>
            </w:pPr>
            <w:r>
              <w:rPr>
                <w:rFonts w:ascii="Courier New" w:cs="Courier New" w:eastAsia="Courier New" w:hAnsi="Courier New"/>
                <w:color w:val="1A3A5C"/>
                <w:sz w:val="18"/>
                <w:szCs w:val="18"/>
              </w:rPr>
              <w:t xml:space="preserve">  |  Step Functions: parallel InvokeModel for multi-section reports |</w:t>
            </w:r>
          </w:p>
          <w:p>
            <w:pPr>
              <w:spacing w:after="40"/>
            </w:pPr>
            <w:r>
              <w:rPr>
                <w:rFonts w:ascii="Courier New" w:cs="Courier New" w:eastAsia="Courier New" w:hAnsi="Courier New"/>
                <w:color w:val="1A3A5C"/>
                <w:sz w:val="18"/>
                <w:szCs w:val="18"/>
              </w:rPr>
              <w:t xml:space="preserve">  |  Bedrock Guardrails: content filters + automated reasoning      |</w:t>
            </w:r>
          </w:p>
          <w:p>
            <w:pPr>
              <w:spacing w:after="40"/>
            </w:pPr>
            <w:r>
              <w:rPr>
                <w:rFonts w:ascii="Courier New" w:cs="Courier New" w:eastAsia="Courier New" w:hAnsi="Courier New"/>
                <w:color w:val="1A3A5C"/>
                <w:sz w:val="18"/>
                <w:szCs w:val="18"/>
              </w:rPr>
              <w:t xml:space="preserve">  |  Aggregated zone: PCAF calculations via Athena SQL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Outcome: AI-generated draft reports; 60%+ effort reduction</w:t>
            </w:r>
          </w:p>
          <w:p>
            <w:pPr>
              <w:spacing w:after="40"/>
            </w:pPr>
            <w:r>
              <w:rPr>
                <w:rFonts w:ascii="Courier New" w:cs="Courier New" w:eastAsia="Courier New" w:hAnsi="Courier New"/>
                <w:color w:val="1A3A5C"/>
                <w:sz w:val="18"/>
                <w:szCs w:val="18"/>
              </w:rPr>
              <w:t xml:space="preserve"/>
            </w:r>
          </w:p>
          <w:p>
            <w:pPr>
              <w:spacing w:after="40"/>
            </w:pPr>
            <w:r>
              <w:rPr>
                <w:rFonts w:ascii="Courier New" w:cs="Courier New" w:eastAsia="Courier New" w:hAnsi="Courier New"/>
                <w:color w:val="1A3A5C"/>
                <w:sz w:val="18"/>
                <w:szCs w:val="18"/>
              </w:rPr>
              <w:t xml:space="preserve">PHASE 3: Full Automation (Months 10-18)</w:t>
            </w:r>
          </w:p>
          <w:p>
            <w:pPr>
              <w:spacing w:after="40"/>
            </w:pPr>
            <w:r>
              <w:rPr>
                <w:rFonts w:ascii="Courier New" w:cs="Courier New" w:eastAsia="Courier New" w:hAnsi="Courier New"/>
                <w:color w:val="1A3A5C"/>
                <w:sz w:val="18"/>
                <w:szCs w:val="18"/>
              </w:rPr>
              <w:t xml:space="preserve">  Goal: AgentCore full orchestration, multi-framework, assurance-ready</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  Bedrock AgentCore: orchestration with Code Interpreter + Memory|</w:t>
            </w:r>
          </w:p>
          <w:p>
            <w:pPr>
              <w:spacing w:after="40"/>
            </w:pPr>
            <w:r>
              <w:rPr>
                <w:rFonts w:ascii="Courier New" w:cs="Courier New" w:eastAsia="Courier New" w:hAnsi="Courier New"/>
                <w:color w:val="1A3A5C"/>
                <w:sz w:val="18"/>
                <w:szCs w:val="18"/>
              </w:rPr>
              <w:t xml:space="preserve">  |  Multi-framework export: GRI, CDP, TCFD, PSPK simultaneously   |</w:t>
            </w:r>
          </w:p>
          <w:p>
            <w:pPr>
              <w:spacing w:after="40"/>
            </w:pPr>
            <w:r>
              <w:rPr>
                <w:rFonts w:ascii="Courier New" w:cs="Courier New" w:eastAsia="Courier New" w:hAnsi="Courier New"/>
                <w:color w:val="1A3A5C"/>
                <w:sz w:val="18"/>
                <w:szCs w:val="18"/>
              </w:rPr>
              <w:t xml:space="preserve">  |  AgentCore Memory: YoY baseline retention, preference learning  |</w:t>
            </w:r>
          </w:p>
          <w:p>
            <w:pPr>
              <w:spacing w:after="40"/>
            </w:pPr>
            <w:r>
              <w:rPr>
                <w:rFonts w:ascii="Courier New" w:cs="Courier New" w:eastAsia="Courier New" w:hAnsi="Courier New"/>
                <w:color w:val="1A3A5C"/>
                <w:sz w:val="18"/>
                <w:szCs w:val="18"/>
              </w:rPr>
              <w:t xml:space="preserve">  |  AgentCore Identity: role-based access (ESG team / auditor)     |</w:t>
            </w:r>
          </w:p>
          <w:p>
            <w:pPr>
              <w:spacing w:after="40"/>
            </w:pPr>
            <w:r>
              <w:rPr>
                <w:rFonts w:ascii="Courier New" w:cs="Courier New" w:eastAsia="Courier New" w:hAnsi="Courier New"/>
                <w:color w:val="1A3A5C"/>
                <w:sz w:val="18"/>
                <w:szCs w:val="18"/>
              </w:rPr>
              <w:t xml:space="preserve">  |  AgentCore Observability: full trace of agent reasoning steps   |</w:t>
            </w:r>
          </w:p>
          <w:p>
            <w:pPr>
              <w:spacing w:after="40"/>
            </w:pPr>
            <w:r>
              <w:rPr>
                <w:rFonts w:ascii="Courier New" w:cs="Courier New" w:eastAsia="Courier New" w:hAnsi="Courier New"/>
                <w:color w:val="1A3A5C"/>
                <w:sz w:val="18"/>
                <w:szCs w:val="18"/>
              </w:rPr>
              <w:t xml:space="preserve">  |  Human-in-the-loop: structured approval workflow integration    |</w:t>
            </w:r>
          </w:p>
          <w:p>
            <w:pPr>
              <w:spacing w:after="40"/>
            </w:pPr>
            <w:r>
              <w:rPr>
                <w:rFonts w:ascii="Courier New" w:cs="Courier New" w:eastAsia="Courier New" w:hAnsi="Courier New"/>
                <w:color w:val="1A3A5C"/>
                <w:sz w:val="18"/>
                <w:szCs w:val="18"/>
              </w:rPr>
              <w:t xml:space="preserve">  +-----------------------------------------------------------------+</w:t>
            </w:r>
          </w:p>
          <w:p>
            <w:pPr>
              <w:spacing w:after="40"/>
            </w:pPr>
            <w:r>
              <w:rPr>
                <w:rFonts w:ascii="Courier New" w:cs="Courier New" w:eastAsia="Courier New" w:hAnsi="Courier New"/>
                <w:color w:val="1A3A5C"/>
                <w:sz w:val="18"/>
                <w:szCs w:val="18"/>
              </w:rPr>
              <w:t xml:space="preserve">  Outcome: End-to-end automation; assurance-ready; multi-framework</w:t>
            </w:r>
          </w:p>
        </w:tc>
      </w:tr>
    </w:tbl>
    <w:p>
      <w:pPr>
        <w:spacing w:after="200" w:before="60"/>
        <w:jc w:val="center"/>
      </w:pPr>
      <w:r>
        <w:rPr>
          <w:rFonts w:ascii="Arial" w:cs="Arial" w:eastAsia="Arial" w:hAnsi="Arial"/>
          <w:i/>
          <w:iCs/>
          <w:color w:val="666666"/>
          <w:sz w:val="18"/>
          <w:szCs w:val="18"/>
        </w:rPr>
        <w:t xml:space="preserve">Figure 6: Three-Phase Implementation Roadmap for AI-Powered ESG Reporting</w:t>
      </w:r>
    </w:p>
    <w:p>
      <w:pPr>
        <w:spacing w:after="80"/>
      </w:pPr>
      <w:r>
        <w:t xml:space="preserve"/>
      </w:r>
    </w:p>
    <w:p>
      <w:pPr>
        <w:pStyle w:val="Heading2"/>
        <w:spacing w:after="120" w:before="280"/>
      </w:pPr>
      <w:r>
        <w:rPr>
          <w:rFonts w:ascii="Arial" w:cs="Arial" w:eastAsia="Arial" w:hAnsi="Arial"/>
          <w:b/>
          <w:bCs/>
          <w:color w:val="2E5FA3"/>
          <w:sz w:val="24"/>
          <w:szCs w:val="24"/>
        </w:rPr>
        <w:t xml:space="preserve">9.1 Technology Component Mapping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Component</w:t>
            </w:r>
          </w:p>
        </w:tc>
        <w:tc>
          <w:tcPr>
            <w:tcW w:type="dxa" w:w="232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Phase 1</w:t>
            </w:r>
          </w:p>
        </w:tc>
        <w:tc>
          <w:tcPr>
            <w:tcW w:type="dxa" w:w="232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Phase 2</w:t>
            </w:r>
          </w:p>
        </w:tc>
        <w:tc>
          <w:tcPr>
            <w:tcW w:type="dxa" w:w="2320"/>
            <w:tcBorders>
              <w:top w:val="single" w:color="C5D5E8" w:sz="4"/>
              <w:left w:val="single" w:color="C5D5E8" w:sz="4"/>
              <w:bottom w:val="single" w:color="C5D5E8" w:sz="4"/>
              <w:right w:val="single" w:color="C5D5E8" w:sz="4"/>
            </w:tcBorders>
            <w:shd w:fill="1A3A5C" w:val="clear"/>
            <w:vAlign w:val="center"/>
          </w:tcPr>
          <w:p>
            <w:pPr>
              <w:spacing w:after="80" w:before="80"/>
              <w:jc w:val="center"/>
            </w:pPr>
            <w:r>
              <w:rPr>
                <w:rFonts w:ascii="Arial" w:cs="Arial" w:eastAsia="Arial" w:hAnsi="Arial"/>
                <w:b/>
                <w:bCs/>
                <w:color w:val="FFFFFF"/>
                <w:sz w:val="20"/>
                <w:szCs w:val="20"/>
              </w:rPr>
              <w:t xml:space="preserve">Phase 3</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Data Lake (S3)</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Raw + Curated zones</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Aggregated zone added</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Full three-zone with lineage</w:t>
            </w:r>
          </w:p>
        </w:tc>
      </w:tr>
      <w:tr>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Compute / ETL</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Basic Glue jobs</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PCAF Athena SQL</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Code Interpreter sandbox</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AI Orchestration</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QuickSight Stories</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Bedrock Agent + Step Fn</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AgentCore full stack</w:t>
            </w:r>
          </w:p>
        </w:tc>
      </w:tr>
      <w:tr>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Knowledge Base / RAG</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None</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Bedrock KB (1 framework)</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Multi-framework KB</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Guardrails</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None</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Content filters</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Automated Reasoning (99%)</w:t>
            </w:r>
          </w:p>
        </w:tc>
      </w:tr>
      <w:tr>
        <w:tc>
          <w:tcPr>
            <w:tcW w:type="dxa" w:w="240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bCs/>
                <w:color w:val="111111"/>
                <w:sz w:val="20"/>
                <w:szCs w:val="20"/>
              </w:rPr>
              <w:t xml:space="preserve">Frameworks Covered</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Internal KPIs only</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Primary (e.g., PSPK)</w:t>
            </w:r>
          </w:p>
        </w:tc>
        <w:tc>
          <w:tcPr>
            <w:tcW w:type="dxa" w:w="2320"/>
            <w:tcBorders>
              <w:top w:val="single" w:color="C5D5E8" w:sz="4"/>
              <w:left w:val="single" w:color="C5D5E8" w:sz="4"/>
              <w:bottom w:val="single" w:color="C5D5E8" w:sz="4"/>
              <w:right w:val="single" w:color="C5D5E8" w:sz="4"/>
            </w:tcBorders>
            <w:shd w:fill="FFFFFF" w:val="clear"/>
            <w:vAlign w:val="center"/>
          </w:tcPr>
          <w:p>
            <w:pPr>
              <w:spacing w:after="80" w:before="80"/>
              <w:jc w:val="left"/>
            </w:pPr>
            <w:r>
              <w:rPr>
                <w:rFonts w:ascii="Arial" w:cs="Arial" w:eastAsia="Arial" w:hAnsi="Arial"/>
                <w:b w:val="false"/>
                <w:bCs w:val="false"/>
                <w:color w:val="111111"/>
                <w:sz w:val="20"/>
                <w:szCs w:val="20"/>
              </w:rPr>
              <w:t xml:space="preserve">GRI, IFRS S2, CSRD, CDP</w:t>
            </w:r>
          </w:p>
        </w:tc>
      </w:tr>
      <w:tr>
        <w:tc>
          <w:tcPr>
            <w:tcW w:type="dxa" w:w="240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bCs/>
                <w:color w:val="111111"/>
                <w:sz w:val="20"/>
                <w:szCs w:val="20"/>
              </w:rPr>
              <w:t xml:space="preserve">Audit Readiness</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Basic CloudTrail</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Full API logging</w:t>
            </w:r>
          </w:p>
        </w:tc>
        <w:tc>
          <w:tcPr>
            <w:tcW w:type="dxa" w:w="2320"/>
            <w:tcBorders>
              <w:top w:val="single" w:color="C5D5E8" w:sz="4"/>
              <w:left w:val="single" w:color="C5D5E8" w:sz="4"/>
              <w:bottom w:val="single" w:color="C5D5E8" w:sz="4"/>
              <w:right w:val="single" w:color="C5D5E8" w:sz="4"/>
            </w:tcBorders>
            <w:shd w:fill="F2F6FC" w:val="clear"/>
            <w:vAlign w:val="center"/>
          </w:tcPr>
          <w:p>
            <w:pPr>
              <w:spacing w:after="80" w:before="80"/>
              <w:jc w:val="left"/>
            </w:pPr>
            <w:r>
              <w:rPr>
                <w:rFonts w:ascii="Arial" w:cs="Arial" w:eastAsia="Arial" w:hAnsi="Arial"/>
                <w:b w:val="false"/>
                <w:bCs w:val="false"/>
                <w:color w:val="111111"/>
                <w:sz w:val="20"/>
                <w:szCs w:val="20"/>
              </w:rPr>
              <w:t xml:space="preserve">End-to-end chain of custody</w:t>
            </w:r>
          </w:p>
        </w:tc>
      </w:tr>
    </w:tbl>
    <w:p>
      <w:pPr>
        <w:spacing w:after="200" w:before="60"/>
        <w:jc w:val="center"/>
      </w:pPr>
      <w:r>
        <w:rPr>
          <w:rFonts w:ascii="Arial" w:cs="Arial" w:eastAsia="Arial" w:hAnsi="Arial"/>
          <w:i/>
          <w:iCs/>
          <w:color w:val="666666"/>
          <w:sz w:val="18"/>
          <w:szCs w:val="18"/>
        </w:rPr>
        <w:t xml:space="preserve">Table 8: Technology Component Maturity by Implementation Phase</w:t>
      </w:r>
    </w:p>
    <w:p>
      <w:pPr>
        <w:spacing w:after="80"/>
      </w:pPr>
      <w:r>
        <w:t xml:space="preserve"/>
      </w:r>
    </w:p>
    <w:p>
      <w:pPr>
        <w:pStyle w:val="Heading1"/>
        <w:spacing w:after="200" w:before="440"/>
      </w:pPr>
      <w:r>
        <w:rPr>
          <w:rFonts w:ascii="Arial" w:cs="Arial" w:eastAsia="Arial" w:hAnsi="Arial"/>
          <w:b/>
          <w:bCs/>
          <w:color w:val="1A3A5C"/>
          <w:sz w:val="30"/>
          <w:szCs w:val="30"/>
        </w:rPr>
        <w:t xml:space="preserve">10. Recommendations and Conclusion</w:t>
      </w:r>
    </w:p>
    <w:p>
      <w:pPr>
        <w:pStyle w:val="Heading2"/>
        <w:spacing w:after="120" w:before="280"/>
      </w:pPr>
      <w:r>
        <w:rPr>
          <w:rFonts w:ascii="Arial" w:cs="Arial" w:eastAsia="Arial" w:hAnsi="Arial"/>
          <w:b/>
          <w:bCs/>
          <w:color w:val="2E5FA3"/>
          <w:sz w:val="24"/>
          <w:szCs w:val="24"/>
        </w:rPr>
        <w:t xml:space="preserve">10.1 Recommendations for ESG Practitioners</w:t>
      </w:r>
    </w:p>
    <w:p>
      <w:pPr>
        <w:pStyle w:val="ListParagraph"/>
        <w:numPr>
          <w:ilvl w:val="0"/>
          <w:numId w:val="2"/>
        </w:numPr>
        <w:spacing w:after="100"/>
      </w:pPr>
      <w:r>
        <w:rPr>
          <w:rFonts w:ascii="Arial" w:cs="Arial" w:eastAsia="Arial" w:hAnsi="Arial"/>
          <w:sz w:val="22"/>
          <w:szCs w:val="22"/>
        </w:rPr>
        <w:t xml:space="preserve">Start with deterministic calculations. Before engaging AI for narrative generation, ensure all GHG figures, attribution factors, and financial metrics are computed through auditable code paths. The most defensible ESG disclosures are those where every number can be traced to a specific ETL job or SQL query.</w:t>
      </w:r>
    </w:p>
    <w:p>
      <w:pPr>
        <w:pStyle w:val="ListParagraph"/>
        <w:numPr>
          <w:ilvl w:val="0"/>
          <w:numId w:val="2"/>
        </w:numPr>
        <w:spacing w:after="100"/>
      </w:pPr>
      <w:r>
        <w:rPr>
          <w:rFonts w:ascii="Arial" w:cs="Arial" w:eastAsia="Arial" w:hAnsi="Arial"/>
          <w:sz w:val="22"/>
          <w:szCs w:val="22"/>
        </w:rPr>
        <w:t xml:space="preserve">Implement guardrails from Day One. Given that RAG-based applications still hallucinate and regulatory penalties can reach 10% of annual turnover, deploy automated reasoning checks and human review gates as foundational architecture components.</w:t>
      </w:r>
    </w:p>
    <w:p>
      <w:pPr>
        <w:pStyle w:val="ListParagraph"/>
        <w:numPr>
          <w:ilvl w:val="0"/>
          <w:numId w:val="2"/>
        </w:numPr>
        <w:spacing w:after="100"/>
      </w:pPr>
      <w:r>
        <w:rPr>
          <w:rFonts w:ascii="Arial" w:cs="Arial" w:eastAsia="Arial" w:hAnsi="Arial"/>
          <w:sz w:val="22"/>
          <w:szCs w:val="22"/>
        </w:rPr>
        <w:t xml:space="preserve">Close the AI governance gap. Publish formal AI policies addressing data quality standards, hallucination mitigation procedures, human oversight requirements, and audit trail specifications. With only 38% of US companies having published AI policies, early movers can differentiate with investors and regulators.</w:t>
      </w:r>
    </w:p>
    <w:p>
      <w:pPr>
        <w:pStyle w:val="ListParagraph"/>
        <w:numPr>
          <w:ilvl w:val="0"/>
          <w:numId w:val="2"/>
        </w:numPr>
        <w:spacing w:after="100"/>
      </w:pPr>
      <w:r>
        <w:rPr>
          <w:rFonts w:ascii="Arial" w:cs="Arial" w:eastAsia="Arial" w:hAnsi="Arial"/>
          <w:sz w:val="22"/>
          <w:szCs w:val="22"/>
        </w:rPr>
        <w:t xml:space="preserve">Design for multi-framework from the outset. With 20+ jurisdictions adopting ISSB standards and IFRS-EFRAG interoperability guidance enabling collect-once approaches, single-standard systems require costly retrofitting. Build for GRI, IFRS S2, CSRD, and your primary jurisdiction simultaneously.</w:t>
      </w:r>
    </w:p>
    <w:p>
      <w:pPr>
        <w:pStyle w:val="ListParagraph"/>
        <w:numPr>
          <w:ilvl w:val="0"/>
          <w:numId w:val="2"/>
        </w:numPr>
        <w:spacing w:after="100"/>
      </w:pPr>
      <w:r>
        <w:rPr>
          <w:rFonts w:ascii="Arial" w:cs="Arial" w:eastAsia="Arial" w:hAnsi="Arial"/>
          <w:sz w:val="22"/>
          <w:szCs w:val="22"/>
        </w:rPr>
        <w:t xml:space="preserve">Treat AI as augmentation, not replacement. The regulatory environment demands clear accountability for published sustainability claims regardless of whether they were human-authored or AI-generated. Maintain human expertise in ESG interpretation, materiality assessment, and stakeholder engagement.</w:t>
      </w:r>
    </w:p>
    <w:p>
      <w:pPr>
        <w:spacing w:after="80"/>
      </w:pPr>
      <w:r>
        <w:t xml:space="preserve"/>
      </w:r>
    </w:p>
    <w:p>
      <w:pPr>
        <w:pStyle w:val="Heading2"/>
        <w:spacing w:after="120" w:before="280"/>
      </w:pPr>
      <w:r>
        <w:rPr>
          <w:rFonts w:ascii="Arial" w:cs="Arial" w:eastAsia="Arial" w:hAnsi="Arial"/>
          <w:b/>
          <w:bCs/>
          <w:color w:val="2E5FA3"/>
          <w:sz w:val="24"/>
          <w:szCs w:val="24"/>
        </w:rPr>
        <w:t xml:space="preserve">10.2 Recommendations for Cloud Solution Architects</w:t>
      </w:r>
    </w:p>
    <w:p>
      <w:pPr>
        <w:pStyle w:val="ListParagraph"/>
        <w:numPr>
          <w:ilvl w:val="0"/>
          <w:numId w:val="2"/>
        </w:numPr>
        <w:spacing w:after="100"/>
      </w:pPr>
      <w:r>
        <w:rPr>
          <w:rFonts w:ascii="Arial" w:cs="Arial" w:eastAsia="Arial" w:hAnsi="Arial"/>
          <w:sz w:val="22"/>
          <w:szCs w:val="22"/>
        </w:rPr>
        <w:t xml:space="preserve">Adopt serverless-first for intermittent workloads. ESG reporting is inherently cyclical. ECS Fargate, Lambda, and AgentCore Runtime's consumption-based pricing (charged only when CPU is active) optimise cost while maintaining ability to scale during peak generation periods.</w:t>
      </w:r>
    </w:p>
    <w:p>
      <w:pPr>
        <w:pStyle w:val="ListParagraph"/>
        <w:numPr>
          <w:ilvl w:val="0"/>
          <w:numId w:val="2"/>
        </w:numPr>
        <w:spacing w:after="100"/>
      </w:pPr>
      <w:r>
        <w:rPr>
          <w:rFonts w:ascii="Arial" w:cs="Arial" w:eastAsia="Arial" w:hAnsi="Arial"/>
          <w:sz w:val="22"/>
          <w:szCs w:val="22"/>
        </w:rPr>
        <w:t xml:space="preserve">Choose vector store based on multi-tenancy requirements. OpenSearch Serverless for native Bedrock integration and high-throughput single-tenant RAG; Aurora pgvector for multi-tenant SaaS platforms requiring row-level security and SQL metadata filtering.</w:t>
      </w:r>
    </w:p>
    <w:p>
      <w:pPr>
        <w:pStyle w:val="ListParagraph"/>
        <w:numPr>
          <w:ilvl w:val="0"/>
          <w:numId w:val="2"/>
        </w:numPr>
        <w:spacing w:after="100"/>
      </w:pPr>
      <w:r>
        <w:rPr>
          <w:rFonts w:ascii="Arial" w:cs="Arial" w:eastAsia="Arial" w:hAnsi="Arial"/>
          <w:sz w:val="22"/>
          <w:szCs w:val="22"/>
        </w:rPr>
        <w:t xml:space="preserve">Deploy Step Functions for parallelisation. The step-based state machine pattern - distributing up to 40 concurrent InvokeModel calls via Map states - is the proven pattern for enterprise-scale, multi-section report generation.</w:t>
      </w:r>
    </w:p>
    <w:p>
      <w:pPr>
        <w:pStyle w:val="ListParagraph"/>
        <w:numPr>
          <w:ilvl w:val="0"/>
          <w:numId w:val="2"/>
        </w:numPr>
        <w:spacing w:after="100"/>
      </w:pPr>
      <w:r>
        <w:rPr>
          <w:rFonts w:ascii="Arial" w:cs="Arial" w:eastAsia="Arial" w:hAnsi="Arial"/>
          <w:sz w:val="22"/>
          <w:szCs w:val="22"/>
        </w:rPr>
        <w:t xml:space="preserve">Instrument with OpenTelemetry from the start. AgentCore Observability (OTEL-compatible) and AWS Distro for OpenTelemetry provide the agent-specific tracing needed to debug, optimise, and audit AI reasoning steps in production.</w:t>
      </w:r>
    </w:p>
    <w:p>
      <w:pPr>
        <w:pStyle w:val="ListParagraph"/>
        <w:numPr>
          <w:ilvl w:val="0"/>
          <w:numId w:val="2"/>
        </w:numPr>
        <w:spacing w:after="100"/>
      </w:pPr>
      <w:r>
        <w:rPr>
          <w:rFonts w:ascii="Arial" w:cs="Arial" w:eastAsia="Arial" w:hAnsi="Arial"/>
          <w:sz w:val="22"/>
          <w:szCs w:val="22"/>
        </w:rPr>
        <w:t xml:space="preserve">Plan for regulatory change. Embed regulatory knowledge bases as updateable RAG inputs rather than hardcoded prompt logic. CSRD, PSPK, and ISSB standards evolve; your architecture should accommodate updates without code changes.</w:t>
      </w:r>
    </w:p>
    <w:p>
      <w:pPr>
        <w:spacing w:after="80"/>
      </w:pPr>
      <w:r>
        <w:t xml:space="preserve"/>
      </w:r>
    </w:p>
    <w:p>
      <w:pPr>
        <w:pStyle w:val="Heading2"/>
        <w:spacing w:after="120" w:before="280"/>
      </w:pPr>
      <w:r>
        <w:rPr>
          <w:rFonts w:ascii="Arial" w:cs="Arial" w:eastAsia="Arial" w:hAnsi="Arial"/>
          <w:b/>
          <w:bCs/>
          <w:color w:val="2E5FA3"/>
          <w:sz w:val="24"/>
          <w:szCs w:val="24"/>
        </w:rPr>
        <w:t xml:space="preserve">10.3 Conclusion</w:t>
      </w:r>
    </w:p>
    <w:p>
      <w:pPr>
        <w:pStyle w:val="BT"/>
      </w:pPr>
      <w:r>
        <w:rPr>
          <w:rFonts w:ascii="Arial" w:cs="Arial" w:eastAsia="Arial" w:hAnsi="Arial"/>
          <w:sz w:val="22"/>
          <w:szCs w:val="22"/>
        </w:rPr>
        <w:t xml:space="preserve">The convergence of regulatory urgency, advanced AI capabilities, and proven architectural patterns has made AI-powered ESG reporting both achievable and necessary. The evidence from production implementations is clear: organisations that separate deterministic calculation from generative narrative, implement guardrails as foundational components, and design for multi-framework compliance from the outset are achieving 50-75% reductions in reporting effort while producing disclosures that are more defensible under third-party assurance than manual equivalents.</w:t>
      </w:r>
    </w:p>
    <w:p>
      <w:pPr>
        <w:pStyle w:val="BT"/>
      </w:pPr>
      <w:r>
        <w:rPr>
          <w:rFonts w:ascii="Arial" w:cs="Arial" w:eastAsia="Arial" w:hAnsi="Arial"/>
          <w:sz w:val="22"/>
          <w:szCs w:val="22"/>
        </w:rPr>
        <w:t xml:space="preserve">The industry is moving decisively from static annual sustainability reports toward continuous, dynamic reporting architectures. Organisations that establish AI-powered ESG reporting infrastructure in 2025-2026 will be positioned to lead this transition - turning regulatory compliance from a cost centre into a source of competitive intelligence, stakeholder trust, and long-term strategic advantage.</w:t>
      </w:r>
    </w:p>
    <w:p>
      <w:pPr>
        <w:pStyle w:val="BT"/>
      </w:pPr>
      <w:r>
        <w:rPr>
          <w:rFonts w:ascii="Arial" w:cs="Arial" w:eastAsia="Arial" w:hAnsi="Arial"/>
          <w:sz w:val="22"/>
          <w:szCs w:val="22"/>
        </w:rPr>
        <w:t xml:space="preserve">The technical building blocks are available, validated, and cost-effective. The primary barriers are governance, not technology: the discipline to separate calculations from AI generation, the commitment to implement guardrails before they are needed, and the courage to close the AI governance gap before regulators impose their own requirements.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D5E8" w:sz="4"/>
              <w:left w:val="single" w:color="C5D5E8" w:sz="4"/>
              <w:bottom w:val="single" w:color="C5D5E8" w:sz="4"/>
              <w:right w:val="single" w:color="C5D5E8" w:sz="4"/>
            </w:tcBorders>
            <w:shd w:fill="F7F9FC" w:val="clear"/>
          </w:tcPr>
          <w:p>
            <w:pPr>
              <w:spacing w:after="80" w:before="120"/>
            </w:pPr>
            <w:r>
              <w:rPr>
                <w:rFonts w:ascii="Arial" w:cs="Arial" w:eastAsia="Arial" w:hAnsi="Arial"/>
                <w:b/>
                <w:bCs/>
                <w:color w:val="1A3A5C"/>
                <w:sz w:val="20"/>
                <w:szCs w:val="20"/>
              </w:rPr>
              <w:t xml:space="preserve">Key Sources and References</w:t>
            </w:r>
          </w:p>
          <w:p>
            <w:pPr>
              <w:spacing w:after="80"/>
            </w:pPr>
            <w:r>
              <w:rPr>
                <w:rFonts w:ascii="Arial" w:cs="Arial" w:eastAsia="Arial" w:hAnsi="Arial"/>
                <w:color w:val="444444"/>
                <w:sz w:val="18"/>
                <w:szCs w:val="18"/>
              </w:rPr>
              <w:t xml:space="preserve">Gardenia Technologies / AWS PACE Team - Report GenAI on Amazon Bedrock (aws.amazon.com/blogs/machine-learning)</w:t>
            </w:r>
          </w:p>
          <w:p>
            <w:pPr>
              <w:spacing w:after="80"/>
            </w:pPr>
            <w:r>
              <w:rPr>
                <w:rFonts w:ascii="Arial" w:cs="Arial" w:eastAsia="Arial" w:hAnsi="Arial"/>
                <w:color w:val="444444"/>
                <w:sz w:val="18"/>
                <w:szCs w:val="18"/>
              </w:rPr>
              <w:t xml:space="preserve">Automated Sustainability Report Generator for Indonesian Banks - Technical Architecture and Regulatory Compliance Framework</w:t>
            </w:r>
          </w:p>
          <w:p>
            <w:pPr>
              <w:spacing w:after="80"/>
            </w:pPr>
            <w:r>
              <w:rPr>
                <w:rFonts w:ascii="Arial" w:cs="Arial" w:eastAsia="Arial" w:hAnsi="Arial"/>
                <w:color w:val="444444"/>
                <w:sz w:val="18"/>
                <w:szCs w:val="18"/>
              </w:rPr>
              <w:t xml:space="preserve">SAP - Autonomous Enterprise: New Sustainability AI Agents (news.sap.com, May 2026)</w:t>
            </w:r>
          </w:p>
          <w:p>
            <w:pPr>
              <w:spacing w:after="80"/>
            </w:pPr>
            <w:r>
              <w:rPr>
                <w:rFonts w:ascii="Arial" w:cs="Arial" w:eastAsia="Arial" w:hAnsi="Arial"/>
                <w:color w:val="444444"/>
                <w:sz w:val="18"/>
                <w:szCs w:val="18"/>
              </w:rPr>
              <w:t xml:space="preserve">IFRS Foundation &amp; EFRAG - Joint Interoperability Guidance (May 2024)</w:t>
            </w:r>
          </w:p>
          <w:p>
            <w:pPr>
              <w:spacing w:after="80"/>
            </w:pPr>
            <w:r>
              <w:rPr>
                <w:rFonts w:ascii="Arial" w:cs="Arial" w:eastAsia="Arial" w:hAnsi="Arial"/>
                <w:color w:val="444444"/>
                <w:sz w:val="18"/>
                <w:szCs w:val="18"/>
              </w:rPr>
              <w:t xml:space="preserve">SG Analytics - AI-Enabled Cross-Framework ESG Benchmarking and Data Mapping Case Study</w:t>
            </w:r>
          </w:p>
          <w:p>
            <w:pPr>
              <w:spacing w:after="80"/>
            </w:pPr>
            <w:r>
              <w:rPr>
                <w:rFonts w:ascii="Arial" w:cs="Arial" w:eastAsia="Arial" w:hAnsi="Arial"/>
                <w:color w:val="444444"/>
                <w:sz w:val="18"/>
                <w:szCs w:val="18"/>
              </w:rPr>
              <w:t xml:space="preserve">Amazon Bedrock AgentCore Documentation - Code Interpreter and Built-in Tools (docs.aws.amazon.com)</w:t>
            </w:r>
          </w:p>
          <w:p>
            <w:pPr>
              <w:spacing w:after="120"/>
            </w:pPr>
            <w:r>
              <w:rPr>
                <w:rFonts w:ascii="Arial" w:cs="Arial" w:eastAsia="Arial" w:hAnsi="Arial"/>
                <w:color w:val="444444"/>
                <w:sz w:val="18"/>
                <w:szCs w:val="18"/>
              </w:rPr>
              <w:t xml:space="preserve">EU Empowering Consumers for the Green Transition Directive; Charles Russell Speechlys - Anti-Greenwashing Analysis (2025)</w:t>
            </w:r>
          </w:p>
        </w:tc>
      </w:tr>
    </w:tbl>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6"/>
      </w:pBdr>
      <w:spacing w:before="80"/>
      <w:jc w:val="center"/>
    </w:pPr>
    <w:r>
      <w:rPr>
        <w:rFonts w:ascii="Arial" w:cs="Arial" w:eastAsia="Arial" w:hAnsi="Arial"/>
        <w:color w:val="999999"/>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AI-Powered ESG Reporting: Best Practices, Architecture &amp;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8" w:sz="6"/>
      </w:pBdr>
      <w:spacing w:after="80"/>
      <w:jc w:val="right"/>
    </w:pPr>
    <w:r>
      <w:rPr>
        <w:rFonts w:ascii="Arial" w:cs="Arial" w:eastAsia="Arial" w:hAnsi="Arial"/>
        <w:color w:val="2E5FA3"/>
        <w:sz w:val="18"/>
        <w:szCs w:val="18"/>
      </w:rPr>
      <w:t xml:space="preserve">AI-Powered ESG &amp; Sustainability Reporting</w:t>
    </w:r>
    <w:r>
      <w:rPr>
        <w:rFonts w:ascii="Arial" w:cs="Arial" w:eastAsia="Arial" w:hAnsi="Arial"/>
        <w:color w:val="999999"/>
        <w:sz w:val="18"/>
        <w:szCs w:val="18"/>
      </w:rPr>
      <w:t xml:space="preserve">  |  Best Practices, Architecture &amp;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bullet"/>
      <w:lvlText w:val="-"/>
      <w:lvlJc w:val="left"/>
      <w:pPr>
        <w:ind w:left="1080" w:hanging="360"/>
      </w:pPr>
      <w:rPr>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T">
    <w:name w:val="BT"/>
    <w:basedOn w:val="Normal"/>
    <w:pPr>
      <w:spacing w:after="160" w:line="280"/>
      <w:jc w:val="both"/>
    </w:pPr>
    <w:rPr>
      <w:rFonts w:ascii="Arial" w:cs="Arial" w:eastAsia="Arial" w:hAnsi="Arial"/>
      <w:color w:val="111111"/>
      <w:sz w:val="22"/>
      <w:szCs w:val="22"/>
    </w:rPr>
  </w:style>
  <w:style w:type="paragraph" w:styleId="Cap">
    <w:name w:val="Cap"/>
    <w:basedOn w:val="Normal"/>
    <w:pPr>
      <w:spacing w:after="200" w:before="60"/>
      <w:jc w:val="center"/>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146C6A-184B-4A08-9D08-0805EC2582C8}">
  <we:reference id="WA200010615" version="1.0.10036.0" store="en-us" storeType="OMEX"/>
  <we:alternateReferences/>
  <we:properties>
    <we:property name="Office.AutoShowTaskpaneWithDocument" value="true"/>
    <we:property name="conversationId" value="&quot;834cc053-5ff6-43bf-8fa0-9114238ea8d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2026-05-26T06:56:48.690Z</dcterms:created>
  <dcterms:modified xsi:type="dcterms:W3CDTF">2026-05-26T06:56:48.697Z</dcterms:modified>
</cp:coreProperties>
</file>

<file path=docProps/custom.xml><?xml version="1.0" encoding="utf-8"?>
<Properties xmlns="http://schemas.openxmlformats.org/officeDocument/2006/custom-properties" xmlns:vt="http://schemas.openxmlformats.org/officeDocument/2006/docPropsVTypes"/>
</file>