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bookmarkStart w:name="esg-reporting-system-—-aws-pricing-estimation" w:id="1"/>
      <w:r>
        <w:t xml:space="preserve">ESG Reporting System — AWS Pricing Estimation</w:t>
      </w:r>
      <w:bookmarkEnd w:id="1"/>
    </w:p>
    <w:p>
      <w:pPr>
        <w:pStyle w:val="Heading1"/>
      </w:pPr>
      <w:bookmarkStart w:name="multi-region-architecture:-data-(jakarta)-+-ai-(singapore/virginia)" w:id="1"/>
      <w:r>
        <w:t xml:space="preserve">Multi-Region Architecture: Data (Jakarta) + AI (Singapore/Virginia)</w:t>
      </w:r>
      <w:bookmarkEnd w:id="1"/>
    </w:p>
    <w:p>
      <w:pPr>
        <w:pBdr>
          <w:top w:val="single" w:sz="6"/>
        </w:pBdr>
      </w:pPr>
    </w:p>
    <w:p>
      <w:pPr>
        <w:pStyle w:val="Heading1"/>
      </w:pPr>
      <w:bookmarkStart w:name="architecture-decision:-region-split" w:id="1"/>
      <w:r>
        <w:t xml:space="preserve">Architecture Decision: Region Split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Region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Rationale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S3 Data Lake (raw/curated/aggregated)</w:t>
            </w:r>
          </w:p>
        </w:tc>
        <w:tc>
          <w:tcPr>
            <w:tcW w:type="auto" w:w="100"/>
            <w:vAlign w:val="center"/>
          </w:tcPr>
          <w:p>
            <w:r>
              <w:t xml:space="preserve">ap-southeast-3 (Jakarta)</w:t>
            </w:r>
          </w:p>
        </w:tc>
        <w:tc>
          <w:tcPr>
            <w:tcW w:type="auto" w:w="100"/>
            <w:vAlign w:val="center"/>
          </w:tcPr>
          <w:p>
            <w:r>
              <w:t xml:space="preserve">Data residency, compliance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AWS Glue ETL</w:t>
            </w:r>
          </w:p>
        </w:tc>
        <w:tc>
          <w:tcPr>
            <w:tcW w:type="auto" w:w="100"/>
            <w:vAlign w:val="center"/>
          </w:tcPr>
          <w:p>
            <w:r>
              <w:t xml:space="preserve">ap-southeast-3 (Jakarta)</w:t>
            </w:r>
          </w:p>
        </w:tc>
        <w:tc>
          <w:tcPr>
            <w:tcW w:type="auto" w:w="100"/>
            <w:vAlign w:val="center"/>
          </w:tcPr>
          <w:p>
            <w:r>
              <w:t xml:space="preserve">Close to data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Amazon Athena</w:t>
            </w:r>
          </w:p>
        </w:tc>
        <w:tc>
          <w:tcPr>
            <w:tcW w:type="auto" w:w="100"/>
            <w:vAlign w:val="center"/>
          </w:tcPr>
          <w:p>
            <w:r>
              <w:t xml:space="preserve">ap-southeast-3 (Jakarta)</w:t>
            </w:r>
          </w:p>
        </w:tc>
        <w:tc>
          <w:tcPr>
            <w:tcW w:type="auto" w:w="100"/>
            <w:vAlign w:val="center"/>
          </w:tcPr>
          <w:p>
            <w:r>
              <w:t xml:space="preserve">Query data in-place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AWS Lambda (most)</w:t>
            </w:r>
          </w:p>
        </w:tc>
        <w:tc>
          <w:tcPr>
            <w:tcW w:type="auto" w:w="100"/>
            <w:vAlign w:val="center"/>
          </w:tcPr>
          <w:p>
            <w:r>
              <w:t xml:space="preserve">ap-southeast-3 (Jakarta)</w:t>
            </w:r>
          </w:p>
        </w:tc>
        <w:tc>
          <w:tcPr>
            <w:tcW w:type="auto" w:w="100"/>
            <w:vAlign w:val="center"/>
          </w:tcPr>
          <w:p>
            <w:r>
              <w:t xml:space="preserve">Orchestration close to data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Step Functions</w:t>
            </w:r>
          </w:p>
        </w:tc>
        <w:tc>
          <w:tcPr>
            <w:tcW w:type="auto" w:w="100"/>
            <w:vAlign w:val="center"/>
          </w:tcPr>
          <w:p>
            <w:r>
              <w:t xml:space="preserve">ap-southeast-3 (Jakarta)</w:t>
            </w:r>
          </w:p>
        </w:tc>
        <w:tc>
          <w:tcPr>
            <w:tcW w:type="auto" w:w="100"/>
            <w:vAlign w:val="center"/>
          </w:tcPr>
          <w:p>
            <w:r>
              <w:t xml:space="preserve">Workflow orchestration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Bedrock Claude 3.5 Sonnet</w:t>
            </w:r>
          </w:p>
        </w:tc>
        <w:tc>
          <w:tcPr>
            <w:tcW w:type="auto" w:w="100"/>
            <w:vAlign w:val="center"/>
          </w:tcPr>
          <w:p>
            <w:r>
              <w:t xml:space="preserve">ap-southeast-1 (Singapore)</w:t>
            </w:r>
          </w:p>
        </w:tc>
        <w:tc>
          <w:tcPr>
            <w:tcW w:type="auto" w:w="100"/>
            <w:vAlign w:val="center"/>
          </w:tcPr>
          <w:p>
            <w:r>
              <w:t xml:space="preserve">Closest region with Bedrock model access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Bedrock Knowledge Base</w:t>
            </w:r>
          </w:p>
        </w:tc>
        <w:tc>
          <w:tcPr>
            <w:tcW w:type="auto" w:w="100"/>
            <w:vAlign w:val="center"/>
          </w:tcPr>
          <w:p>
            <w:r>
              <w:t xml:space="preserve">ap-southeast-1 (Singapore)</w:t>
            </w:r>
          </w:p>
        </w:tc>
        <w:tc>
          <w:tcPr>
            <w:tcW w:type="auto" w:w="100"/>
            <w:vAlign w:val="center"/>
          </w:tcPr>
          <w:p>
            <w:r>
              <w:t xml:space="preserve">Must be same region as model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Vector Store (AOSS/S3 Vectors)</w:t>
            </w:r>
          </w:p>
        </w:tc>
        <w:tc>
          <w:tcPr>
            <w:tcW w:type="auto" w:w="100"/>
            <w:vAlign w:val="center"/>
          </w:tcPr>
          <w:p>
            <w:r>
              <w:t xml:space="preserve">ap-southeast-1 (Singapore)</w:t>
            </w:r>
          </w:p>
        </w:tc>
        <w:tc>
          <w:tcPr>
            <w:tcW w:type="auto" w:w="100"/>
            <w:vAlign w:val="center"/>
          </w:tcPr>
          <w:p>
            <w:r>
              <w:t xml:space="preserve">Must be same region as KB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assumptions-(poc-scope)" w:id="1"/>
      <w:r>
        <w:t xml:space="preserve">Assumptions (POC Scope)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</w:rPr>
        <w:t xml:space="preserve">Reports generated:</w:t>
      </w:r>
      <w:r>
        <w:t xml:space="preserve"> 4/month (1 per framework: GRI, IFRS, CSRD, OJK)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</w:rPr>
        <w:t xml:space="preserve">Sections per report:</w:t>
      </w:r>
      <w:r>
        <w:t xml:space="preserve"> 8 average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</w:rPr>
        <w:t xml:space="preserve">Total AI invocations:</w:t>
      </w:r>
      <w:r>
        <w:t xml:space="preserve"> 32 sections/month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</w:rPr>
        <w:t xml:space="preserve">Data volume:</w:t>
      </w:r>
      <w:r>
        <w:t xml:space="preserve"> Synthetic data, ~1 GB total across all zones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</w:rPr>
        <w:t xml:space="preserve">Concurrency:</w:t>
      </w:r>
      <w:r>
        <w:t xml:space="preserve"> Single-user, sequential execution</w:t>
      </w:r>
    </w:p>
    <w:p>
      <w:pPr>
        <w:pBdr>
          <w:top w:val="single" w:sz="6"/>
        </w:pBdr>
      </w:pPr>
    </w:p>
    <w:p>
      <w:pPr>
        <w:pStyle w:val="Heading1"/>
      </w:pPr>
      <w:bookmarkStart w:name="per-service-cost-breakdown" w:id="1"/>
      <w:r>
        <w:t xml:space="preserve">Per-Service Cost Breakdown</w:t>
      </w:r>
      <w:bookmarkEnd w:id="1"/>
    </w:p>
    <w:p>
      <w:pPr>
        <w:pStyle w:val="Heading2"/>
      </w:pPr>
      <w:bookmarkStart w:name="1-amazon-bedrock-—-claude-3-5-sonnet-(singapore)" w:id="1"/>
      <w:r>
        <w:t xml:space="preserve">1. Amazon Bedrock — Claude 3.5 Sonnet (Singapore)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Metric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Input tokens/month</w:t>
            </w:r>
          </w:p>
        </w:tc>
        <w:tc>
          <w:tcPr>
            <w:tcW w:type="auto" w:w="100"/>
            <w:vAlign w:val="center"/>
          </w:tcPr>
          <w:p>
            <w:r>
              <w:t xml:space="preserve">128,000 (0.128M)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Output tokens/month</w:t>
            </w:r>
          </w:p>
        </w:tc>
        <w:tc>
          <w:tcPr>
            <w:tcW w:type="auto" w:w="100"/>
            <w:vAlign w:val="center"/>
          </w:tcPr>
          <w:p>
            <w:r>
              <w:t xml:space="preserve">96,000 (0.096M)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Input rate</w:t>
            </w:r>
          </w:p>
        </w:tc>
        <w:tc>
          <w:tcPr>
            <w:tcW w:type="auto" w:w="100"/>
            <w:vAlign w:val="center"/>
          </w:tcPr>
          <w:p>
            <w:r>
              <w:t xml:space="preserve">$3.00 / 1M tokens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Output rate</w:t>
            </w:r>
          </w:p>
        </w:tc>
        <w:tc>
          <w:tcPr>
            <w:tcW w:type="auto" w:w="100"/>
            <w:vAlign w:val="center"/>
          </w:tcPr>
          <w:p>
            <w:r>
              <w:t xml:space="preserve">$15.00 / 1M tokens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Input cost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$0.38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Output cost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$1.44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$1.82/month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💡 This is extremely cheap because we only call the LLM once per section (32 calls/month). The hybrid architecture keeps AI costs minimal.</w:t>
      </w:r>
    </w:p>
    <w:p>
      <w:pPr>
        <w:pBdr>
          <w:top w:val="single" w:sz="6"/>
        </w:pBdr>
      </w:pPr>
    </w:p>
    <w:p>
      <w:pPr>
        <w:pStyle w:val="Heading2"/>
      </w:pPr>
      <w:bookmarkStart w:name="2-knowledge-base-vector-store-(singapore)-—-3-options" w:id="1"/>
      <w:r>
        <w:t xml:space="preserve">2. Knowledge Base Vector Store (Singapore) — 3 Options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Option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Monthly Cost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A. OpenSearch Serverless (Classic)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$700.80</w:t>
            </w:r>
          </w:p>
        </w:tc>
        <w:tc>
          <w:tcPr>
            <w:tcW w:type="auto" w:w="100"/>
            <w:vAlign w:val="center"/>
          </w:tcPr>
          <w:p>
            <w:r>
              <w:t xml:space="preserve">⚠️ Always-on minimum 4 OCUs × $0.24/hr × 730h. OVERKILL for POC.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B. OpenSearch Serverless (Next-Gen)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$3.84</w:t>
            </w:r>
          </w:p>
        </w:tc>
        <w:tc>
          <w:tcPr>
            <w:tcW w:type="auto" w:w="100"/>
            <w:vAlign w:val="center"/>
          </w:tcPr>
          <w:p>
            <w:r>
              <w:t xml:space="preserve">✅ Scale-to-zero. Only pay during active report generation (~8h/month).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C. Amazon S3 Vectors (Newest)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$0.002</w:t>
            </w:r>
          </w:p>
        </w:tc>
        <w:tc>
          <w:tcPr>
            <w:tcW w:type="auto" w:w="100"/>
            <w:vAlign w:val="center"/>
          </w:tcPr>
          <w:p>
            <w:r>
              <w:t xml:space="preserve">✅ Cheapest. Native Bedrock KB integration. $0.0025/GB + $0.0035/1K queries.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⚠️ </w:t>
      </w:r>
      <w:r>
        <w:rPr>
          <w:b/>
          <w:bCs/>
          <w:bdr/>
        </w:rPr>
        <w:t xml:space="preserve">CRITICAL WARNING:</w:t>
      </w:r>
      <w:r>
        <w:rPr>
          <w:bdr/>
        </w:rPr>
        <w:t xml:space="preserve"> If you use classic AOSS, you'll pay ~$700/month even if you generate ZERO reports. The minimum floor is 4 OCUs always-on. Use Next-Gen AOSS (scale-to-zero, launched May 2026) or S3 Vectors instead.</w:t>
      </w:r>
    </w:p>
    <w:p>
      <w:pPr>
        <w:pBdr>
          <w:top w:val="single" w:sz="6"/>
        </w:pBdr>
      </w:pPr>
    </w:p>
    <w:p>
      <w:pPr>
        <w:pStyle w:val="Heading2"/>
      </w:pPr>
      <w:bookmarkStart w:name="3-aws-glue-etl-(jakarta)" w:id="1"/>
      <w:r>
        <w:t xml:space="preserve">3. AWS Glue ETL (Jakarta)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Metric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Jobs</w:t>
            </w:r>
          </w:p>
        </w:tc>
        <w:tc>
          <w:tcPr>
            <w:tcW w:type="auto" w:w="100"/>
            <w:vAlign w:val="center"/>
          </w:tcPr>
          <w:p>
            <w:r>
              <w:t xml:space="preserve">3 (Scope 1 GHG, Scope 3 PCAF, Aggregation)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DPUs per job</w:t>
            </w:r>
          </w:p>
        </w:tc>
        <w:tc>
          <w:tcPr>
            <w:tcW w:type="auto" w:w="100"/>
            <w:vAlign w:val="center"/>
          </w:tcPr>
          <w:p>
            <w:r>
              <w:t xml:space="preserve">5 (default)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Runtime per job</w:t>
            </w:r>
          </w:p>
        </w:tc>
        <w:tc>
          <w:tcPr>
            <w:tcW w:type="auto" w:w="100"/>
            <w:vAlign w:val="center"/>
          </w:tcPr>
          <w:p>
            <w:r>
              <w:t xml:space="preserve">~10 minutes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Rate</w:t>
            </w:r>
          </w:p>
        </w:tc>
        <w:tc>
          <w:tcPr>
            <w:tcW w:type="auto" w:w="100"/>
            <w:vAlign w:val="center"/>
          </w:tcPr>
          <w:p>
            <w:r>
              <w:t xml:space="preserve">$0.44/DPU-hour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Cost per full run</w:t>
            </w:r>
          </w:p>
        </w:tc>
        <w:tc>
          <w:tcPr>
            <w:tcW w:type="auto" w:w="100"/>
            <w:vAlign w:val="center"/>
          </w:tcPr>
          <w:p>
            <w:r>
              <w:t xml:space="preserve">$1.10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Runs/month</w:t>
            </w:r>
          </w:p>
        </w:tc>
        <w:tc>
          <w:tcPr>
            <w:tcW w:type="auto" w:w="100"/>
            <w:vAlign w:val="center"/>
          </w:tcPr>
          <w:p>
            <w:r>
              <w:t xml:space="preserve">4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$4.40/month</w:t>
            </w:r>
          </w:p>
        </w:tc>
      </w:tr>
    </w:tbl>
    <w:p>
      <w:pPr>
        <w:pBdr>
          <w:top w:val="single" w:sz="6"/>
        </w:pBdr>
      </w:pPr>
    </w:p>
    <w:p>
      <w:pPr>
        <w:pStyle w:val="Heading2"/>
      </w:pPr>
      <w:bookmarkStart w:name="4-amazon-athena-(jakarta)" w:id="1"/>
      <w:r>
        <w:t xml:space="preserve">4. Amazon Athena (Jakarta)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Metric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Queries/month</w:t>
            </w:r>
          </w:p>
        </w:tc>
        <w:tc>
          <w:tcPr>
            <w:tcW w:type="auto" w:w="100"/>
            <w:vAlign w:val="center"/>
          </w:tcPr>
          <w:p>
            <w:r>
              <w:t xml:space="preserve">24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Data scanned/query</w:t>
            </w:r>
          </w:p>
        </w:tc>
        <w:tc>
          <w:tcPr>
            <w:tcW w:type="auto" w:w="100"/>
            <w:vAlign w:val="center"/>
          </w:tcPr>
          <w:p>
            <w:r>
              <w:t xml:space="preserve">10 MB (minimum billing)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Total scanned</w:t>
            </w:r>
          </w:p>
        </w:tc>
        <w:tc>
          <w:tcPr>
            <w:tcW w:type="auto" w:w="100"/>
            <w:vAlign w:val="center"/>
          </w:tcPr>
          <w:p>
            <w:r>
              <w:t xml:space="preserve">240 MB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Rate</w:t>
            </w:r>
          </w:p>
        </w:tc>
        <w:tc>
          <w:tcPr>
            <w:tcW w:type="auto" w:w="100"/>
            <w:vAlign w:val="center"/>
          </w:tcPr>
          <w:p>
            <w:r>
              <w:t xml:space="preserve">$5.00/TB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$0.001/month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💡 Parquet + partition projection makes Athena essentially free at this scale.</w:t>
      </w:r>
    </w:p>
    <w:p>
      <w:pPr>
        <w:pBdr>
          <w:top w:val="single" w:sz="6"/>
        </w:pBdr>
      </w:pPr>
    </w:p>
    <w:p>
      <w:pPr>
        <w:pStyle w:val="Heading2"/>
      </w:pPr>
      <w:bookmarkStart w:name="5-aws-lambda-(jakarta-+-singapore)" w:id="1"/>
      <w:r>
        <w:t xml:space="preserve">5. AWS Lambda (Jakarta + Singapore)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Function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Invocations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Memory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Duration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Cost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ValidateInputFn</w:t>
            </w:r>
          </w:p>
        </w:tc>
        <w:tc>
          <w:tcPr>
            <w:tcW w:type="auto" w:w="100"/>
            <w:vAlign w:val="center"/>
          </w:tcPr>
          <w:p>
            <w:r>
              <w:t xml:space="preserve">4</w:t>
            </w:r>
          </w:p>
        </w:tc>
        <w:tc>
          <w:tcPr>
            <w:tcW w:type="auto" w:w="100"/>
            <w:vAlign w:val="center"/>
          </w:tcPr>
          <w:p>
            <w:r>
              <w:t xml:space="preserve">256 MB</w:t>
            </w:r>
          </w:p>
        </w:tc>
        <w:tc>
          <w:tcPr>
            <w:tcW w:type="auto" w:w="100"/>
            <w:vAlign w:val="center"/>
          </w:tcPr>
          <w:p>
            <w:r>
              <w:t xml:space="preserve">5s</w:t>
            </w:r>
          </w:p>
        </w:tc>
        <w:tc>
          <w:tcPr>
            <w:tcW w:type="auto" w:w="100"/>
            <w:vAlign w:val="center"/>
          </w:tcPr>
          <w:p>
            <w:r>
              <w:t xml:space="preserve">$0.0001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AthenaQueryFn</w:t>
            </w:r>
          </w:p>
        </w:tc>
        <w:tc>
          <w:tcPr>
            <w:tcW w:type="auto" w:w="100"/>
            <w:vAlign w:val="center"/>
          </w:tcPr>
          <w:p>
            <w:r>
              <w:t xml:space="preserve">24</w:t>
            </w:r>
          </w:p>
        </w:tc>
        <w:tc>
          <w:tcPr>
            <w:tcW w:type="auto" w:w="100"/>
            <w:vAlign w:val="center"/>
          </w:tcPr>
          <w:p>
            <w:r>
              <w:t xml:space="preserve">512 MB</w:t>
            </w:r>
          </w:p>
        </w:tc>
        <w:tc>
          <w:tcPr>
            <w:tcW w:type="auto" w:w="100"/>
            <w:vAlign w:val="center"/>
          </w:tcPr>
          <w:p>
            <w:r>
              <w:t xml:space="preserve">30s</w:t>
            </w:r>
          </w:p>
        </w:tc>
        <w:tc>
          <w:tcPr>
            <w:tcW w:type="auto" w:w="100"/>
            <w:vAlign w:val="center"/>
          </w:tcPr>
          <w:p>
            <w:r>
              <w:t xml:space="preserve">$0.006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SectionGenFn</w:t>
            </w:r>
          </w:p>
        </w:tc>
        <w:tc>
          <w:tcPr>
            <w:tcW w:type="auto" w:w="100"/>
            <w:vAlign w:val="center"/>
          </w:tcPr>
          <w:p>
            <w:r>
              <w:t xml:space="preserve">32</w:t>
            </w:r>
          </w:p>
        </w:tc>
        <w:tc>
          <w:tcPr>
            <w:tcW w:type="auto" w:w="100"/>
            <w:vAlign w:val="center"/>
          </w:tcPr>
          <w:p>
            <w:r>
              <w:t xml:space="preserve">1024 MB</w:t>
            </w:r>
          </w:p>
        </w:tc>
        <w:tc>
          <w:tcPr>
            <w:tcW w:type="auto" w:w="100"/>
            <w:vAlign w:val="center"/>
          </w:tcPr>
          <w:p>
            <w:r>
              <w:t xml:space="preserve">60s</w:t>
            </w:r>
          </w:p>
        </w:tc>
        <w:tc>
          <w:tcPr>
            <w:tcW w:type="auto" w:w="100"/>
            <w:vAlign w:val="center"/>
          </w:tcPr>
          <w:p>
            <w:r>
              <w:t xml:space="preserve">$0.032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ValidationFn</w:t>
            </w:r>
          </w:p>
        </w:tc>
        <w:tc>
          <w:tcPr>
            <w:tcW w:type="auto" w:w="100"/>
            <w:vAlign w:val="center"/>
          </w:tcPr>
          <w:p>
            <w:r>
              <w:t xml:space="preserve">32</w:t>
            </w:r>
          </w:p>
        </w:tc>
        <w:tc>
          <w:tcPr>
            <w:tcW w:type="auto" w:w="100"/>
            <w:vAlign w:val="center"/>
          </w:tcPr>
          <w:p>
            <w:r>
              <w:t xml:space="preserve">512 MB</w:t>
            </w:r>
          </w:p>
        </w:tc>
        <w:tc>
          <w:tcPr>
            <w:tcW w:type="auto" w:w="100"/>
            <w:vAlign w:val="center"/>
          </w:tcPr>
          <w:p>
            <w:r>
              <w:t xml:space="preserve">10s</w:t>
            </w:r>
          </w:p>
        </w:tc>
        <w:tc>
          <w:tcPr>
            <w:tcW w:type="auto" w:w="100"/>
            <w:vAlign w:val="center"/>
          </w:tcPr>
          <w:p>
            <w:r>
              <w:t xml:space="preserve">$0.003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AssemblyFn</w:t>
            </w:r>
          </w:p>
        </w:tc>
        <w:tc>
          <w:tcPr>
            <w:tcW w:type="auto" w:w="100"/>
            <w:vAlign w:val="center"/>
          </w:tcPr>
          <w:p>
            <w:r>
              <w:t xml:space="preserve">4</w:t>
            </w:r>
          </w:p>
        </w:tc>
        <w:tc>
          <w:tcPr>
            <w:tcW w:type="auto" w:w="100"/>
            <w:vAlign w:val="center"/>
          </w:tcPr>
          <w:p>
            <w:r>
              <w:t xml:space="preserve">1024 MB</w:t>
            </w:r>
          </w:p>
        </w:tc>
        <w:tc>
          <w:tcPr>
            <w:tcW w:type="auto" w:w="100"/>
            <w:vAlign w:val="center"/>
          </w:tcPr>
          <w:p>
            <w:r>
              <w:t xml:space="preserve">30s</w:t>
            </w:r>
          </w:p>
        </w:tc>
        <w:tc>
          <w:tcPr>
            <w:tcW w:type="auto" w:w="100"/>
            <w:vAlign w:val="center"/>
          </w:tcPr>
          <w:p>
            <w:r>
              <w:t xml:space="preserve">$0.002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$0.04/month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Rate: $0.20/1M requests + $0.0000166667/GB-second</w:t>
      </w:r>
    </w:p>
    <w:p>
      <w:pPr>
        <w:pBdr>
          <w:top w:val="single" w:sz="6"/>
        </w:pBdr>
      </w:pPr>
    </w:p>
    <w:p>
      <w:pPr>
        <w:pStyle w:val="Heading2"/>
      </w:pPr>
      <w:bookmarkStart w:name="6-amazon-s3-(jakarta)" w:id="1"/>
      <w:r>
        <w:t xml:space="preserve">6. Amazon S3 (Jakarta)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Zone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Size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Cost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Raw</w:t>
            </w:r>
          </w:p>
        </w:tc>
        <w:tc>
          <w:tcPr>
            <w:tcW w:type="auto" w:w="100"/>
            <w:vAlign w:val="center"/>
          </w:tcPr>
          <w:p>
            <w:r>
              <w:t xml:space="preserve">0.5 GB</w:t>
            </w:r>
          </w:p>
        </w:tc>
        <w:tc>
          <w:tcPr>
            <w:tcW w:type="auto" w:w="100"/>
            <w:vAlign w:val="center"/>
          </w:tcPr>
          <w:p>
            <w:r>
              <w:t xml:space="preserve">$0.013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Curated</w:t>
            </w:r>
          </w:p>
        </w:tc>
        <w:tc>
          <w:tcPr>
            <w:tcW w:type="auto" w:w="100"/>
            <w:vAlign w:val="center"/>
          </w:tcPr>
          <w:p>
            <w:r>
              <w:t xml:space="preserve">0.3 GB</w:t>
            </w:r>
          </w:p>
        </w:tc>
        <w:tc>
          <w:tcPr>
            <w:tcW w:type="auto" w:w="100"/>
            <w:vAlign w:val="center"/>
          </w:tcPr>
          <w:p>
            <w:r>
              <w:t xml:space="preserve">$0.008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Aggregated</w:t>
            </w:r>
          </w:p>
        </w:tc>
        <w:tc>
          <w:tcPr>
            <w:tcW w:type="auto" w:w="100"/>
            <w:vAlign w:val="center"/>
          </w:tcPr>
          <w:p>
            <w:r>
              <w:t xml:space="preserve">0.01 GB</w:t>
            </w:r>
          </w:p>
        </w:tc>
        <w:tc>
          <w:tcPr>
            <w:tcW w:type="auto" w:w="100"/>
            <w:vAlign w:val="center"/>
          </w:tcPr>
          <w:p>
            <w:r>
              <w:t xml:space="preserve">$0.000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Output reports</w:t>
            </w:r>
          </w:p>
        </w:tc>
        <w:tc>
          <w:tcPr>
            <w:tcW w:type="auto" w:w="100"/>
            <w:vAlign w:val="center"/>
          </w:tcPr>
          <w:p>
            <w:r>
              <w:t xml:space="preserve">0.05 GB</w:t>
            </w:r>
          </w:p>
        </w:tc>
        <w:tc>
          <w:tcPr>
            <w:tcW w:type="auto" w:w="100"/>
            <w:vAlign w:val="center"/>
          </w:tcPr>
          <w:p>
            <w:r>
              <w:t xml:space="preserve">$0.001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Staging (sections)</w:t>
            </w:r>
          </w:p>
        </w:tc>
        <w:tc>
          <w:tcPr>
            <w:tcW w:type="auto" w:w="100"/>
            <w:vAlign w:val="center"/>
          </w:tcPr>
          <w:p>
            <w:r>
              <w:t xml:space="preserve">0.02 GB</w:t>
            </w:r>
          </w:p>
        </w:tc>
        <w:tc>
          <w:tcPr>
            <w:tcW w:type="auto" w:w="100"/>
            <w:vAlign w:val="center"/>
          </w:tcPr>
          <w:p>
            <w:r>
              <w:t xml:space="preserve">$0.001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0.88 GB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$0.07/month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Rate: $0.025/GB (Standard, first 50TB)</w:t>
      </w:r>
    </w:p>
    <w:p>
      <w:pPr>
        <w:pBdr>
          <w:top w:val="single" w:sz="6"/>
        </w:pBdr>
      </w:pPr>
    </w:p>
    <w:p>
      <w:pPr>
        <w:pStyle w:val="Heading2"/>
      </w:pPr>
      <w:bookmarkStart w:name="7-aws-step-functions-(jakarta)" w:id="1"/>
      <w:r>
        <w:t xml:space="preserve">7. AWS Step Functions (Jakarta)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Metric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Transitions/report</w:t>
            </w:r>
          </w:p>
        </w:tc>
        <w:tc>
          <w:tcPr>
            <w:tcW w:type="auto" w:w="100"/>
            <w:vAlign w:val="center"/>
          </w:tcPr>
          <w:p>
            <w:r>
              <w:t xml:space="preserve">~98 (12 states + map iterations)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Total transitions/month</w:t>
            </w:r>
          </w:p>
        </w:tc>
        <w:tc>
          <w:tcPr>
            <w:tcW w:type="auto" w:w="100"/>
            <w:vAlign w:val="center"/>
          </w:tcPr>
          <w:p>
            <w:r>
              <w:t xml:space="preserve">392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Rate</w:t>
            </w:r>
          </w:p>
        </w:tc>
        <w:tc>
          <w:tcPr>
            <w:tcW w:type="auto" w:w="100"/>
            <w:vAlign w:val="center"/>
          </w:tcPr>
          <w:p>
            <w:r>
              <w:t xml:space="preserve">$0.025/1,000 transitions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$0.01/month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Free tier: 4,000 transitions/month — this POC fits entirely in free tier.</w:t>
      </w:r>
    </w:p>
    <w:p>
      <w:pPr>
        <w:pBdr>
          <w:top w:val="single" w:sz="6"/>
        </w:pBdr>
      </w:pPr>
    </w:p>
    <w:p>
      <w:pPr>
        <w:pStyle w:val="Heading2"/>
      </w:pPr>
      <w:bookmarkStart w:name="8-data-transfer-(jakarta-→-singapore)" w:id="1"/>
      <w:r>
        <w:t xml:space="preserve">8. Data Transfer (Jakarta → Singapore)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Metric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Payload size</w:t>
            </w:r>
          </w:p>
        </w:tc>
        <w:tc>
          <w:tcPr>
            <w:tcW w:type="auto" w:w="100"/>
            <w:vAlign w:val="center"/>
          </w:tcPr>
          <w:p>
            <w:r>
              <w:t xml:space="preserve">~10 MB/month (JSON to Bedrock)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Rate</w:t>
            </w:r>
          </w:p>
        </w:tc>
        <w:tc>
          <w:tcPr>
            <w:tcW w:type="auto" w:w="100"/>
            <w:vAlign w:val="center"/>
          </w:tcPr>
          <w:p>
            <w:r>
              <w:t xml:space="preserve">$0.09/GB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$0.001/month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Minimal because only JSON payloads (prompt + response) cross regions.</w:t>
      </w:r>
    </w:p>
    <w:p>
      <w:pPr>
        <w:pBdr>
          <w:top w:val="single" w:sz="6"/>
        </w:pBdr>
      </w:pPr>
    </w:p>
    <w:p>
      <w:pPr>
        <w:pStyle w:val="Heading2"/>
      </w:pPr>
      <w:bookmarkStart w:name="9-supporting-services" w:id="1"/>
      <w:r>
        <w:t xml:space="preserve">9. Supporting Services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Service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Monthly Cost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CloudWatch Logs</w:t>
            </w:r>
          </w:p>
        </w:tc>
        <w:tc>
          <w:tcPr>
            <w:tcW w:type="auto" w:w="100"/>
            <w:vAlign w:val="center"/>
          </w:tcPr>
          <w:p>
            <w:r>
              <w:t xml:space="preserve">~$2.00</w:t>
            </w:r>
          </w:p>
        </w:tc>
        <w:tc>
          <w:tcPr>
            <w:tcW w:type="auto" w:w="100"/>
            <w:vAlign w:val="center"/>
          </w:tcPr>
          <w:p>
            <w:r>
              <w:t xml:space="preserve">~2 GB ingestion + storage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SNS + SQS</w:t>
            </w:r>
          </w:p>
        </w:tc>
        <w:tc>
          <w:tcPr>
            <w:tcW w:type="auto" w:w="100"/>
            <w:vAlign w:val="center"/>
          </w:tcPr>
          <w:p>
            <w:r>
              <w:t xml:space="preserve">~$0.50</w:t>
            </w:r>
          </w:p>
        </w:tc>
        <w:tc>
          <w:tcPr>
            <w:tcW w:type="auto" w:w="100"/>
            <w:vAlign w:val="center"/>
          </w:tcPr>
          <w:p>
            <w:r>
              <w:t xml:space="preserve">Notifications + human review queue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$2.50/month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💰-total-monthly-cost-—-scenario-comparison" w:id="1"/>
      <w:r>
        <w:t xml:space="preserve">💰 TOTAL MONTHLY COST — SCENARIO COMPARISON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Scenario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Vector Store Choice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Monthly Cost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Annual Cost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A. Classic AOSS</w:t>
            </w:r>
          </w:p>
        </w:tc>
        <w:tc>
          <w:tcPr>
            <w:tcW w:type="auto" w:w="100"/>
            <w:vAlign w:val="center"/>
          </w:tcPr>
          <w:p>
            <w:r>
              <w:t xml:space="preserve">OpenSearch Serverless (always-on)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$709.65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$8,516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B. Next-Gen AOSS</w:t>
            </w:r>
          </w:p>
        </w:tc>
        <w:tc>
          <w:tcPr>
            <w:tcW w:type="auto" w:w="100"/>
            <w:vAlign w:val="center"/>
          </w:tcPr>
          <w:p>
            <w:r>
              <w:t xml:space="preserve">OpenSearch Serverless (scale-to-zero)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$12.69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$152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C. S3 Vectors</w:t>
            </w:r>
          </w:p>
        </w:tc>
        <w:tc>
          <w:tcPr>
            <w:tcW w:type="auto" w:w="100"/>
            <w:vAlign w:val="center"/>
          </w:tcPr>
          <w:p>
            <w:r>
              <w:t xml:space="preserve">Amazon S3 Vectors (newest)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$8.85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$106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✅-recommended:-scenario-b-or-c" w:id="1"/>
      <w:r>
        <w:t xml:space="preserve">✅ RECOMMENDED: Scenario B or C</w:t>
      </w:r>
      <w:bookmarkEnd w:id="1"/>
    </w:p>
    <w:p>
      <w:pPr>
        <w:pStyle w:val="Heading2"/>
      </w:pPr>
      <w:bookmarkStart w:name="for-poc-→-scenario-c-(s3-vectors):-~$9/month" w:id="1"/>
      <w:r>
        <w:t xml:space="preserve">For POC → </w:t>
      </w:r>
      <w:r>
        <w:rPr>
          <w:b/>
          <w:bCs/>
        </w:rPr>
        <w:t xml:space="preserve">Scenario C (S3 Vectors): ~$9/month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t xml:space="preserve">Cheapest option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t xml:space="preserve">Native Bedrock KB integration (launched 2025)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t xml:space="preserve">No infrastructure to manage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t xml:space="preserve">Perfect for &lt;1GB document corpus</w:t>
      </w:r>
    </w:p>
    <w:p>
      <w:pPr>
        <w:pStyle w:val="Heading2"/>
      </w:pPr>
      <w:bookmarkStart w:name="for-production-→-scenario-b-(next-gen-aoss):-~$13/month" w:id="1"/>
      <w:r>
        <w:t xml:space="preserve">For Production → </w:t>
      </w:r>
      <w:r>
        <w:rPr>
          <w:b/>
          <w:bCs/>
        </w:rPr>
        <w:t xml:space="preserve">Scenario B (Next-Gen AOSS): ~$13/month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t xml:space="preserve">Better query performance at scale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t xml:space="preserve">Supports hybrid search (keyword + vector)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t xml:space="preserve">Scale-to-zero when idle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t xml:space="preserve">Better for larger document corpus (&gt;5GB)</w:t>
      </w:r>
    </w:p>
    <w:p>
      <w:pPr>
        <w:pBdr>
          <w:top w:val="single" w:sz="6"/>
        </w:pBdr>
      </w:pPr>
    </w:p>
    <w:p>
      <w:pPr>
        <w:pStyle w:val="Heading1"/>
      </w:pPr>
      <w:bookmarkStart w:name="cost-scaling-(production-estimates)" w:id="1"/>
      <w:r>
        <w:t xml:space="preserve">Cost Scaling (Production Estimates)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Usage Level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Reports/Month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Sections/Month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Est. Monthly Cost (Scenario B)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POC</w:t>
            </w:r>
          </w:p>
        </w:tc>
        <w:tc>
          <w:tcPr>
            <w:tcW w:type="auto" w:w="100"/>
            <w:vAlign w:val="center"/>
          </w:tcPr>
          <w:p>
            <w:r>
              <w:t xml:space="preserve">4</w:t>
            </w:r>
          </w:p>
        </w:tc>
        <w:tc>
          <w:tcPr>
            <w:tcW w:type="auto" w:w="100"/>
            <w:vAlign w:val="center"/>
          </w:tcPr>
          <w:p>
            <w:r>
              <w:t xml:space="preserve">32</w:t>
            </w:r>
          </w:p>
        </w:tc>
        <w:tc>
          <w:tcPr>
            <w:tcW w:type="auto" w:w="100"/>
            <w:vAlign w:val="center"/>
          </w:tcPr>
          <w:p>
            <w:r>
              <w:t xml:space="preserve">~$13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Light Production</w:t>
            </w:r>
          </w:p>
        </w:tc>
        <w:tc>
          <w:tcPr>
            <w:tcW w:type="auto" w:w="100"/>
            <w:vAlign w:val="center"/>
          </w:tcPr>
          <w:p>
            <w:r>
              <w:t xml:space="preserve">12</w:t>
            </w:r>
          </w:p>
        </w:tc>
        <w:tc>
          <w:tcPr>
            <w:tcW w:type="auto" w:w="100"/>
            <w:vAlign w:val="center"/>
          </w:tcPr>
          <w:p>
            <w:r>
              <w:t xml:space="preserve">96</w:t>
            </w:r>
          </w:p>
        </w:tc>
        <w:tc>
          <w:tcPr>
            <w:tcW w:type="auto" w:w="100"/>
            <w:vAlign w:val="center"/>
          </w:tcPr>
          <w:p>
            <w:r>
              <w:t xml:space="preserve">~$20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Medium Production</w:t>
            </w:r>
          </w:p>
        </w:tc>
        <w:tc>
          <w:tcPr>
            <w:tcW w:type="auto" w:w="100"/>
            <w:vAlign w:val="center"/>
          </w:tcPr>
          <w:p>
            <w:r>
              <w:t xml:space="preserve">50</w:t>
            </w:r>
          </w:p>
        </w:tc>
        <w:tc>
          <w:tcPr>
            <w:tcW w:type="auto" w:w="100"/>
            <w:vAlign w:val="center"/>
          </w:tcPr>
          <w:p>
            <w:r>
              <w:t xml:space="preserve">400</w:t>
            </w:r>
          </w:p>
        </w:tc>
        <w:tc>
          <w:tcPr>
            <w:tcW w:type="auto" w:w="100"/>
            <w:vAlign w:val="center"/>
          </w:tcPr>
          <w:p>
            <w:r>
              <w:t xml:space="preserve">~$45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Heavy Production</w:t>
            </w:r>
          </w:p>
        </w:tc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r>
              <w:t xml:space="preserve">1,600</w:t>
            </w:r>
          </w:p>
        </w:tc>
        <w:tc>
          <w:tcPr>
            <w:tcW w:type="auto" w:w="100"/>
            <w:vAlign w:val="center"/>
          </w:tcPr>
          <w:p>
            <w:r>
              <w:t xml:space="preserve">~$120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💡 </w:t>
      </w:r>
      <w:r>
        <w:rPr>
          <w:b/>
          <w:bCs/>
          <w:bdr/>
        </w:rPr>
        <w:t xml:space="preserve">Key insight:</w:t>
      </w:r>
      <w:r>
        <w:rPr>
          <w:bdr/>
        </w:rPr>
        <w:t xml:space="preserve"> The architecture scales almost linearly with Bedrock token usage. At 200 reports/month, Bedrock cost is still only ~$90 (the dominant cost). Everything else stays cheap.</w:t>
      </w:r>
    </w:p>
    <w:p>
      <w:pPr>
        <w:pBdr>
          <w:top w:val="single" w:sz="6"/>
        </w:pBdr>
      </w:pPr>
    </w:p>
    <w:p>
      <w:pPr>
        <w:pStyle w:val="Heading1"/>
      </w:pPr>
      <w:bookmarkStart w:name="⚠️-cost-traps-to-avoid" w:id="1"/>
      <w:r>
        <w:t xml:space="preserve">⚠️ Cost Traps to Avoid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Trap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Impact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Mitigation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Classic AOSS always-on</w:t>
            </w:r>
          </w:p>
        </w:tc>
        <w:tc>
          <w:tcPr>
            <w:tcW w:type="auto" w:w="100"/>
            <w:vAlign w:val="center"/>
          </w:tcPr>
          <w:p>
            <w:r>
              <w:t xml:space="preserve">+$700/month wasted</w:t>
            </w:r>
          </w:p>
        </w:tc>
        <w:tc>
          <w:tcPr>
            <w:tcW w:type="auto" w:w="100"/>
            <w:vAlign w:val="center"/>
          </w:tcPr>
          <w:p>
            <w:r>
              <w:t xml:space="preserve">Use Next-Gen AOSS or S3 Vectors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Glue job with too many DPUs</w:t>
            </w:r>
          </w:p>
        </w:tc>
        <w:tc>
          <w:tcPr>
            <w:tcW w:type="auto" w:w="100"/>
            <w:vAlign w:val="center"/>
          </w:tcPr>
          <w:p>
            <w:r>
              <w:t xml:space="preserve">+$10-50/month</w:t>
            </w:r>
          </w:p>
        </w:tc>
        <w:tc>
          <w:tcPr>
            <w:tcW w:type="auto" w:w="100"/>
            <w:vAlign w:val="center"/>
          </w:tcPr>
          <w:p>
            <w:r>
              <w:t xml:space="preserve">Start with 2 DPUs for POC data size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Athena full table scan (no partitions)</w:t>
            </w:r>
          </w:p>
        </w:tc>
        <w:tc>
          <w:tcPr>
            <w:tcW w:type="auto" w:w="100"/>
            <w:vAlign w:val="center"/>
          </w:tcPr>
          <w:p>
            <w:r>
              <w:t xml:space="preserve">+$5-50/month</w:t>
            </w:r>
          </w:p>
        </w:tc>
        <w:tc>
          <w:tcPr>
            <w:tcW w:type="auto" w:w="100"/>
            <w:vAlign w:val="center"/>
          </w:tcPr>
          <w:p>
            <w:r>
              <w:t xml:space="preserve">Always use partition projection + Parquet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Lambda timeout retries</w:t>
            </w:r>
          </w:p>
        </w:tc>
        <w:tc>
          <w:tcPr>
            <w:tcW w:type="auto" w:w="100"/>
            <w:vAlign w:val="center"/>
          </w:tcPr>
          <w:p>
            <w:r>
              <w:t xml:space="preserve">+$5-20/month</w:t>
            </w:r>
          </w:p>
        </w:tc>
        <w:tc>
          <w:tcPr>
            <w:tcW w:type="auto" w:w="100"/>
            <w:vAlign w:val="center"/>
          </w:tcPr>
          <w:p>
            <w:r>
              <w:t xml:space="preserve">Set proper timeouts, use dead letter queues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CloudWatch log retention forever</w:t>
            </w:r>
          </w:p>
        </w:tc>
        <w:tc>
          <w:tcPr>
            <w:tcW w:type="auto" w:w="100"/>
            <w:vAlign w:val="center"/>
          </w:tcPr>
          <w:p>
            <w:r>
              <w:t xml:space="preserve">+$5-20/month</w:t>
            </w:r>
          </w:p>
        </w:tc>
        <w:tc>
          <w:tcPr>
            <w:tcW w:type="auto" w:w="100"/>
            <w:vAlign w:val="center"/>
          </w:tcPr>
          <w:p>
            <w:r>
              <w:t xml:space="preserve">Set 30-day retention for POC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pricing-sources" w:id="1"/>
      <w:r>
        <w:t xml:space="preserve">Pricing Sources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t xml:space="preserve">Bedrock: aws.amazon.com/bedrock/pricing/ (Claude 3.5 Sonnet: $3/$15 per 1M tokens)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t xml:space="preserve">Glue: aws.amazon.com/glue/pricing/ ($0.44/DPU-hour)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t xml:space="preserve">Athena: aws.amazon.com/athena/pricing/ ($5/TB scanned)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t xml:space="preserve">Lambda: aws.amazon.com/lambda/pricing/ ($0.20/1M req + $0.0000166667/GB-s)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t xml:space="preserve">Step Functions: aws.amazon.com/step-functions/pricing/ ($0.025/1K transitions)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t xml:space="preserve">OpenSearch Serverless: aws.amazon.com/opensearch-service/pricing/ ($0.24/OCU-hour)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t xml:space="preserve">S3: aws.amazon.com/s3/pricing/ ($0.025/GB standard)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t xml:space="preserve">S3 Vectors: aws.amazon.com/s3/features/vectors/ ($0.0025/GB + $0.0035/1K queries)</w:t>
      </w:r>
    </w:p>
    <w:p>
      <w:r>
        <w:rPr>
          <w:i/>
          <w:iCs/>
        </w:rPr>
        <w:t xml:space="preserve">All prices as of May 2026. Actual costs may vary. Free tier benefits not included in calculations.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/>
      </w:pPr>
    </w:lvl>
    <w:lvl w:ilvl="1" w15:tentative="1">
      <w:start w:val="1"/>
      <w:numFmt w:val="decimal"/>
      <w:lvlText w:val="%1.%2."/>
      <w:lvlJc w:val="start"/>
      <w:pPr>
        <w:ind w:left="936"/>
      </w:pPr>
    </w:lvl>
    <w:lvl w:ilvl="2" w15:tentative="1">
      <w:start w:val="1"/>
      <w:numFmt w:val="decimal"/>
      <w:lvlText w:val="%1.%2.%3."/>
      <w:lvlJc w:val="start"/>
      <w:pPr>
        <w:ind w:left="1296"/>
      </w:pPr>
    </w:lvl>
    <w:lvl w:ilvl="3" w15:tentative="1">
      <w:start w:val="1"/>
      <w:numFmt w:val="decimal"/>
      <w:lvlText w:val="%1.%2.%3.%4."/>
      <w:lvlJc w:val="start"/>
      <w:pPr>
        <w:ind w:left="1656"/>
      </w:pPr>
    </w:lvl>
    <w:lvl w:ilvl="4" w15:tentative="1">
      <w:start w:val="1"/>
      <w:numFmt w:val="upperLetter"/>
      <w:lvlText w:val="%5."/>
      <w:lvlJc w:val="start"/>
      <w:pPr>
        <w:ind w:left="2016"/>
      </w:pPr>
    </w:lvl>
    <w:lvl w:ilvl="5" w15:tentative="1">
      <w:start w:val="1"/>
      <w:numFmt w:val="lowerLetter"/>
      <w:lvlText w:val="%6."/>
      <w:lvlJc w:val="start"/>
      <w:pPr>
        <w:ind w:left="2376"/>
      </w:pPr>
    </w:lvl>
    <w:lvl w:ilvl="6" w15:tentative="1">
      <w:start w:val="1"/>
      <w:numFmt w:val="lowerRoman"/>
      <w:lvlText w:val="%7."/>
      <w:lvlJc w:val="start"/>
      <w:pPr>
        <w:ind w:left="2735"/>
      </w:pPr>
    </w:lvl>
    <w:lvl w:ilvl="7" w15:tentative="1">
      <w:start w:val="1"/>
      <w:numFmt w:val="upperRoman"/>
      <w:lvlText w:val="%8."/>
      <w:lvlJc w:val="start"/>
      <w:pPr>
        <w:ind w:left="3095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576"/>
      </w:pPr>
    </w:lvl>
    <w:lvl w:ilvl="1" w15:tentative="1">
      <w:start w:val="1"/>
      <w:numFmt w:val="bullet"/>
      <w:lvlText w:val="○"/>
      <w:lvlJc w:val="start"/>
      <w:pPr>
        <w:ind w:left="936"/>
      </w:pPr>
    </w:lvl>
    <w:lvl w:ilvl="2" w15:tentative="1">
      <w:start w:val="1"/>
      <w:numFmt w:val="bullet"/>
      <w:lvlText w:val="■"/>
      <w:lvlJc w:val="start"/>
      <w:pPr>
        <w:ind w:left="1296"/>
      </w:pPr>
    </w:lvl>
    <w:lvl w:ilvl="3" w15:tentative="1">
      <w:start w:val="1"/>
      <w:numFmt w:val="bullet"/>
      <w:lvlText w:val="◆"/>
      <w:lvlJc w:val="start"/>
      <w:pPr>
        <w:ind w:left="1656"/>
      </w:pPr>
    </w:lvl>
    <w:lvl w:ilvl="4" w15:tentative="1">
      <w:start w:val="1"/>
      <w:numFmt w:val="bullet"/>
      <w:lvlText w:val="▶"/>
      <w:lvlJc w:val="start"/>
      <w:pPr>
        <w:ind w:left="2016"/>
      </w:pPr>
    </w:lvl>
    <w:lvl w:ilvl="5" w15:tentative="1">
      <w:start w:val="1"/>
      <w:numFmt w:val="bullet"/>
      <w:lvlText w:val="◉"/>
      <w:lvlJc w:val="start"/>
      <w:pPr>
        <w:ind w:left="2376"/>
      </w:pPr>
    </w:lvl>
    <w:lvl w:ilvl="6" w15:tentative="1">
      <w:start w:val="1"/>
      <w:numFmt w:val="bullet"/>
      <w:lvlText w:val="⬤"/>
      <w:lvlJc w:val="start"/>
      <w:pPr>
        <w:ind w:left="2735"/>
      </w:pPr>
    </w:lvl>
    <w:lvl w:ilvl="7" w15:tentative="1">
      <w:start w:val="1"/>
      <w:numFmt w:val="bullet"/>
      <w:lvlText w:val="♦"/>
      <w:lvlJc w:val="start"/>
      <w:pPr>
        <w:ind w:left="3095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before="175" w:line="300"/>
        <w:jc w:val="thaiDistribute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5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50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350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350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spacing w:before="350"/>
    </w:pPr>
    <w:rPr>
      <w:color w:val="2E74B5"/>
    </w:rPr>
  </w:style>
  <w:style w:type="paragraph" w:styleId="Heading6">
    <w:name w:val="Heading 6"/>
    <w:basedOn w:val="Normal"/>
    <w:next w:val="Normal"/>
    <w:qFormat/>
    <w:pPr>
      <w:spacing w:before="350"/>
    </w:pPr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2026-05-29T04:37:25.479Z</dcterms:created>
  <dcterms:modified xsi:type="dcterms:W3CDTF">2026-05-29T04:37:25.479Z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