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984"/>
        <w:gridCol w:w="7767"/>
      </w:tblGrid>
      <w:tr w:rsidR="00457C22" w14:paraId="42DD4B6B" w14:textId="77777777">
        <w:trPr>
          <w:jc w:val="center"/>
        </w:trPr>
        <w:tc>
          <w:tcPr>
            <w:tcW w:w="1984" w:type="dxa"/>
            <w:tcMar>
              <w:top w:w="0" w:type="dxa"/>
              <w:left w:w="0" w:type="dxa"/>
              <w:bottom w:w="0" w:type="dxa"/>
              <w:right w:w="140" w:type="dxa"/>
            </w:tcMar>
            <w:vAlign w:val="center"/>
          </w:tcPr>
          <w:p w14:paraId="287CCD5D" w14:textId="77777777" w:rsidR="00457C22" w:rsidRDefault="00000000">
            <w:pPr>
              <w:spacing w:after="0"/>
            </w:pPr>
            <w:r>
              <w:rPr>
                <w:noProof/>
              </w:rPr>
              <w:drawing>
                <wp:inline distT="0" distB="0" distL="0" distR="0" wp14:anchorId="0C538942" wp14:editId="7BC5624B">
                  <wp:extent cx="1134000" cy="11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_2026_logo.png"/>
                          <pic:cNvPicPr/>
                        </pic:nvPicPr>
                        <pic:blipFill>
                          <a:blip r:embed="rId8"/>
                          <a:stretch>
                            <a:fillRect/>
                          </a:stretch>
                        </pic:blipFill>
                        <pic:spPr>
                          <a:xfrm>
                            <a:off x="0" y="0"/>
                            <a:ext cx="1134000" cy="1134000"/>
                          </a:xfrm>
                          <a:prstGeom prst="rect">
                            <a:avLst/>
                          </a:prstGeom>
                        </pic:spPr>
                      </pic:pic>
                    </a:graphicData>
                  </a:graphic>
                </wp:inline>
              </w:drawing>
            </w:r>
          </w:p>
        </w:tc>
        <w:tc>
          <w:tcPr>
            <w:tcW w:w="7767" w:type="dxa"/>
            <w:tcMar>
              <w:top w:w="0" w:type="dxa"/>
              <w:left w:w="0" w:type="dxa"/>
              <w:bottom w:w="0" w:type="dxa"/>
              <w:right w:w="0" w:type="dxa"/>
            </w:tcMar>
            <w:vAlign w:val="center"/>
          </w:tcPr>
          <w:p w14:paraId="56DF336A" w14:textId="77777777" w:rsidR="00457C22" w:rsidRDefault="00000000">
            <w:pPr>
              <w:spacing w:after="20" w:line="240" w:lineRule="auto"/>
            </w:pPr>
            <w:r>
              <w:rPr>
                <w:b/>
                <w:caps/>
                <w:color w:val="8A5A00"/>
                <w:spacing w:val="52"/>
                <w:sz w:val="19"/>
              </w:rPr>
              <w:t>Call for Papers</w:t>
            </w:r>
          </w:p>
          <w:p w14:paraId="4BC4400D" w14:textId="77777777" w:rsidR="00457C22" w:rsidRDefault="00000000">
            <w:pPr>
              <w:spacing w:after="20" w:line="240" w:lineRule="auto"/>
            </w:pPr>
            <w:r>
              <w:rPr>
                <w:b/>
                <w:color w:val="0F3D5C"/>
                <w:spacing w:val="-4"/>
                <w:sz w:val="50"/>
              </w:rPr>
              <w:t>ExplAI-2026</w:t>
            </w:r>
          </w:p>
          <w:p w14:paraId="42DA04B2" w14:textId="77777777" w:rsidR="00457C22" w:rsidRDefault="00000000">
            <w:pPr>
              <w:spacing w:after="60" w:line="254" w:lineRule="auto"/>
            </w:pPr>
            <w:r>
              <w:rPr>
                <w:color w:val="0F3D5C"/>
                <w:sz w:val="22"/>
              </w:rPr>
              <w:t>2nd International Workshop on Advanced AI in Explainability and Ethics for the Sustainable Development Goals</w:t>
            </w:r>
          </w:p>
          <w:p w14:paraId="40F2EF90" w14:textId="77777777" w:rsidR="00457C22" w:rsidRDefault="00000000">
            <w:pPr>
              <w:spacing w:after="0" w:line="240" w:lineRule="auto"/>
            </w:pPr>
            <w:r>
              <w:rPr>
                <w:b/>
                <w:sz w:val="20"/>
              </w:rPr>
              <w:t xml:space="preserve">Khmelnytskyi National University, Khmelnytskyi, </w:t>
            </w:r>
            <w:proofErr w:type="gramStart"/>
            <w:r>
              <w:rPr>
                <w:b/>
                <w:sz w:val="20"/>
              </w:rPr>
              <w:t>Ukraine</w:t>
            </w:r>
            <w:r>
              <w:rPr>
                <w:b/>
                <w:color w:val="F6A21B"/>
                <w:sz w:val="20"/>
              </w:rPr>
              <w:t xml:space="preserve">  –</w:t>
            </w:r>
            <w:proofErr w:type="gramEnd"/>
            <w:r>
              <w:rPr>
                <w:b/>
                <w:color w:val="F6A21B"/>
                <w:sz w:val="20"/>
              </w:rPr>
              <w:t xml:space="preserve">  </w:t>
            </w:r>
            <w:r>
              <w:rPr>
                <w:b/>
                <w:sz w:val="20"/>
              </w:rPr>
              <w:t>Friday, 13 November 2026</w:t>
            </w:r>
          </w:p>
        </w:tc>
      </w:tr>
    </w:tbl>
    <w:p w14:paraId="3EA3151F" w14:textId="77777777" w:rsidR="00457C22" w:rsidRDefault="00457C22">
      <w:pPr>
        <w:pBdr>
          <w:bottom w:val="single" w:sz="14" w:space="1" w:color="0067A1"/>
        </w:pBdr>
        <w:spacing w:before="60" w:after="120" w:line="240" w:lineRule="auto"/>
      </w:pPr>
    </w:p>
    <w:p w14:paraId="116E2A85" w14:textId="77777777" w:rsidR="00457C22" w:rsidRDefault="00000000">
      <w:pPr>
        <w:spacing w:after="120" w:line="269" w:lineRule="auto"/>
        <w:jc w:val="both"/>
      </w:pPr>
      <w:r>
        <w:rPr>
          <w:b/>
          <w:color w:val="0F3D5C"/>
          <w:sz w:val="22"/>
        </w:rPr>
        <w:t>ExplAI-2026</w:t>
      </w:r>
      <w:r>
        <w:rPr>
          <w:sz w:val="22"/>
        </w:rPr>
        <w:t xml:space="preserve"> is the second edition of the international workshop on explainable, transparent, and trustworthy artificial intelligence for the United Nations’ Sustainable Development Goals. Participation and publication are </w:t>
      </w:r>
      <w:r>
        <w:rPr>
          <w:b/>
          <w:sz w:val="22"/>
        </w:rPr>
        <w:t>free of charge</w:t>
      </w:r>
      <w:r>
        <w:rPr>
          <w:sz w:val="22"/>
        </w:rPr>
        <w:t>. Proceedings shall be submitted to CEUR-WS.org for online publication.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871"/>
        <w:gridCol w:w="7880"/>
      </w:tblGrid>
      <w:tr w:rsidR="00457C22" w14:paraId="28A07218" w14:textId="77777777">
        <w:trPr>
          <w:cantSplit/>
        </w:trPr>
        <w:tc>
          <w:tcPr>
            <w:tcW w:w="9751" w:type="dxa"/>
            <w:gridSpan w:val="2"/>
            <w:tcBorders>
              <w:top w:val="nil"/>
              <w:left w:val="nil"/>
              <w:bottom w:val="nil"/>
              <w:right w:val="nil"/>
            </w:tcBorders>
            <w:shd w:val="clear" w:color="auto" w:fill="0F3D5C"/>
            <w:tcMar>
              <w:top w:w="70" w:type="dxa"/>
              <w:left w:w="130" w:type="dxa"/>
              <w:bottom w:w="70" w:type="dxa"/>
              <w:right w:w="130" w:type="dxa"/>
            </w:tcMar>
          </w:tcPr>
          <w:p w14:paraId="4A61E524" w14:textId="77777777" w:rsidR="00457C22" w:rsidRDefault="00000000">
            <w:pPr>
              <w:spacing w:after="0" w:line="240" w:lineRule="auto"/>
            </w:pPr>
            <w:r>
              <w:rPr>
                <w:b/>
                <w:caps/>
                <w:color w:val="FFFFFF"/>
                <w:spacing w:val="26"/>
                <w:sz w:val="19"/>
              </w:rPr>
              <w:t>At a glance</w:t>
            </w:r>
          </w:p>
        </w:tc>
      </w:tr>
      <w:tr w:rsidR="00457C22" w14:paraId="1B151913"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E45B84B" w14:textId="77777777" w:rsidR="00457C22" w:rsidRDefault="00000000">
            <w:pPr>
              <w:spacing w:after="0"/>
            </w:pPr>
            <w:r>
              <w:rPr>
                <w:b/>
                <w:color w:val="0F3D5C"/>
                <w:sz w:val="20"/>
              </w:rPr>
              <w:t>Date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3BBEA37" w14:textId="77777777" w:rsidR="00457C22" w:rsidRDefault="00000000">
            <w:pPr>
              <w:spacing w:after="0"/>
            </w:pPr>
            <w:r>
              <w:rPr>
                <w:sz w:val="20"/>
              </w:rPr>
              <w:t>Friday, 13 November 2026</w:t>
            </w:r>
          </w:p>
        </w:tc>
      </w:tr>
      <w:tr w:rsidR="00457C22" w14:paraId="58DDAAAC"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136FA042" w14:textId="77777777" w:rsidR="00457C22" w:rsidRDefault="00000000">
            <w:pPr>
              <w:spacing w:after="0"/>
            </w:pPr>
            <w:r>
              <w:rPr>
                <w:b/>
                <w:color w:val="0F3D5C"/>
                <w:sz w:val="20"/>
              </w:rPr>
              <w:t>Venue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3C63B9DA" w14:textId="77777777" w:rsidR="00457C22" w:rsidRDefault="00000000">
            <w:pPr>
              <w:spacing w:after="0"/>
            </w:pPr>
            <w:r>
              <w:rPr>
                <w:sz w:val="20"/>
              </w:rPr>
              <w:t>Khmelnytskyi National University, Khmelnytskyi, Ukraine (on-site event; there is no virtual track)</w:t>
            </w:r>
          </w:p>
        </w:tc>
      </w:tr>
      <w:tr w:rsidR="00457C22" w14:paraId="6927AC35"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AE97774" w14:textId="77777777" w:rsidR="00457C22" w:rsidRDefault="00000000">
            <w:pPr>
              <w:spacing w:after="0"/>
            </w:pPr>
            <w:r>
              <w:rPr>
                <w:b/>
                <w:color w:val="0F3D5C"/>
                <w:sz w:val="20"/>
              </w:rPr>
              <w:t>Language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7998775A" w14:textId="77777777" w:rsidR="00457C22" w:rsidRDefault="00000000">
            <w:pPr>
              <w:spacing w:after="0"/>
            </w:pPr>
            <w:r>
              <w:rPr>
                <w:sz w:val="20"/>
              </w:rPr>
              <w:t>English</w:t>
            </w:r>
          </w:p>
        </w:tc>
      </w:tr>
      <w:tr w:rsidR="00457C22" w14:paraId="31F70D5A"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3206587A" w14:textId="77777777" w:rsidR="00457C22" w:rsidRDefault="00000000">
            <w:pPr>
              <w:spacing w:after="0"/>
            </w:pPr>
            <w:r>
              <w:rPr>
                <w:b/>
                <w:color w:val="0F3D5C"/>
                <w:sz w:val="20"/>
              </w:rPr>
              <w:t>Fees</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387D1763" w14:textId="77777777" w:rsidR="00457C22" w:rsidRDefault="00000000">
            <w:pPr>
              <w:spacing w:after="0"/>
            </w:pPr>
            <w:r>
              <w:rPr>
                <w:sz w:val="20"/>
              </w:rPr>
              <w:t>None – there is no registration fee and no publication fee</w:t>
            </w:r>
          </w:p>
        </w:tc>
      </w:tr>
      <w:tr w:rsidR="00457C22" w14:paraId="505E0898"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6DC80E1C" w14:textId="77777777" w:rsidR="00457C22" w:rsidRDefault="00000000">
            <w:pPr>
              <w:spacing w:after="0"/>
            </w:pPr>
            <w:r>
              <w:rPr>
                <w:b/>
                <w:color w:val="0F3D5C"/>
                <w:sz w:val="20"/>
              </w:rPr>
              <w:t>Proceedings</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ED22EE6" w14:textId="77777777" w:rsidR="00457C22" w:rsidRDefault="00000000">
            <w:pPr>
              <w:spacing w:after="0"/>
            </w:pPr>
            <w:r>
              <w:rPr>
                <w:sz w:val="20"/>
              </w:rPr>
              <w:t>Proceedings shall be submitted to CEUR-WS.org for online publication under CC BY 4.0</w:t>
            </w:r>
          </w:p>
        </w:tc>
      </w:tr>
      <w:tr w:rsidR="00457C22" w14:paraId="66CE4BD1"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27C7D4B" w14:textId="77777777" w:rsidR="00457C22" w:rsidRDefault="00000000">
            <w:pPr>
              <w:spacing w:after="0"/>
            </w:pPr>
            <w:r>
              <w:rPr>
                <w:b/>
                <w:color w:val="0F3D5C"/>
                <w:sz w:val="20"/>
              </w:rPr>
              <w:t>Submission</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3CDF8A6D" w14:textId="2535AA3F" w:rsidR="00457C22" w:rsidRPr="000E68E4" w:rsidRDefault="00000000">
            <w:pPr>
              <w:spacing w:after="0"/>
            </w:pPr>
            <w:r w:rsidRPr="000E68E4">
              <w:rPr>
                <w:color w:val="auto"/>
                <w:sz w:val="20"/>
                <w:szCs w:val="20"/>
              </w:rPr>
              <w:t>Microsoft CMT</w:t>
            </w:r>
            <w:r w:rsidRPr="000E68E4">
              <w:rPr>
                <w:color w:val="auto"/>
                <w:sz w:val="20"/>
              </w:rPr>
              <w:t xml:space="preserve"> </w:t>
            </w:r>
            <w:r w:rsidR="000E68E4" w:rsidRPr="000E68E4">
              <w:rPr>
                <w:color w:val="auto"/>
                <w:sz w:val="20"/>
              </w:rPr>
              <w:t>[TBA]</w:t>
            </w:r>
          </w:p>
        </w:tc>
      </w:tr>
      <w:tr w:rsidR="00457C22" w14:paraId="6FC8D394"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133F7110" w14:textId="77777777" w:rsidR="00457C22" w:rsidRDefault="00000000">
            <w:pPr>
              <w:spacing w:after="0"/>
            </w:pPr>
            <w:r>
              <w:rPr>
                <w:b/>
                <w:color w:val="0F3D5C"/>
                <w:sz w:val="20"/>
              </w:rPr>
              <w:t>Prior edition</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03E12804" w14:textId="77777777" w:rsidR="00457C22" w:rsidRDefault="00000000">
            <w:pPr>
              <w:spacing w:after="0"/>
            </w:pPr>
            <w:r>
              <w:rPr>
                <w:sz w:val="20"/>
              </w:rPr>
              <w:t xml:space="preserve">ExplAI-2025 – CEUR Workshop Proceedings, </w:t>
            </w:r>
            <w:hyperlink r:id="rId9">
              <w:r w:rsidR="00457C22">
                <w:rPr>
                  <w:color w:val="0067A1"/>
                  <w:sz w:val="20"/>
                  <w:szCs w:val="20"/>
                  <w:u w:val="single"/>
                </w:rPr>
                <w:t>Vol-4141</w:t>
              </w:r>
            </w:hyperlink>
            <w:r>
              <w:rPr>
                <w:sz w:val="20"/>
              </w:rPr>
              <w:t xml:space="preserve"> (15 papers)</w:t>
            </w:r>
          </w:p>
        </w:tc>
      </w:tr>
    </w:tbl>
    <w:p w14:paraId="0669C277" w14:textId="77777777" w:rsidR="00457C22" w:rsidRDefault="00457C22">
      <w:pPr>
        <w:spacing w:after="100" w:line="240" w:lineRule="auto"/>
      </w:pPr>
    </w:p>
    <w:p w14:paraId="2255FFB6" w14:textId="77777777" w:rsidR="00457C22" w:rsidRDefault="00000000">
      <w:pPr>
        <w:pStyle w:val="Heading1"/>
      </w:pPr>
      <w:r>
        <w:t>Important dates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102"/>
        <w:gridCol w:w="4649"/>
      </w:tblGrid>
      <w:tr w:rsidR="00457C22" w14:paraId="673B2906" w14:textId="77777777">
        <w:trPr>
          <w:cantSplit/>
        </w:trPr>
        <w:tc>
          <w:tcPr>
            <w:tcW w:w="5102" w:type="dxa"/>
            <w:tcBorders>
              <w:top w:val="nil"/>
              <w:left w:val="single" w:sz="18" w:space="0" w:color="0067A1"/>
              <w:bottom w:val="single" w:sz="4" w:space="0" w:color="FFFFFF"/>
              <w:right w:val="nil"/>
            </w:tcBorders>
            <w:shd w:val="clear" w:color="auto" w:fill="EDF4F9"/>
            <w:tcMar>
              <w:top w:w="66" w:type="dxa"/>
              <w:left w:w="140" w:type="dxa"/>
              <w:bottom w:w="66" w:type="dxa"/>
              <w:right w:w="140" w:type="dxa"/>
            </w:tcMar>
            <w:vAlign w:val="center"/>
          </w:tcPr>
          <w:p w14:paraId="583FB099" w14:textId="77777777" w:rsidR="00457C22" w:rsidRDefault="00000000">
            <w:pPr>
              <w:spacing w:after="0" w:line="252" w:lineRule="auto"/>
            </w:pPr>
            <w:r>
              <w:rPr>
                <w:b/>
                <w:color w:val="0F3D5C"/>
              </w:rPr>
              <w:t>Paper submission deadline</w:t>
            </w:r>
          </w:p>
        </w:tc>
        <w:tc>
          <w:tcPr>
            <w:tcW w:w="4649" w:type="dxa"/>
            <w:tcBorders>
              <w:top w:val="nil"/>
              <w:left w:val="nil"/>
              <w:bottom w:val="single" w:sz="4" w:space="0" w:color="FFFFFF"/>
              <w:right w:val="nil"/>
            </w:tcBorders>
            <w:shd w:val="clear" w:color="auto" w:fill="EDF4F9"/>
            <w:tcMar>
              <w:top w:w="66" w:type="dxa"/>
              <w:left w:w="140" w:type="dxa"/>
              <w:bottom w:w="66" w:type="dxa"/>
              <w:right w:w="140" w:type="dxa"/>
            </w:tcMar>
            <w:vAlign w:val="center"/>
          </w:tcPr>
          <w:p w14:paraId="1E66C25D" w14:textId="77777777" w:rsidR="00457C22" w:rsidRDefault="00000000">
            <w:pPr>
              <w:spacing w:after="0" w:line="252" w:lineRule="auto"/>
            </w:pPr>
            <w:r>
              <w:rPr>
                <w:b/>
              </w:rPr>
              <w:t>Sunday, 18 October 2026</w:t>
            </w:r>
          </w:p>
        </w:tc>
      </w:tr>
      <w:tr w:rsidR="00457C22" w14:paraId="513755BE" w14:textId="77777777">
        <w:trPr>
          <w:cantSplit/>
        </w:trPr>
        <w:tc>
          <w:tcPr>
            <w:tcW w:w="5102" w:type="dxa"/>
            <w:tcBorders>
              <w:top w:val="nil"/>
              <w:left w:val="single" w:sz="18" w:space="0" w:color="0067A1"/>
              <w:bottom w:val="single" w:sz="4" w:space="0" w:color="FFFFFF"/>
              <w:right w:val="nil"/>
            </w:tcBorders>
            <w:shd w:val="clear" w:color="auto" w:fill="EDF4F9"/>
            <w:tcMar>
              <w:top w:w="66" w:type="dxa"/>
              <w:left w:w="140" w:type="dxa"/>
              <w:bottom w:w="66" w:type="dxa"/>
              <w:right w:w="140" w:type="dxa"/>
            </w:tcMar>
            <w:vAlign w:val="center"/>
          </w:tcPr>
          <w:p w14:paraId="63A1B0B5" w14:textId="77777777" w:rsidR="00457C22" w:rsidRDefault="00000000">
            <w:pPr>
              <w:spacing w:after="0" w:line="252" w:lineRule="auto"/>
            </w:pPr>
            <w:r>
              <w:rPr>
                <w:b/>
                <w:color w:val="0F3D5C"/>
              </w:rPr>
              <w:t>Notification of acceptance</w:t>
            </w:r>
          </w:p>
        </w:tc>
        <w:tc>
          <w:tcPr>
            <w:tcW w:w="4649" w:type="dxa"/>
            <w:tcBorders>
              <w:top w:val="nil"/>
              <w:left w:val="nil"/>
              <w:bottom w:val="single" w:sz="4" w:space="0" w:color="FFFFFF"/>
              <w:right w:val="nil"/>
            </w:tcBorders>
            <w:shd w:val="clear" w:color="auto" w:fill="EDF4F9"/>
            <w:tcMar>
              <w:top w:w="66" w:type="dxa"/>
              <w:left w:w="140" w:type="dxa"/>
              <w:bottom w:w="66" w:type="dxa"/>
              <w:right w:w="140" w:type="dxa"/>
            </w:tcMar>
            <w:vAlign w:val="center"/>
          </w:tcPr>
          <w:p w14:paraId="4D04EE50" w14:textId="77777777" w:rsidR="00457C22" w:rsidRDefault="00000000">
            <w:pPr>
              <w:spacing w:after="0" w:line="252" w:lineRule="auto"/>
            </w:pPr>
            <w:r>
              <w:rPr>
                <w:b/>
              </w:rPr>
              <w:t>Monday, 2 November 2026</w:t>
            </w:r>
          </w:p>
        </w:tc>
      </w:tr>
      <w:tr w:rsidR="00457C22" w14:paraId="5BE82C09" w14:textId="77777777">
        <w:trPr>
          <w:cantSplit/>
        </w:trPr>
        <w:tc>
          <w:tcPr>
            <w:tcW w:w="5102" w:type="dxa"/>
            <w:tcBorders>
              <w:top w:val="nil"/>
              <w:left w:val="single" w:sz="18" w:space="0" w:color="0067A1"/>
              <w:bottom w:val="single" w:sz="4" w:space="0" w:color="FFFFFF"/>
              <w:right w:val="nil"/>
            </w:tcBorders>
            <w:shd w:val="clear" w:color="auto" w:fill="EDF4F9"/>
            <w:tcMar>
              <w:top w:w="66" w:type="dxa"/>
              <w:left w:w="140" w:type="dxa"/>
              <w:bottom w:w="66" w:type="dxa"/>
              <w:right w:w="140" w:type="dxa"/>
            </w:tcMar>
            <w:vAlign w:val="center"/>
          </w:tcPr>
          <w:p w14:paraId="52E13C54" w14:textId="77777777" w:rsidR="00457C22" w:rsidRDefault="00000000">
            <w:pPr>
              <w:spacing w:after="0" w:line="252" w:lineRule="auto"/>
            </w:pPr>
            <w:r>
              <w:rPr>
                <w:b/>
                <w:color w:val="0F3D5C"/>
              </w:rPr>
              <w:t>Camera-ready submission</w:t>
            </w:r>
          </w:p>
        </w:tc>
        <w:tc>
          <w:tcPr>
            <w:tcW w:w="4649" w:type="dxa"/>
            <w:tcBorders>
              <w:top w:val="nil"/>
              <w:left w:val="nil"/>
              <w:bottom w:val="single" w:sz="4" w:space="0" w:color="FFFFFF"/>
              <w:right w:val="nil"/>
            </w:tcBorders>
            <w:shd w:val="clear" w:color="auto" w:fill="EDF4F9"/>
            <w:tcMar>
              <w:top w:w="66" w:type="dxa"/>
              <w:left w:w="140" w:type="dxa"/>
              <w:bottom w:w="66" w:type="dxa"/>
              <w:right w:w="140" w:type="dxa"/>
            </w:tcMar>
            <w:vAlign w:val="center"/>
          </w:tcPr>
          <w:p w14:paraId="25D44858" w14:textId="77777777" w:rsidR="00457C22" w:rsidRDefault="00000000">
            <w:pPr>
              <w:spacing w:after="0" w:line="252" w:lineRule="auto"/>
            </w:pPr>
            <w:r>
              <w:rPr>
                <w:b/>
              </w:rPr>
              <w:t>Friday, 6 November 2026</w:t>
            </w:r>
          </w:p>
        </w:tc>
      </w:tr>
      <w:tr w:rsidR="00457C22" w14:paraId="4C48CD08" w14:textId="77777777">
        <w:trPr>
          <w:cantSplit/>
        </w:trPr>
        <w:tc>
          <w:tcPr>
            <w:tcW w:w="5102" w:type="dxa"/>
            <w:tcBorders>
              <w:top w:val="nil"/>
              <w:left w:val="single" w:sz="18" w:space="0" w:color="F6A21B"/>
              <w:bottom w:val="single" w:sz="4" w:space="0" w:color="FFFFFF"/>
              <w:right w:val="nil"/>
            </w:tcBorders>
            <w:shd w:val="clear" w:color="auto" w:fill="FDF4E4"/>
            <w:tcMar>
              <w:top w:w="66" w:type="dxa"/>
              <w:left w:w="140" w:type="dxa"/>
              <w:bottom w:w="66" w:type="dxa"/>
              <w:right w:w="140" w:type="dxa"/>
            </w:tcMar>
            <w:vAlign w:val="center"/>
          </w:tcPr>
          <w:p w14:paraId="74EE4DD4" w14:textId="77777777" w:rsidR="00457C22" w:rsidRDefault="00000000">
            <w:pPr>
              <w:spacing w:after="0" w:line="252" w:lineRule="auto"/>
            </w:pPr>
            <w:r>
              <w:rPr>
                <w:b/>
                <w:color w:val="8A5A00"/>
              </w:rPr>
              <w:t>Workshop</w:t>
            </w:r>
          </w:p>
        </w:tc>
        <w:tc>
          <w:tcPr>
            <w:tcW w:w="4649" w:type="dxa"/>
            <w:tcBorders>
              <w:top w:val="nil"/>
              <w:left w:val="nil"/>
              <w:bottom w:val="single" w:sz="4" w:space="0" w:color="FFFFFF"/>
              <w:right w:val="nil"/>
            </w:tcBorders>
            <w:shd w:val="clear" w:color="auto" w:fill="FDF4E4"/>
            <w:tcMar>
              <w:top w:w="66" w:type="dxa"/>
              <w:left w:w="140" w:type="dxa"/>
              <w:bottom w:w="66" w:type="dxa"/>
              <w:right w:w="140" w:type="dxa"/>
            </w:tcMar>
            <w:vAlign w:val="center"/>
          </w:tcPr>
          <w:p w14:paraId="752CA1D1" w14:textId="77777777" w:rsidR="00457C22" w:rsidRDefault="00000000">
            <w:pPr>
              <w:spacing w:after="0" w:line="252" w:lineRule="auto"/>
            </w:pPr>
            <w:r>
              <w:rPr>
                <w:b/>
              </w:rPr>
              <w:t>Friday, 13 November 2026</w:t>
            </w:r>
          </w:p>
        </w:tc>
      </w:tr>
    </w:tbl>
    <w:p w14:paraId="1FEE7A5C" w14:textId="77777777" w:rsidR="00457C22" w:rsidRDefault="00000000">
      <w:pPr>
        <w:spacing w:before="80" w:after="160" w:line="252" w:lineRule="auto"/>
      </w:pPr>
      <w:r>
        <w:rPr>
          <w:i/>
          <w:color w:val="5A5A5A"/>
          <w:sz w:val="19"/>
        </w:rPr>
        <w:t>All deadlines end at 23:59 AoE (Anywhere on Earth). Authors are notified through Microsoft CMT.</w:t>
      </w:r>
    </w:p>
    <w:p w14:paraId="1AD8D5B8" w14:textId="77777777" w:rsidR="00457C22" w:rsidRDefault="00000000">
      <w:pPr>
        <w:pStyle w:val="Heading1"/>
      </w:pPr>
      <w:r>
        <w:t>Aim and scope</w:t>
      </w:r>
    </w:p>
    <w:p w14:paraId="0B8BB376" w14:textId="77777777" w:rsidR="00457C22" w:rsidRDefault="00000000">
      <w:pPr>
        <w:spacing w:after="100"/>
        <w:jc w:val="both"/>
      </w:pPr>
      <w:r>
        <w:t>ExplAI-2026 seeks cutting-edge research on explainable, transparent, and trustworthy artificial intelligence systems that advance the United Nations’ Sustainable Development Goals (SDGs). We welcome interdisciplinary work that fuses robust AI methodology with ethical principles, governance frameworks, and demonstrable social impact. The workshop provides an open forum for exchanging ideas, forging collaborations, and charting a path toward responsible, human-centred innovation.</w:t>
      </w:r>
    </w:p>
    <w:p w14:paraId="09707184" w14:textId="77777777" w:rsidR="00457C22" w:rsidRDefault="00000000">
      <w:pPr>
        <w:spacing w:after="100"/>
        <w:jc w:val="both"/>
      </w:pPr>
      <w:r>
        <w:t xml:space="preserve">Building on the first edition, whose proceedings appeared as </w:t>
      </w:r>
      <w:hyperlink r:id="rId10">
        <w:r w:rsidR="00457C22">
          <w:rPr>
            <w:color w:val="0067A1"/>
            <w:szCs w:val="21"/>
            <w:u w:val="single"/>
          </w:rPr>
          <w:t>CEUR-WS Vol-4141</w:t>
        </w:r>
      </w:hyperlink>
      <w:r>
        <w:t>, the 2026 edition places particular emphasis on explainability for foundation models and large language models, on the operational requirements that emerging AI regulation places on transparency and risk management, and on evidence that links AI systems to measurable progress against specific SDG indicators. Submissions are invited from academia, industry, and the public sector; submission is open to all researchers working on the topics below.</w:t>
      </w:r>
    </w:p>
    <w:p w14:paraId="39BF788B" w14:textId="77777777" w:rsidR="00457C22" w:rsidRDefault="00000000">
      <w:pPr>
        <w:pStyle w:val="Heading1"/>
      </w:pPr>
      <w:r>
        <w:t>Topics of interest</w:t>
      </w:r>
    </w:p>
    <w:p w14:paraId="0180510E" w14:textId="77777777" w:rsidR="00457C22" w:rsidRDefault="00000000">
      <w:pPr>
        <w:spacing w:after="120"/>
        <w:jc w:val="both"/>
      </w:pPr>
      <w:r>
        <w:t>We invite original papers on theoretical and practical advances in transparent, trustworthy, and ethical AI for decision-making aligned with the UN Sustainable Development Goals. Topics include, but are not limited to, the four themes below.</w:t>
      </w:r>
    </w:p>
    <w:p w14:paraId="32B2306C" w14:textId="77777777" w:rsidR="00457C22" w:rsidRDefault="00000000">
      <w:pPr>
        <w:pStyle w:val="Heading2"/>
      </w:pPr>
      <w:r>
        <w:lastRenderedPageBreak/>
        <w:t>Explainable AI (XAI)</w:t>
      </w:r>
    </w:p>
    <w:p w14:paraId="78F86AC3" w14:textId="77777777" w:rsidR="00457C22" w:rsidRDefault="00000000">
      <w:pPr>
        <w:pStyle w:val="CFPBullet"/>
        <w:tabs>
          <w:tab w:val="left" w:pos="283"/>
        </w:tabs>
      </w:pPr>
      <w:r>
        <w:rPr>
          <w:b/>
          <w:color w:val="0067A1"/>
        </w:rPr>
        <w:t>–</w:t>
      </w:r>
      <w:r>
        <w:rPr>
          <w:b/>
          <w:color w:val="0067A1"/>
        </w:rPr>
        <w:tab/>
      </w:r>
      <w:r>
        <w:t>Post-hoc explanation methods and intrinsically interpretable models</w:t>
      </w:r>
    </w:p>
    <w:p w14:paraId="6D24A3C6" w14:textId="77777777" w:rsidR="00457C22" w:rsidRDefault="00000000">
      <w:pPr>
        <w:pStyle w:val="CFPBullet"/>
        <w:tabs>
          <w:tab w:val="left" w:pos="283"/>
        </w:tabs>
      </w:pPr>
      <w:r>
        <w:rPr>
          <w:b/>
          <w:color w:val="0067A1"/>
        </w:rPr>
        <w:t>–</w:t>
      </w:r>
      <w:r>
        <w:rPr>
          <w:b/>
          <w:color w:val="0067A1"/>
        </w:rPr>
        <w:tab/>
      </w:r>
      <w:r>
        <w:t>Concept-based, counterfactual, and example-based explanations</w:t>
      </w:r>
    </w:p>
    <w:p w14:paraId="31ABDEF0" w14:textId="77777777" w:rsidR="00457C22" w:rsidRDefault="00000000">
      <w:pPr>
        <w:pStyle w:val="CFPBullet"/>
        <w:tabs>
          <w:tab w:val="left" w:pos="283"/>
        </w:tabs>
      </w:pPr>
      <w:r>
        <w:rPr>
          <w:b/>
          <w:color w:val="0067A1"/>
        </w:rPr>
        <w:t>–</w:t>
      </w:r>
      <w:r>
        <w:rPr>
          <w:b/>
          <w:color w:val="0067A1"/>
        </w:rPr>
        <w:tab/>
      </w:r>
      <w:r>
        <w:t>Explainability for foundation models, large language models, and multimodal systems</w:t>
      </w:r>
    </w:p>
    <w:p w14:paraId="29946858" w14:textId="77777777" w:rsidR="00457C22" w:rsidRDefault="00000000">
      <w:pPr>
        <w:pStyle w:val="CFPBullet"/>
        <w:tabs>
          <w:tab w:val="left" w:pos="283"/>
        </w:tabs>
      </w:pPr>
      <w:r>
        <w:rPr>
          <w:b/>
          <w:color w:val="0067A1"/>
        </w:rPr>
        <w:t>–</w:t>
      </w:r>
      <w:r>
        <w:rPr>
          <w:b/>
          <w:color w:val="0067A1"/>
        </w:rPr>
        <w:tab/>
      </w:r>
      <w:r>
        <w:t>Metrics, benchmarks, and reproducible protocols for evaluating explanation quality</w:t>
      </w:r>
    </w:p>
    <w:p w14:paraId="3D73B290" w14:textId="77777777" w:rsidR="00457C22" w:rsidRDefault="00000000">
      <w:pPr>
        <w:pStyle w:val="CFPBullet"/>
        <w:tabs>
          <w:tab w:val="left" w:pos="283"/>
        </w:tabs>
      </w:pPr>
      <w:r>
        <w:rPr>
          <w:b/>
          <w:color w:val="0067A1"/>
        </w:rPr>
        <w:t>–</w:t>
      </w:r>
      <w:r>
        <w:rPr>
          <w:b/>
          <w:color w:val="0067A1"/>
        </w:rPr>
        <w:tab/>
      </w:r>
      <w:r>
        <w:t>Human-centred, user-adaptive, and interactive explanation interfaces</w:t>
      </w:r>
    </w:p>
    <w:p w14:paraId="1A9619CD" w14:textId="77777777" w:rsidR="00457C22" w:rsidRDefault="00000000">
      <w:pPr>
        <w:pStyle w:val="Heading2"/>
      </w:pPr>
      <w:r>
        <w:t>AI ethics, governance, and compliance</w:t>
      </w:r>
    </w:p>
    <w:p w14:paraId="0B689F00" w14:textId="77777777" w:rsidR="00457C22" w:rsidRDefault="00000000">
      <w:pPr>
        <w:pStyle w:val="CFPBullet"/>
        <w:tabs>
          <w:tab w:val="left" w:pos="283"/>
        </w:tabs>
      </w:pPr>
      <w:r>
        <w:rPr>
          <w:b/>
          <w:color w:val="0067A1"/>
        </w:rPr>
        <w:t>–</w:t>
      </w:r>
      <w:r>
        <w:rPr>
          <w:b/>
          <w:color w:val="0067A1"/>
        </w:rPr>
        <w:tab/>
      </w:r>
      <w:r>
        <w:t>Fairness auditing, bias detection, and bias mitigation</w:t>
      </w:r>
    </w:p>
    <w:p w14:paraId="47A86817" w14:textId="77777777" w:rsidR="00457C22" w:rsidRDefault="00000000">
      <w:pPr>
        <w:pStyle w:val="CFPBullet"/>
        <w:tabs>
          <w:tab w:val="left" w:pos="283"/>
        </w:tabs>
      </w:pPr>
      <w:r>
        <w:rPr>
          <w:b/>
          <w:color w:val="0067A1"/>
        </w:rPr>
        <w:t>–</w:t>
      </w:r>
      <w:r>
        <w:rPr>
          <w:b/>
          <w:color w:val="0067A1"/>
        </w:rPr>
        <w:tab/>
      </w:r>
      <w:r>
        <w:t>Accountability, traceability, and algorithmic transparency by design</w:t>
      </w:r>
    </w:p>
    <w:p w14:paraId="22AE10D3" w14:textId="77777777" w:rsidR="00457C22" w:rsidRDefault="00000000">
      <w:pPr>
        <w:pStyle w:val="CFPBullet"/>
        <w:tabs>
          <w:tab w:val="left" w:pos="283"/>
        </w:tabs>
      </w:pPr>
      <w:r>
        <w:rPr>
          <w:b/>
          <w:color w:val="0067A1"/>
        </w:rPr>
        <w:t>–</w:t>
      </w:r>
      <w:r>
        <w:rPr>
          <w:b/>
          <w:color w:val="0067A1"/>
        </w:rPr>
        <w:tab/>
      </w:r>
      <w:r>
        <w:t>Privacy-preserving, federated, and data-minimising learning</w:t>
      </w:r>
    </w:p>
    <w:p w14:paraId="0AC839A9" w14:textId="77777777" w:rsidR="00457C22" w:rsidRDefault="00000000">
      <w:pPr>
        <w:pStyle w:val="CFPBullet"/>
        <w:tabs>
          <w:tab w:val="left" w:pos="283"/>
        </w:tabs>
      </w:pPr>
      <w:r>
        <w:rPr>
          <w:b/>
          <w:color w:val="0067A1"/>
        </w:rPr>
        <w:t>–</w:t>
      </w:r>
      <w:r>
        <w:rPr>
          <w:b/>
          <w:color w:val="0067A1"/>
        </w:rPr>
        <w:tab/>
      </w:r>
      <w:r>
        <w:t>Alignment with emerging regulation and trustworthy-AI standards</w:t>
      </w:r>
    </w:p>
    <w:p w14:paraId="3E58B50D" w14:textId="77777777" w:rsidR="00457C22" w:rsidRDefault="00000000">
      <w:pPr>
        <w:pStyle w:val="CFPBullet"/>
        <w:tabs>
          <w:tab w:val="left" w:pos="283"/>
        </w:tabs>
      </w:pPr>
      <w:r>
        <w:rPr>
          <w:b/>
          <w:color w:val="0067A1"/>
        </w:rPr>
        <w:t>–</w:t>
      </w:r>
      <w:r>
        <w:rPr>
          <w:b/>
          <w:color w:val="0067A1"/>
        </w:rPr>
        <w:tab/>
      </w:r>
      <w:r>
        <w:t>Risk, conformity, and ethical impact assessment methodologies</w:t>
      </w:r>
    </w:p>
    <w:p w14:paraId="6C269773" w14:textId="77777777" w:rsidR="00457C22" w:rsidRDefault="00000000">
      <w:pPr>
        <w:pStyle w:val="Heading2"/>
      </w:pPr>
      <w:r>
        <w:t>Trustworthy and robust AI</w:t>
      </w:r>
    </w:p>
    <w:p w14:paraId="1F8D0DEA" w14:textId="77777777" w:rsidR="00457C22" w:rsidRDefault="00000000">
      <w:pPr>
        <w:pStyle w:val="CFPBullet"/>
        <w:tabs>
          <w:tab w:val="left" w:pos="283"/>
        </w:tabs>
      </w:pPr>
      <w:r>
        <w:rPr>
          <w:b/>
          <w:color w:val="0067A1"/>
        </w:rPr>
        <w:t>–</w:t>
      </w:r>
      <w:r>
        <w:rPr>
          <w:b/>
          <w:color w:val="0067A1"/>
        </w:rPr>
        <w:tab/>
      </w:r>
      <w:r>
        <w:t>Uncertainty quantification, calibration, and selective prediction</w:t>
      </w:r>
    </w:p>
    <w:p w14:paraId="015B9CA8" w14:textId="77777777" w:rsidR="00457C22" w:rsidRDefault="00000000">
      <w:pPr>
        <w:pStyle w:val="CFPBullet"/>
        <w:tabs>
          <w:tab w:val="left" w:pos="283"/>
        </w:tabs>
      </w:pPr>
      <w:r>
        <w:rPr>
          <w:b/>
          <w:color w:val="0067A1"/>
        </w:rPr>
        <w:t>–</w:t>
      </w:r>
      <w:r>
        <w:rPr>
          <w:b/>
          <w:color w:val="0067A1"/>
        </w:rPr>
        <w:tab/>
      </w:r>
      <w:r>
        <w:t>Robustness, adversarial resilience, and operational safety</w:t>
      </w:r>
    </w:p>
    <w:p w14:paraId="329599EC" w14:textId="77777777" w:rsidR="00457C22" w:rsidRDefault="00000000">
      <w:pPr>
        <w:pStyle w:val="CFPBullet"/>
        <w:tabs>
          <w:tab w:val="left" w:pos="283"/>
        </w:tabs>
      </w:pPr>
      <w:r>
        <w:rPr>
          <w:b/>
          <w:color w:val="0067A1"/>
        </w:rPr>
        <w:t>–</w:t>
      </w:r>
      <w:r>
        <w:rPr>
          <w:b/>
          <w:color w:val="0067A1"/>
        </w:rPr>
        <w:tab/>
      </w:r>
      <w:r>
        <w:t>Verification, validation, and certification of learning-based systems</w:t>
      </w:r>
    </w:p>
    <w:p w14:paraId="303EB1C0" w14:textId="77777777" w:rsidR="00457C22" w:rsidRDefault="00000000">
      <w:pPr>
        <w:pStyle w:val="CFPBullet"/>
        <w:tabs>
          <w:tab w:val="left" w:pos="283"/>
        </w:tabs>
      </w:pPr>
      <w:r>
        <w:rPr>
          <w:b/>
          <w:color w:val="0067A1"/>
        </w:rPr>
        <w:t>–</w:t>
      </w:r>
      <w:r>
        <w:rPr>
          <w:b/>
          <w:color w:val="0067A1"/>
        </w:rPr>
        <w:tab/>
      </w:r>
      <w:r>
        <w:t>Human-in-the-loop decision support and human–AI teaming</w:t>
      </w:r>
    </w:p>
    <w:p w14:paraId="7035EEDF" w14:textId="77777777" w:rsidR="00457C22" w:rsidRDefault="00000000">
      <w:pPr>
        <w:pStyle w:val="CFPBullet"/>
        <w:tabs>
          <w:tab w:val="left" w:pos="283"/>
        </w:tabs>
      </w:pPr>
      <w:r>
        <w:rPr>
          <w:b/>
          <w:color w:val="0067A1"/>
        </w:rPr>
        <w:t>–</w:t>
      </w:r>
      <w:r>
        <w:rPr>
          <w:b/>
          <w:color w:val="0067A1"/>
        </w:rPr>
        <w:tab/>
      </w:r>
      <w:r>
        <w:t>Reliability of AI in safety-critical and high-stakes domains</w:t>
      </w:r>
    </w:p>
    <w:p w14:paraId="6019DA95" w14:textId="77777777" w:rsidR="00457C22" w:rsidRDefault="00000000">
      <w:pPr>
        <w:pStyle w:val="Heading2"/>
      </w:pPr>
      <w:r>
        <w:t>AI for the Sustainable Development Goals</w:t>
      </w:r>
    </w:p>
    <w:p w14:paraId="5AE36835" w14:textId="77777777" w:rsidR="00457C22" w:rsidRDefault="00000000">
      <w:pPr>
        <w:pStyle w:val="CFPBullet"/>
        <w:tabs>
          <w:tab w:val="left" w:pos="283"/>
        </w:tabs>
      </w:pPr>
      <w:r>
        <w:rPr>
          <w:b/>
          <w:color w:val="0067A1"/>
        </w:rPr>
        <w:t>–</w:t>
      </w:r>
      <w:r>
        <w:rPr>
          <w:b/>
          <w:color w:val="0067A1"/>
        </w:rPr>
        <w:tab/>
      </w:r>
      <w:r>
        <w:t>Health and well-being; education and lifelong learning (SDG 3, SDG 4)</w:t>
      </w:r>
    </w:p>
    <w:p w14:paraId="6121B08A" w14:textId="77777777" w:rsidR="00457C22" w:rsidRDefault="00000000">
      <w:pPr>
        <w:pStyle w:val="CFPBullet"/>
        <w:tabs>
          <w:tab w:val="left" w:pos="283"/>
        </w:tabs>
      </w:pPr>
      <w:r>
        <w:rPr>
          <w:b/>
          <w:color w:val="0067A1"/>
        </w:rPr>
        <w:t>–</w:t>
      </w:r>
      <w:r>
        <w:rPr>
          <w:b/>
          <w:color w:val="0067A1"/>
        </w:rPr>
        <w:tab/>
      </w:r>
      <w:r>
        <w:t>Climate action, clean energy, and sustainable cities (SDG 7, SDG 11, SDG 13)</w:t>
      </w:r>
    </w:p>
    <w:p w14:paraId="647E7E90" w14:textId="77777777" w:rsidR="00457C22" w:rsidRDefault="00000000">
      <w:pPr>
        <w:pStyle w:val="CFPBullet"/>
        <w:tabs>
          <w:tab w:val="left" w:pos="283"/>
        </w:tabs>
      </w:pPr>
      <w:r>
        <w:rPr>
          <w:b/>
          <w:color w:val="0067A1"/>
        </w:rPr>
        <w:t>–</w:t>
      </w:r>
      <w:r>
        <w:rPr>
          <w:b/>
          <w:color w:val="0067A1"/>
        </w:rPr>
        <w:tab/>
      </w:r>
      <w:r>
        <w:t>Decent work, inclusive growth, and reduced inequalities (SDG 8, SDG 10)</w:t>
      </w:r>
    </w:p>
    <w:p w14:paraId="63CA51BF" w14:textId="77777777" w:rsidR="00457C22" w:rsidRDefault="00000000">
      <w:pPr>
        <w:pStyle w:val="CFPBullet"/>
        <w:tabs>
          <w:tab w:val="left" w:pos="283"/>
        </w:tabs>
      </w:pPr>
      <w:r>
        <w:rPr>
          <w:b/>
          <w:color w:val="0067A1"/>
        </w:rPr>
        <w:t>–</w:t>
      </w:r>
      <w:r>
        <w:rPr>
          <w:b/>
          <w:color w:val="0067A1"/>
        </w:rPr>
        <w:tab/>
      </w:r>
      <w:r>
        <w:t>Green AI: energy-efficient models and sustainable computing (SDG 9, SDG 12)</w:t>
      </w:r>
    </w:p>
    <w:p w14:paraId="63AEFAC1" w14:textId="77777777" w:rsidR="00457C22" w:rsidRDefault="00000000">
      <w:pPr>
        <w:pStyle w:val="CFPBullet"/>
        <w:tabs>
          <w:tab w:val="left" w:pos="283"/>
        </w:tabs>
      </w:pPr>
      <w:r>
        <w:rPr>
          <w:b/>
          <w:color w:val="0067A1"/>
        </w:rPr>
        <w:t>–</w:t>
      </w:r>
      <w:r>
        <w:rPr>
          <w:b/>
          <w:color w:val="0067A1"/>
        </w:rPr>
        <w:tab/>
      </w:r>
      <w:r>
        <w:t>Methods for measuring and reporting AI contributions to SDG indicators</w:t>
      </w:r>
    </w:p>
    <w:p w14:paraId="4AD6AD4E" w14:textId="77777777" w:rsidR="00457C22" w:rsidRDefault="00000000">
      <w:pPr>
        <w:pStyle w:val="Heading1"/>
      </w:pPr>
      <w:r>
        <w:t>Submission guidelines</w:t>
      </w:r>
    </w:p>
    <w:p w14:paraId="28C37875" w14:textId="1DD8B99B" w:rsidR="00457C22" w:rsidRDefault="00000000">
      <w:pPr>
        <w:pStyle w:val="CFPBullet"/>
        <w:tabs>
          <w:tab w:val="left" w:pos="283"/>
        </w:tabs>
      </w:pPr>
      <w:r>
        <w:rPr>
          <w:b/>
          <w:color w:val="0067A1"/>
        </w:rPr>
        <w:t>–</w:t>
      </w:r>
      <w:r>
        <w:rPr>
          <w:b/>
          <w:color w:val="0067A1"/>
        </w:rPr>
        <w:tab/>
      </w:r>
      <w:r>
        <w:rPr>
          <w:b/>
        </w:rPr>
        <w:t xml:space="preserve">Paper types. </w:t>
      </w:r>
      <w:r>
        <w:t>Regular papers of 10–15 pages in English. Page counts follow the CEUR-WS.org definition of a standard page (about 2,500 characters).</w:t>
      </w:r>
    </w:p>
    <w:p w14:paraId="6DF0E24A" w14:textId="77777777" w:rsidR="00457C22" w:rsidRDefault="00000000">
      <w:pPr>
        <w:pStyle w:val="CFPBullet"/>
        <w:tabs>
          <w:tab w:val="left" w:pos="283"/>
        </w:tabs>
      </w:pPr>
      <w:r>
        <w:rPr>
          <w:b/>
          <w:color w:val="0067A1"/>
        </w:rPr>
        <w:t>–</w:t>
      </w:r>
      <w:r>
        <w:rPr>
          <w:b/>
          <w:color w:val="0067A1"/>
        </w:rPr>
        <w:tab/>
      </w:r>
      <w:r>
        <w:rPr>
          <w:b/>
        </w:rPr>
        <w:t xml:space="preserve">Template. </w:t>
      </w:r>
      <w:r>
        <w:t>Papers must use the one-column CEURART template. CEUR-WS.org provides LaTeX and LibreOffice (ODT) versions only; both already contain the mandatory sections described below.</w:t>
      </w:r>
    </w:p>
    <w:p w14:paraId="4D261D27" w14:textId="77777777" w:rsidR="00457C22" w:rsidRDefault="00000000">
      <w:pPr>
        <w:pStyle w:val="CFPBullet2"/>
      </w:pPr>
      <w:r>
        <w:rPr>
          <w:b/>
          <w:color w:val="0067A1"/>
        </w:rPr>
        <w:t>–</w:t>
      </w:r>
      <w:r>
        <w:rPr>
          <w:b/>
          <w:color w:val="0067A1"/>
        </w:rPr>
        <w:tab/>
      </w:r>
      <w:r>
        <w:t xml:space="preserve">LaTeX on Overleaf (recommended): </w:t>
      </w:r>
      <w:hyperlink r:id="rId11">
        <w:r w:rsidR="00457C22">
          <w:rPr>
            <w:color w:val="0067A1"/>
            <w:szCs w:val="20"/>
            <w:u w:val="single"/>
          </w:rPr>
          <w:t>CEURART template</w:t>
        </w:r>
      </w:hyperlink>
    </w:p>
    <w:p w14:paraId="4A394D24" w14:textId="2F07FC45" w:rsidR="00457C22" w:rsidRDefault="00000000">
      <w:pPr>
        <w:pStyle w:val="CFPBullet2"/>
      </w:pPr>
      <w:r>
        <w:rPr>
          <w:b/>
          <w:color w:val="0067A1"/>
        </w:rPr>
        <w:t>–</w:t>
      </w:r>
      <w:r>
        <w:rPr>
          <w:b/>
          <w:color w:val="0067A1"/>
        </w:rPr>
        <w:tab/>
      </w:r>
      <w:r>
        <w:t xml:space="preserve">LaTeX archive: </w:t>
      </w:r>
      <w:r w:rsidRPr="00895A8E">
        <w:rPr>
          <w:color w:val="auto"/>
          <w:szCs w:val="20"/>
        </w:rPr>
        <w:t>CEURART.zip</w:t>
      </w:r>
      <w:r w:rsidR="00895A8E">
        <w:rPr>
          <w:color w:val="auto"/>
          <w:szCs w:val="20"/>
        </w:rPr>
        <w:t xml:space="preserve"> [</w:t>
      </w:r>
      <w:proofErr w:type="gramStart"/>
      <w:r w:rsidR="00895A8E">
        <w:rPr>
          <w:color w:val="auto"/>
          <w:szCs w:val="20"/>
        </w:rPr>
        <w:t>TBA]</w:t>
      </w:r>
      <w:r w:rsidRPr="00895A8E">
        <w:rPr>
          <w:color w:val="auto"/>
        </w:rPr>
        <w:t xml:space="preserve">   </w:t>
      </w:r>
      <w:proofErr w:type="gramEnd"/>
      <w:r w:rsidRPr="00895A8E">
        <w:rPr>
          <w:color w:val="auto"/>
        </w:rPr>
        <w:t xml:space="preserve">•   LibreOffice: </w:t>
      </w:r>
      <w:r w:rsidRPr="00895A8E">
        <w:rPr>
          <w:color w:val="auto"/>
          <w:szCs w:val="20"/>
        </w:rPr>
        <w:t>CEUR-Template-1col.odt</w:t>
      </w:r>
      <w:r w:rsidR="00895A8E">
        <w:rPr>
          <w:color w:val="auto"/>
          <w:szCs w:val="20"/>
        </w:rPr>
        <w:t xml:space="preserve"> [TBA]</w:t>
      </w:r>
    </w:p>
    <w:p w14:paraId="13512E1B" w14:textId="77777777" w:rsidR="00457C22" w:rsidRDefault="00000000">
      <w:pPr>
        <w:pStyle w:val="CFPBullet2"/>
        <w:spacing w:after="60"/>
      </w:pPr>
      <w:r>
        <w:rPr>
          <w:b/>
          <w:color w:val="0067A1"/>
        </w:rPr>
        <w:t>–</w:t>
      </w:r>
      <w:r>
        <w:rPr>
          <w:b/>
          <w:color w:val="0067A1"/>
        </w:rPr>
        <w:tab/>
      </w:r>
      <w:r>
        <w:rPr>
          <w:color w:val="5A5A5A"/>
        </w:rPr>
        <w:t xml:space="preserve">CEUR-WS.org publishes no official Word template. Authors who cannot use LaTeX or LibreOffice may request a DOCX conversion from the </w:t>
      </w:r>
      <w:proofErr w:type="gramStart"/>
      <w:r>
        <w:rPr>
          <w:color w:val="5A5A5A"/>
        </w:rPr>
        <w:t>organizers, but</w:t>
      </w:r>
      <w:proofErr w:type="gramEnd"/>
      <w:r>
        <w:rPr>
          <w:color w:val="5A5A5A"/>
        </w:rPr>
        <w:t xml:space="preserve"> remain responsible for matching the CEURART layout exactly.</w:t>
      </w:r>
    </w:p>
    <w:p w14:paraId="2C6274FC" w14:textId="77777777" w:rsidR="00457C22" w:rsidRDefault="00000000">
      <w:pPr>
        <w:pStyle w:val="CFPBullet"/>
        <w:tabs>
          <w:tab w:val="left" w:pos="283"/>
        </w:tabs>
      </w:pPr>
      <w:r>
        <w:rPr>
          <w:b/>
          <w:color w:val="0067A1"/>
        </w:rPr>
        <w:t>–</w:t>
      </w:r>
      <w:r>
        <w:rPr>
          <w:b/>
          <w:color w:val="0067A1"/>
        </w:rPr>
        <w:tab/>
      </w:r>
      <w:r>
        <w:rPr>
          <w:b/>
        </w:rPr>
        <w:t xml:space="preserve">Peer review. </w:t>
      </w:r>
      <w:r>
        <w:t xml:space="preserve">Double-blind. Each submission receives at least two independent reviews from the international programme committee. Acceptance requires at least one strong </w:t>
      </w:r>
      <w:proofErr w:type="gramStart"/>
      <w:r>
        <w:t>accept</w:t>
      </w:r>
      <w:proofErr w:type="gramEnd"/>
      <w:r>
        <w:t xml:space="preserve"> and no rejects; a third reviewer is invited in case of disagreement. Acceptance is based solely on the quality and relevance of the paper.</w:t>
      </w:r>
    </w:p>
    <w:p w14:paraId="582EC3B5" w14:textId="7E331DC4" w:rsidR="00457C22" w:rsidRDefault="00000000">
      <w:pPr>
        <w:pStyle w:val="CFPBullet"/>
        <w:tabs>
          <w:tab w:val="left" w:pos="283"/>
        </w:tabs>
        <w:spacing w:after="50"/>
      </w:pPr>
      <w:r>
        <w:rPr>
          <w:b/>
          <w:color w:val="0067A1"/>
        </w:rPr>
        <w:t>–</w:t>
      </w:r>
      <w:r>
        <w:rPr>
          <w:b/>
          <w:color w:val="0067A1"/>
        </w:rPr>
        <w:tab/>
      </w:r>
      <w:r>
        <w:rPr>
          <w:b/>
        </w:rPr>
        <w:t xml:space="preserve">Submission system. </w:t>
      </w:r>
      <w:r w:rsidRPr="0093642A">
        <w:rPr>
          <w:color w:val="auto"/>
          <w:szCs w:val="21"/>
        </w:rPr>
        <w:t>Microsoft CMT</w:t>
      </w:r>
      <w:r w:rsidR="0093642A">
        <w:rPr>
          <w:color w:val="auto"/>
          <w:szCs w:val="21"/>
        </w:rPr>
        <w:t xml:space="preserve"> [TBA]</w:t>
      </w:r>
      <w:r>
        <w:t xml:space="preserve"> – select ExplAI-2026 in the conference list.</w:t>
      </w:r>
    </w:p>
    <w:p w14:paraId="1516E0A1" w14:textId="77777777" w:rsidR="00457C22" w:rsidRDefault="00000000">
      <w:pPr>
        <w:pStyle w:val="CFPBullet"/>
        <w:tabs>
          <w:tab w:val="left" w:pos="283"/>
        </w:tabs>
      </w:pPr>
      <w:r>
        <w:rPr>
          <w:b/>
          <w:color w:val="0067A1"/>
        </w:rPr>
        <w:t>–</w:t>
      </w:r>
      <w:r>
        <w:rPr>
          <w:b/>
          <w:color w:val="0067A1"/>
        </w:rPr>
        <w:tab/>
      </w:r>
      <w:r>
        <w:rPr>
          <w:b/>
        </w:rPr>
        <w:t xml:space="preserve">Originality. </w:t>
      </w:r>
      <w:r>
        <w:t>Submissions must be original and must not have been published elsewhere or be under review elsewhere. CEUR-WS.org does not publish previously published papers, nor papers rejected by another programme committee of the same event.</w:t>
      </w:r>
    </w:p>
    <w:p w14:paraId="29B44D37" w14:textId="77777777" w:rsidR="00457C22" w:rsidRDefault="00000000">
      <w:pPr>
        <w:pStyle w:val="CFPBullet"/>
        <w:tabs>
          <w:tab w:val="left" w:pos="283"/>
        </w:tabs>
      </w:pPr>
      <w:r>
        <w:rPr>
          <w:b/>
          <w:color w:val="0067A1"/>
        </w:rPr>
        <w:t>–</w:t>
      </w:r>
      <w:r>
        <w:rPr>
          <w:b/>
          <w:color w:val="0067A1"/>
        </w:rPr>
        <w:tab/>
      </w:r>
      <w:r>
        <w:rPr>
          <w:b/>
        </w:rPr>
        <w:t xml:space="preserve">Authorship. </w:t>
      </w:r>
      <w:r>
        <w:t>At most 5 authors per paper. Author names must be given in Latin characters, with affiliations and institutional e-mail addresses.</w:t>
      </w:r>
    </w:p>
    <w:p w14:paraId="050310D3" w14:textId="77777777" w:rsidR="00457C22" w:rsidRDefault="00000000">
      <w:pPr>
        <w:pStyle w:val="CFPBullet"/>
        <w:tabs>
          <w:tab w:val="left" w:pos="283"/>
        </w:tabs>
      </w:pPr>
      <w:r>
        <w:rPr>
          <w:b/>
          <w:color w:val="0067A1"/>
        </w:rPr>
        <w:t>–</w:t>
      </w:r>
      <w:r>
        <w:rPr>
          <w:b/>
          <w:color w:val="0067A1"/>
        </w:rPr>
        <w:tab/>
      </w:r>
      <w:r>
        <w:rPr>
          <w:b/>
        </w:rPr>
        <w:t xml:space="preserve">Self-citation. </w:t>
      </w:r>
      <w:r>
        <w:t xml:space="preserve">At most </w:t>
      </w:r>
      <w:proofErr w:type="gramStart"/>
      <w:r>
        <w:t>20 %</w:t>
      </w:r>
      <w:proofErr w:type="gramEnd"/>
      <w:r>
        <w:t xml:space="preserve"> of the reference list.</w:t>
      </w:r>
    </w:p>
    <w:p w14:paraId="2F55CBC2" w14:textId="77777777" w:rsidR="00457C22" w:rsidRDefault="00000000">
      <w:pPr>
        <w:pStyle w:val="Heading1"/>
      </w:pPr>
      <w:r>
        <w:lastRenderedPageBreak/>
        <w:t>Mandatory CEUR-WS.org requirements</w:t>
      </w:r>
    </w:p>
    <w:p w14:paraId="09769FB5" w14:textId="77777777" w:rsidR="00457C22" w:rsidRDefault="00000000">
      <w:pPr>
        <w:spacing w:after="120"/>
        <w:jc w:val="both"/>
      </w:pPr>
      <w:r>
        <w:t xml:space="preserve">Every accepted paper must satisfy the current CEUR-WS.org submission rules. Please read them at </w:t>
      </w:r>
      <w:hyperlink r:id="rId12">
        <w:r w:rsidR="00457C22">
          <w:rPr>
            <w:color w:val="0067A1"/>
            <w:szCs w:val="21"/>
            <w:u w:val="single"/>
          </w:rPr>
          <w:t>ceur-ws.org/HOWTOSUBMIT.html</w:t>
        </w:r>
      </w:hyperlink>
      <w:r>
        <w:t xml:space="preserve"> before preparing the camera-ready version.</w:t>
      </w:r>
    </w:p>
    <w:p w14:paraId="26D98825" w14:textId="77777777" w:rsidR="00457C22" w:rsidRDefault="00000000">
      <w:pPr>
        <w:pStyle w:val="Heading2"/>
      </w:pPr>
      <w:r>
        <w:t>Declaration on Generative AI (mandatory)</w:t>
      </w:r>
    </w:p>
    <w:p w14:paraId="0248BF6C" w14:textId="77777777" w:rsidR="00457C22" w:rsidRDefault="00000000">
      <w:pPr>
        <w:jc w:val="both"/>
      </w:pPr>
      <w:proofErr w:type="gramStart"/>
      <w:r>
        <w:t>Since</w:t>
      </w:r>
      <w:proofErr w:type="gramEnd"/>
      <w:r>
        <w:t xml:space="preserve"> 1 June 2025 every paper must contain a section headed </w:t>
      </w:r>
      <w:r>
        <w:rPr>
          <w:b/>
        </w:rPr>
        <w:t>Declaration on Generative AI</w:t>
      </w:r>
      <w:r>
        <w:t xml:space="preserve">, placed before the references. Authors must list every generative-AI tool or service used and describe its specific contribution using the CEUR-WS GenAI Usage Taxonomy. Generating scientific content, insights, or conclusions with generative AI is not permitted, and AI tools must never be listed as authors. If no such tool was used, the section must say so explicitly. See the </w:t>
      </w:r>
      <w:hyperlink r:id="rId13">
        <w:r w:rsidR="00457C22">
          <w:rPr>
            <w:color w:val="0067A1"/>
            <w:szCs w:val="21"/>
            <w:u w:val="single"/>
          </w:rPr>
          <w:t>CEUR-WS GenAI policy</w:t>
        </w:r>
      </w:hyperlink>
      <w:r>
        <w:t xml:space="preserve"> and the </w:t>
      </w:r>
      <w:hyperlink r:id="rId14">
        <w:r w:rsidR="00457C22">
          <w:rPr>
            <w:color w:val="0067A1"/>
            <w:szCs w:val="21"/>
            <w:u w:val="single"/>
          </w:rPr>
          <w:t>GenAI Usage Taxonomy</w:t>
        </w:r>
      </w:hyperlink>
      <w:r>
        <w:t>.</w:t>
      </w:r>
    </w:p>
    <w:p w14:paraId="3BE44CC1" w14:textId="77777777" w:rsidR="00457C22" w:rsidRDefault="00000000">
      <w:pPr>
        <w:pBdr>
          <w:left w:val="single" w:sz="18" w:space="6" w:color="F6A21B"/>
        </w:pBdr>
        <w:shd w:val="clear" w:color="auto" w:fill="EDF4F9"/>
        <w:spacing w:before="60" w:after="140"/>
        <w:ind w:left="283" w:right="283"/>
        <w:jc w:val="both"/>
      </w:pPr>
      <w:r>
        <w:rPr>
          <w:i/>
          <w:color w:val="0F3D5C"/>
          <w:sz w:val="19"/>
        </w:rPr>
        <w:t xml:space="preserve">Example of declaration: “During the preparation of this work, the author(s) used ChatGPT, Grammarly </w:t>
      </w:r>
      <w:proofErr w:type="gramStart"/>
      <w:r>
        <w:rPr>
          <w:i/>
          <w:color w:val="0F3D5C"/>
          <w:sz w:val="19"/>
        </w:rPr>
        <w:t>in order to</w:t>
      </w:r>
      <w:proofErr w:type="gramEnd"/>
      <w:r>
        <w:rPr>
          <w:i/>
          <w:color w:val="0F3D5C"/>
          <w:sz w:val="19"/>
        </w:rPr>
        <w:t>: Grammar and spelling check, Paraphrase and reword. After using this tool/service, the author(s) reviewed and edited the content as needed and take(s) full responsibility for the publication’s content.”</w:t>
      </w:r>
    </w:p>
    <w:p w14:paraId="40615CA3" w14:textId="77777777" w:rsidR="00457C22" w:rsidRDefault="00000000">
      <w:pPr>
        <w:pStyle w:val="Heading2"/>
      </w:pPr>
      <w:r>
        <w:t>Licence and copyright notice</w:t>
      </w:r>
    </w:p>
    <w:p w14:paraId="722B9F7F" w14:textId="77777777" w:rsidR="00457C22" w:rsidRDefault="00000000">
      <w:pPr>
        <w:jc w:val="both"/>
      </w:pPr>
      <w:r>
        <w:t>The volume and its papers are published under the Creative Commons Attribution 4.0 International licence (CC BY 4.0). Authors retain copyright. The first page of every camera-ready paper must carry the following footer, exactly as prescribed by CEUR-WS.org:</w:t>
      </w:r>
    </w:p>
    <w:p w14:paraId="0E92B384" w14:textId="77777777" w:rsidR="00457C22" w:rsidRDefault="00000000">
      <w:pPr>
        <w:pBdr>
          <w:left w:val="single" w:sz="18" w:space="6" w:color="F6A21B"/>
        </w:pBdr>
        <w:shd w:val="clear" w:color="auto" w:fill="EDF4F9"/>
        <w:spacing w:before="60" w:after="140"/>
        <w:ind w:left="283" w:right="283"/>
      </w:pPr>
      <w:r>
        <w:rPr>
          <w:i/>
          <w:color w:val="0F3D5C"/>
          <w:sz w:val="19"/>
        </w:rPr>
        <w:t>“Copyright © 2026 for this paper by its authors. Use permitted under Creative Commons License Attribution 4.0 International (CC BY 4.0).”</w:t>
      </w:r>
    </w:p>
    <w:p w14:paraId="2CFD837B" w14:textId="77777777" w:rsidR="00457C22" w:rsidRDefault="00000000">
      <w:pPr>
        <w:pStyle w:val="Heading2"/>
      </w:pPr>
      <w:r>
        <w:t>Signed author agreement</w:t>
      </w:r>
    </w:p>
    <w:p w14:paraId="14A9C5D3" w14:textId="77777777" w:rsidR="00457C22" w:rsidRDefault="00000000">
      <w:pPr>
        <w:jc w:val="both"/>
      </w:pPr>
      <w:r>
        <w:t xml:space="preserve">Each accepted paper must be accompanied by a CEUR-WS.org open-access author agreement. Complete the form by hand, sign it </w:t>
      </w:r>
      <w:r>
        <w:rPr>
          <w:b/>
        </w:rPr>
        <w:t>with an ink pen on paper</w:t>
      </w:r>
      <w:r>
        <w:t xml:space="preserve"> – electronic and touchscreen signatures are not accepted – and return a scan (PDF or JPEG) together with the camera-ready paper. Use the form that matches your paper:</w:t>
      </w:r>
    </w:p>
    <w:p w14:paraId="5016F5B6" w14:textId="38577BD0" w:rsidR="00457C22" w:rsidRPr="000E3F5D" w:rsidRDefault="00000000">
      <w:pPr>
        <w:pStyle w:val="CFPBullet"/>
        <w:rPr>
          <w:color w:val="auto"/>
        </w:rPr>
      </w:pPr>
      <w:r>
        <w:rPr>
          <w:b/>
          <w:color w:val="0067A1"/>
        </w:rPr>
        <w:t>–</w:t>
      </w:r>
      <w:r>
        <w:rPr>
          <w:b/>
          <w:color w:val="0067A1"/>
        </w:rPr>
        <w:tab/>
      </w:r>
      <w:hyperlink r:id="rId15">
        <w:r w:rsidR="00457C22" w:rsidRPr="000E3F5D">
          <w:rPr>
            <w:b/>
            <w:color w:val="auto"/>
            <w:szCs w:val="21"/>
          </w:rPr>
          <w:t>Author agreement (NTP)</w:t>
        </w:r>
      </w:hyperlink>
      <w:r w:rsidR="000E3F5D">
        <w:rPr>
          <w:color w:val="auto"/>
        </w:rPr>
        <w:t xml:space="preserve"> [TBA]</w:t>
      </w:r>
      <w:r w:rsidRPr="000E3F5D">
        <w:rPr>
          <w:color w:val="auto"/>
        </w:rPr>
        <w:t xml:space="preserve"> – the standard case: the paper and any accompanying material contain no copyrighted third-party content.</w:t>
      </w:r>
    </w:p>
    <w:p w14:paraId="1BDD1A97" w14:textId="0664B0AD" w:rsidR="00457C22" w:rsidRDefault="00000000">
      <w:pPr>
        <w:pStyle w:val="CFPBullet"/>
        <w:spacing w:after="80"/>
      </w:pPr>
      <w:r w:rsidRPr="000E3F5D">
        <w:rPr>
          <w:b/>
          <w:color w:val="auto"/>
        </w:rPr>
        <w:t>–</w:t>
      </w:r>
      <w:r w:rsidRPr="000E3F5D">
        <w:rPr>
          <w:b/>
          <w:color w:val="auto"/>
        </w:rPr>
        <w:tab/>
      </w:r>
      <w:hyperlink r:id="rId16">
        <w:r w:rsidR="00457C22" w:rsidRPr="000E3F5D">
          <w:rPr>
            <w:b/>
            <w:color w:val="auto"/>
            <w:szCs w:val="21"/>
          </w:rPr>
          <w:t>Author agreement (TP)</w:t>
        </w:r>
      </w:hyperlink>
      <w:r w:rsidR="000E3F5D">
        <w:rPr>
          <w:color w:val="auto"/>
        </w:rPr>
        <w:t xml:space="preserve"> [TBA]</w:t>
      </w:r>
      <w:r w:rsidRPr="000E3F5D">
        <w:rPr>
          <w:color w:val="auto"/>
        </w:rPr>
        <w:t xml:space="preserve"> – </w:t>
      </w:r>
      <w:r>
        <w:t>required if the paper reuses copyrighted third-party material. A copy of the rights holder’s permission must be attached to the signed agreement.</w:t>
      </w:r>
    </w:p>
    <w:p w14:paraId="0C51D3AC" w14:textId="77777777" w:rsidR="00457C22" w:rsidRDefault="00000000">
      <w:pPr>
        <w:pStyle w:val="Heading2"/>
      </w:pPr>
      <w:r>
        <w:t xml:space="preserve">Author </w:t>
      </w:r>
      <w:proofErr w:type="gramStart"/>
      <w:r>
        <w:t>metadata</w:t>
      </w:r>
      <w:proofErr w:type="gramEnd"/>
      <w:r>
        <w:t xml:space="preserve"> and ORCID</w:t>
      </w:r>
    </w:p>
    <w:p w14:paraId="3A322588" w14:textId="77777777" w:rsidR="00457C22" w:rsidRDefault="00000000">
      <w:pPr>
        <w:jc w:val="both"/>
      </w:pPr>
      <w:r>
        <w:t xml:space="preserve">Provide meaningful affiliations and institutional e-mail addresses in the paper footer on page 1, following the CEURART instructions. ORCID identifiers are optional in the CEURART template but are strongly recommended for every author; register free of charge at </w:t>
      </w:r>
      <w:hyperlink r:id="rId17">
        <w:r w:rsidR="00457C22">
          <w:rPr>
            <w:color w:val="0067A1"/>
            <w:szCs w:val="21"/>
            <w:u w:val="single"/>
          </w:rPr>
          <w:t>orcid.org</w:t>
        </w:r>
      </w:hyperlink>
      <w:r>
        <w:t xml:space="preserve">. CEUR-WS.org may ask the editors for a DBLP footprint, so authors are encouraged to keep their </w:t>
      </w:r>
      <w:hyperlink r:id="rId18">
        <w:r w:rsidR="00457C22">
          <w:rPr>
            <w:color w:val="0067A1"/>
            <w:szCs w:val="21"/>
            <w:u w:val="single"/>
          </w:rPr>
          <w:t>DBLP</w:t>
        </w:r>
      </w:hyperlink>
      <w:r>
        <w:t xml:space="preserve"> record accurate and consistently transliterated.</w:t>
      </w:r>
    </w:p>
    <w:p w14:paraId="509C35CB" w14:textId="77777777" w:rsidR="00457C22" w:rsidRDefault="00000000">
      <w:pPr>
        <w:pStyle w:val="Heading1"/>
      </w:pPr>
      <w:r>
        <w:t>Author preparation checklist</w:t>
      </w:r>
    </w:p>
    <w:p w14:paraId="13C8871D" w14:textId="77777777" w:rsidR="00457C22" w:rsidRDefault="00000000">
      <w:pPr>
        <w:spacing w:after="100"/>
      </w:pPr>
      <w:r>
        <w:t>Recommended by the organizers to improve review outcomes and ensure CEUR-WS.org compliance:</w:t>
      </w:r>
    </w:p>
    <w:p w14:paraId="0EF41943" w14:textId="77777777" w:rsidR="00457C22" w:rsidRDefault="00000000">
      <w:pPr>
        <w:pStyle w:val="CFPBullet"/>
        <w:tabs>
          <w:tab w:val="left" w:pos="283"/>
        </w:tabs>
      </w:pPr>
      <w:r>
        <w:rPr>
          <w:b/>
          <w:color w:val="0067A1"/>
        </w:rPr>
        <w:t>–</w:t>
      </w:r>
      <w:r>
        <w:rPr>
          <w:b/>
          <w:color w:val="0067A1"/>
        </w:rPr>
        <w:tab/>
      </w:r>
      <w:r>
        <w:t>A concise, specific title of at most 13 words, avoiding repeated words.</w:t>
      </w:r>
    </w:p>
    <w:p w14:paraId="4579DBE2" w14:textId="77777777" w:rsidR="00457C22" w:rsidRDefault="00000000">
      <w:pPr>
        <w:pStyle w:val="CFPBullet"/>
        <w:tabs>
          <w:tab w:val="left" w:pos="283"/>
        </w:tabs>
      </w:pPr>
      <w:r>
        <w:rPr>
          <w:b/>
          <w:color w:val="0067A1"/>
        </w:rPr>
        <w:t>–</w:t>
      </w:r>
      <w:r>
        <w:rPr>
          <w:b/>
          <w:color w:val="0067A1"/>
        </w:rPr>
        <w:tab/>
      </w:r>
      <w:r>
        <w:t>Clear English throughout; please proofread before submitting.</w:t>
      </w:r>
    </w:p>
    <w:p w14:paraId="6EF53DF2" w14:textId="77777777" w:rsidR="00457C22" w:rsidRDefault="00000000">
      <w:pPr>
        <w:pStyle w:val="CFPBullet"/>
        <w:tabs>
          <w:tab w:val="left" w:pos="283"/>
        </w:tabs>
      </w:pPr>
      <w:r>
        <w:rPr>
          <w:b/>
          <w:color w:val="0067A1"/>
        </w:rPr>
        <w:t>–</w:t>
      </w:r>
      <w:r>
        <w:rPr>
          <w:b/>
          <w:color w:val="0067A1"/>
        </w:rPr>
        <w:tab/>
      </w:r>
      <w:r>
        <w:t>Structure: abstract; keywords; introduction; related work; methods; results and discussion; conclusion; declaration on generative AI; references.</w:t>
      </w:r>
    </w:p>
    <w:p w14:paraId="51566CBE" w14:textId="77777777" w:rsidR="00457C22" w:rsidRDefault="00000000">
      <w:pPr>
        <w:pStyle w:val="CFPBullet"/>
        <w:tabs>
          <w:tab w:val="left" w:pos="283"/>
        </w:tabs>
      </w:pPr>
      <w:r>
        <w:rPr>
          <w:b/>
          <w:color w:val="0067A1"/>
        </w:rPr>
        <w:t>–</w:t>
      </w:r>
      <w:r>
        <w:rPr>
          <w:b/>
          <w:color w:val="0067A1"/>
        </w:rPr>
        <w:tab/>
      </w:r>
      <w:r>
        <w:t>About 25–30 references for a regular paper, with the majority published within the last 5–8 years.</w:t>
      </w:r>
    </w:p>
    <w:p w14:paraId="7B968A5D" w14:textId="77777777" w:rsidR="00457C22" w:rsidRDefault="00000000">
      <w:pPr>
        <w:pStyle w:val="CFPBullet"/>
        <w:tabs>
          <w:tab w:val="left" w:pos="283"/>
        </w:tabs>
      </w:pPr>
      <w:r>
        <w:rPr>
          <w:b/>
          <w:color w:val="0067A1"/>
        </w:rPr>
        <w:t>–</w:t>
      </w:r>
      <w:r>
        <w:rPr>
          <w:b/>
          <w:color w:val="0067A1"/>
        </w:rPr>
        <w:tab/>
      </w:r>
      <w:r>
        <w:t>International reach: at most 20 % of references from the authors’ own country and their own work combined; self-citation ideally below 15 % and never above 20 %.</w:t>
      </w:r>
    </w:p>
    <w:p w14:paraId="59470DB7" w14:textId="77777777" w:rsidR="00457C22" w:rsidRDefault="00000000">
      <w:pPr>
        <w:pStyle w:val="CFPBullet"/>
        <w:tabs>
          <w:tab w:val="left" w:pos="283"/>
        </w:tabs>
      </w:pPr>
      <w:r>
        <w:rPr>
          <w:b/>
          <w:color w:val="0067A1"/>
        </w:rPr>
        <w:t>–</w:t>
      </w:r>
      <w:r>
        <w:rPr>
          <w:b/>
          <w:color w:val="0067A1"/>
        </w:rPr>
        <w:tab/>
      </w:r>
      <w:r>
        <w:t>No cascading chains of more than three sequential references.</w:t>
      </w:r>
    </w:p>
    <w:p w14:paraId="15E6101B" w14:textId="77777777" w:rsidR="00457C22" w:rsidRDefault="00000000">
      <w:pPr>
        <w:pStyle w:val="CFPBullet"/>
        <w:tabs>
          <w:tab w:val="left" w:pos="283"/>
        </w:tabs>
      </w:pPr>
      <w:r>
        <w:rPr>
          <w:b/>
          <w:color w:val="0067A1"/>
        </w:rPr>
        <w:t>–</w:t>
      </w:r>
      <w:r>
        <w:rPr>
          <w:b/>
          <w:color w:val="0067A1"/>
        </w:rPr>
        <w:tab/>
      </w:r>
      <w:r>
        <w:t>Language tags for non-English sources, for example “(in Ukrainian)”.</w:t>
      </w:r>
    </w:p>
    <w:p w14:paraId="3604A17E" w14:textId="77777777" w:rsidR="00457C22" w:rsidRDefault="00000000">
      <w:pPr>
        <w:pStyle w:val="CFPBullet"/>
        <w:tabs>
          <w:tab w:val="left" w:pos="283"/>
        </w:tabs>
      </w:pPr>
      <w:r>
        <w:rPr>
          <w:b/>
          <w:color w:val="0067A1"/>
        </w:rPr>
        <w:t>–</w:t>
      </w:r>
      <w:r>
        <w:rPr>
          <w:b/>
          <w:color w:val="0067A1"/>
        </w:rPr>
        <w:tab/>
      </w:r>
      <w:r>
        <w:t>Uniform formatting of headings, captions, tables, and equations; high-quality figures with readable fonts, vector graphics preferred.</w:t>
      </w:r>
    </w:p>
    <w:p w14:paraId="6AB435C3" w14:textId="77777777" w:rsidR="00457C22" w:rsidRDefault="00000000">
      <w:pPr>
        <w:pStyle w:val="Heading1"/>
      </w:pPr>
      <w:r>
        <w:lastRenderedPageBreak/>
        <w:t>Committees</w:t>
      </w:r>
    </w:p>
    <w:p w14:paraId="1E7F75A0" w14:textId="77777777" w:rsidR="00457C22" w:rsidRDefault="00000000">
      <w:pPr>
        <w:pStyle w:val="Heading2"/>
      </w:pPr>
      <w:r>
        <w:t>General chair</w:t>
      </w:r>
    </w:p>
    <w:p w14:paraId="1AD0314D" w14:textId="77777777" w:rsidR="00457C22" w:rsidRDefault="00000000">
      <w:pPr>
        <w:spacing w:after="60"/>
      </w:pPr>
      <w:r>
        <w:t>Prof. Tetiana Hovorushchenko, Khmelnytskyi National University, Ukraine</w:t>
      </w:r>
    </w:p>
    <w:p w14:paraId="400016F6" w14:textId="77777777" w:rsidR="00457C22" w:rsidRDefault="00000000">
      <w:pPr>
        <w:pStyle w:val="Heading2"/>
      </w:pPr>
      <w:r>
        <w:t>Programme committee chairs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457C22" w14:paraId="45E899B5" w14:textId="77777777">
        <w:trPr>
          <w:cantSplit/>
        </w:trPr>
        <w:tc>
          <w:tcPr>
            <w:tcW w:w="4876" w:type="dxa"/>
            <w:tcMar>
              <w:top w:w="0" w:type="dxa"/>
              <w:left w:w="0" w:type="dxa"/>
              <w:bottom w:w="0" w:type="dxa"/>
              <w:right w:w="120" w:type="dxa"/>
            </w:tcMar>
          </w:tcPr>
          <w:p w14:paraId="5E7DB9DA"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Prof. Olexander Barmak, Khmelnytskyi National University, Ukraine</w:t>
            </w:r>
          </w:p>
        </w:tc>
        <w:tc>
          <w:tcPr>
            <w:tcW w:w="4876" w:type="dxa"/>
            <w:tcMar>
              <w:top w:w="0" w:type="dxa"/>
              <w:left w:w="0" w:type="dxa"/>
              <w:bottom w:w="0" w:type="dxa"/>
              <w:right w:w="120" w:type="dxa"/>
            </w:tcMar>
          </w:tcPr>
          <w:p w14:paraId="184FBBE9"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Prof. Iurii Krak, Taras Shevchenko National University of Kyiv, Ukraine</w:t>
            </w:r>
          </w:p>
        </w:tc>
      </w:tr>
    </w:tbl>
    <w:p w14:paraId="075D9A36" w14:textId="77777777" w:rsidR="00457C22" w:rsidRDefault="00000000">
      <w:pPr>
        <w:pStyle w:val="Heading2"/>
      </w:pPr>
      <w:r>
        <w:t>International programme committee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457C22" w14:paraId="64C84BFD" w14:textId="77777777">
        <w:trPr>
          <w:cantSplit/>
        </w:trPr>
        <w:tc>
          <w:tcPr>
            <w:tcW w:w="4876" w:type="dxa"/>
            <w:tcMar>
              <w:top w:w="0" w:type="dxa"/>
              <w:left w:w="0" w:type="dxa"/>
              <w:bottom w:w="0" w:type="dxa"/>
              <w:right w:w="120" w:type="dxa"/>
            </w:tcMar>
          </w:tcPr>
          <w:p w14:paraId="2CF1BAD9"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Eduard Manziuk, Khmelnytskyi National University, Ukraine</w:t>
            </w:r>
          </w:p>
          <w:p w14:paraId="5099D745"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Nataliia Shakhovska, Lviv Polytechnic National University, Ukraine</w:t>
            </w:r>
          </w:p>
          <w:p w14:paraId="38E45400"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Vyacheslav Kharchenko, National Aerospace University KhAI, Ukraine</w:t>
            </w:r>
          </w:p>
          <w:p w14:paraId="2A7746FD"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Volodymyr Lytvynenko, Kherson National Technical University, Ukraine</w:t>
            </w:r>
          </w:p>
          <w:p w14:paraId="3CEB1A39"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Vyacheslav Kovtun, Vinnytsia National Technical University, Ukraine</w:t>
            </w:r>
          </w:p>
          <w:p w14:paraId="2259CD08"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Roman Kuc, Yale University, USA</w:t>
            </w:r>
          </w:p>
          <w:p w14:paraId="6A1B7AF4"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Orken Mamyrbayev, Institute of Information and Computational Technologies, Kazakhstan</w:t>
            </w:r>
          </w:p>
          <w:p w14:paraId="3B48D4AF"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Andrii Biloshchytskyi, Astana IT University, Kazakhstan</w:t>
            </w:r>
          </w:p>
          <w:p w14:paraId="74140295"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Waldemar Wojcik, Lublin University of Technology, Poland</w:t>
            </w:r>
          </w:p>
          <w:p w14:paraId="3EB3F322"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Ivan Izonin, University of Birmingham, United Kingdom</w:t>
            </w:r>
          </w:p>
          <w:p w14:paraId="18833380"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Prof. Sergey Yakovlev, Lodz University of Technology, Poland</w:t>
            </w:r>
          </w:p>
        </w:tc>
        <w:tc>
          <w:tcPr>
            <w:tcW w:w="4876" w:type="dxa"/>
            <w:tcMar>
              <w:top w:w="0" w:type="dxa"/>
              <w:left w:w="0" w:type="dxa"/>
              <w:bottom w:w="0" w:type="dxa"/>
              <w:right w:w="120" w:type="dxa"/>
            </w:tcMar>
          </w:tcPr>
          <w:p w14:paraId="7C5B684C"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 xml:space="preserve">Prof. Adam Wierzbicki, </w:t>
            </w:r>
            <w:proofErr w:type="gramStart"/>
            <w:r>
              <w:rPr>
                <w:sz w:val="19"/>
              </w:rPr>
              <w:t>Polish-Japanese</w:t>
            </w:r>
            <w:proofErr w:type="gramEnd"/>
            <w:r>
              <w:rPr>
                <w:sz w:val="19"/>
              </w:rPr>
              <w:t xml:space="preserve"> Academy of Information Technology, Poland</w:t>
            </w:r>
          </w:p>
          <w:p w14:paraId="59BD31A8"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Sergii Babichev, Jan Evangelista Purkyne University in Usti nad Labem, Czech Republic</w:t>
            </w:r>
          </w:p>
          <w:p w14:paraId="4A26D239"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Dmytro Chumachenko, University of Waterloo, Canada</w:t>
            </w:r>
          </w:p>
          <w:p w14:paraId="4E5BA687"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Vitaly Levashenko, University of Zilina, Slovakia</w:t>
            </w:r>
          </w:p>
          <w:p w14:paraId="2D10705F"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Elena Zaitseva, University of Zilina, Slovakia</w:t>
            </w:r>
          </w:p>
          <w:p w14:paraId="6AB3B27E"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Miroslav Kvassay, University of Zilina, Slovakia</w:t>
            </w:r>
          </w:p>
          <w:p w14:paraId="0AD37EA4"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Artem Boyarchuk, TalTech University, Estonia</w:t>
            </w:r>
          </w:p>
          <w:p w14:paraId="6EAE1E82"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Tomáš Sochor, University of Ostrava, Czech Republic</w:t>
            </w:r>
          </w:p>
          <w:p w14:paraId="28D565A0"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Abdel-Badeeh M. Salem, Ain Shams University, Egypt</w:t>
            </w:r>
          </w:p>
          <w:p w14:paraId="1DA88378"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Dr. Houda El Bouhissi, University of Bejaia, Algeria</w:t>
            </w:r>
          </w:p>
        </w:tc>
      </w:tr>
    </w:tbl>
    <w:p w14:paraId="731807FE" w14:textId="77777777" w:rsidR="00457C22" w:rsidRDefault="00000000">
      <w:pPr>
        <w:spacing w:before="60" w:after="60"/>
      </w:pPr>
      <w:r>
        <w:rPr>
          <w:i/>
          <w:color w:val="5A5A5A"/>
          <w:sz w:val="19"/>
        </w:rPr>
        <w:t>Additional reviewers with relevant expertise will be invited as needed.</w:t>
      </w:r>
    </w:p>
    <w:p w14:paraId="7BF7885E" w14:textId="77777777" w:rsidR="00457C22" w:rsidRDefault="00000000">
      <w:pPr>
        <w:pStyle w:val="Heading2"/>
      </w:pPr>
      <w:r>
        <w:t>Organizing committee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457C22" w14:paraId="04203F04" w14:textId="77777777">
        <w:trPr>
          <w:cantSplit/>
        </w:trPr>
        <w:tc>
          <w:tcPr>
            <w:tcW w:w="4876" w:type="dxa"/>
            <w:tcMar>
              <w:top w:w="0" w:type="dxa"/>
              <w:left w:w="0" w:type="dxa"/>
              <w:bottom w:w="0" w:type="dxa"/>
              <w:right w:w="120" w:type="dxa"/>
            </w:tcMar>
          </w:tcPr>
          <w:p w14:paraId="623769F8"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Pavlo Radiuk, Khmelnytskyi National University, Ukraine</w:t>
            </w:r>
          </w:p>
          <w:p w14:paraId="02E9379F" w14:textId="77777777" w:rsidR="00457C22" w:rsidRDefault="00000000">
            <w:pPr>
              <w:tabs>
                <w:tab w:val="left" w:pos="238"/>
              </w:tabs>
              <w:spacing w:line="252" w:lineRule="auto"/>
              <w:ind w:left="238" w:hanging="238"/>
            </w:pPr>
            <w:r>
              <w:rPr>
                <w:b/>
                <w:color w:val="0067A1"/>
                <w:sz w:val="19"/>
              </w:rPr>
              <w:t>–</w:t>
            </w:r>
            <w:r>
              <w:rPr>
                <w:b/>
                <w:color w:val="0067A1"/>
                <w:sz w:val="19"/>
              </w:rPr>
              <w:tab/>
            </w:r>
            <w:r>
              <w:rPr>
                <w:sz w:val="19"/>
              </w:rPr>
              <w:t>Dr. Oleksandr Mazurets, Khmelnytskyi National University, Ukraine</w:t>
            </w:r>
          </w:p>
        </w:tc>
        <w:tc>
          <w:tcPr>
            <w:tcW w:w="4876" w:type="dxa"/>
            <w:tcMar>
              <w:top w:w="0" w:type="dxa"/>
              <w:left w:w="0" w:type="dxa"/>
              <w:bottom w:w="0" w:type="dxa"/>
              <w:right w:w="120" w:type="dxa"/>
            </w:tcMar>
          </w:tcPr>
          <w:p w14:paraId="48079126"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Maryna Molchanova, Khmelnytskyi National University, Ukraine</w:t>
            </w:r>
          </w:p>
          <w:p w14:paraId="65583619" w14:textId="77777777" w:rsidR="00457C22" w:rsidRDefault="00000000">
            <w:pPr>
              <w:tabs>
                <w:tab w:val="left" w:pos="238"/>
              </w:tabs>
              <w:spacing w:line="252" w:lineRule="auto"/>
              <w:ind w:left="238" w:hanging="238"/>
            </w:pPr>
            <w:r>
              <w:rPr>
                <w:b/>
                <w:color w:val="0067A1"/>
                <w:sz w:val="19"/>
              </w:rPr>
              <w:t>–</w:t>
            </w:r>
            <w:r>
              <w:rPr>
                <w:b/>
                <w:color w:val="0067A1"/>
                <w:sz w:val="19"/>
              </w:rPr>
              <w:tab/>
            </w:r>
            <w:r>
              <w:rPr>
                <w:sz w:val="19"/>
              </w:rPr>
              <w:t>Dr. Olena Sobko, Khmelnytskyi National University, Ukraine</w:t>
            </w:r>
          </w:p>
        </w:tc>
      </w:tr>
    </w:tbl>
    <w:p w14:paraId="641E3F70" w14:textId="77777777" w:rsidR="00457C22" w:rsidRDefault="00000000">
      <w:pPr>
        <w:pStyle w:val="Heading1"/>
      </w:pPr>
      <w:r>
        <w:t>Contact and updates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871"/>
        <w:gridCol w:w="7880"/>
      </w:tblGrid>
      <w:tr w:rsidR="00457C22" w14:paraId="3414F539" w14:textId="77777777">
        <w:trPr>
          <w:cantSplit/>
        </w:trPr>
        <w:tc>
          <w:tcPr>
            <w:tcW w:w="1871" w:type="dxa"/>
            <w:tcBorders>
              <w:top w:val="nil"/>
              <w:left w:val="nil"/>
              <w:bottom w:val="single" w:sz="4" w:space="0" w:color="FFFFFF"/>
              <w:right w:val="nil"/>
            </w:tcBorders>
            <w:shd w:val="clear" w:color="auto" w:fill="EDF4F9"/>
            <w:tcMar>
              <w:top w:w="62" w:type="dxa"/>
              <w:left w:w="130" w:type="dxa"/>
              <w:bottom w:w="62" w:type="dxa"/>
              <w:right w:w="130" w:type="dxa"/>
            </w:tcMar>
            <w:vAlign w:val="center"/>
          </w:tcPr>
          <w:p w14:paraId="7774945C" w14:textId="77777777" w:rsidR="00457C22" w:rsidRDefault="00000000">
            <w:pPr>
              <w:spacing w:after="0"/>
            </w:pPr>
            <w:r>
              <w:rPr>
                <w:b/>
                <w:color w:val="0F3D5C"/>
                <w:sz w:val="20"/>
              </w:rPr>
              <w:t>E-mail</w:t>
            </w:r>
          </w:p>
        </w:tc>
        <w:tc>
          <w:tcPr>
            <w:tcW w:w="7880" w:type="dxa"/>
            <w:tcBorders>
              <w:top w:val="nil"/>
              <w:left w:val="nil"/>
              <w:bottom w:val="single" w:sz="4" w:space="0" w:color="FFFFFF"/>
              <w:right w:val="nil"/>
            </w:tcBorders>
            <w:shd w:val="clear" w:color="auto" w:fill="EDF4F9"/>
            <w:tcMar>
              <w:top w:w="62" w:type="dxa"/>
              <w:left w:w="130" w:type="dxa"/>
              <w:bottom w:w="62" w:type="dxa"/>
              <w:right w:w="130" w:type="dxa"/>
            </w:tcMar>
            <w:vAlign w:val="center"/>
          </w:tcPr>
          <w:p w14:paraId="4E6C841C" w14:textId="77777777" w:rsidR="00457C22" w:rsidRDefault="00457C22">
            <w:pPr>
              <w:spacing w:after="0"/>
            </w:pPr>
            <w:hyperlink r:id="rId19">
              <w:r>
                <w:rPr>
                  <w:color w:val="0067A1"/>
                  <w:sz w:val="20"/>
                  <w:szCs w:val="20"/>
                  <w:u w:val="single"/>
                </w:rPr>
                <w:t>explai.khmnu@gmail.com</w:t>
              </w:r>
            </w:hyperlink>
          </w:p>
        </w:tc>
      </w:tr>
      <w:tr w:rsidR="00457C22" w14:paraId="0E247677"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3105763" w14:textId="77777777" w:rsidR="00457C22" w:rsidRDefault="00000000">
            <w:pPr>
              <w:spacing w:after="0"/>
            </w:pPr>
            <w:r>
              <w:rPr>
                <w:b/>
                <w:color w:val="0F3D5C"/>
                <w:sz w:val="20"/>
              </w:rPr>
              <w:t>Website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4F535F9" w14:textId="0FC8E1DD" w:rsidR="00457C22" w:rsidRDefault="00000000">
            <w:pPr>
              <w:spacing w:after="0"/>
            </w:pPr>
            <w:r>
              <w:rPr>
                <w:color w:val="5A5A5A"/>
                <w:sz w:val="20"/>
              </w:rPr>
              <w:t xml:space="preserve">prior edition: </w:t>
            </w:r>
            <w:hyperlink r:id="rId20">
              <w:r w:rsidR="00457C22">
                <w:rPr>
                  <w:color w:val="0067A1"/>
                  <w:sz w:val="20"/>
                  <w:szCs w:val="20"/>
                  <w:u w:val="single"/>
                </w:rPr>
                <w:t>kn.khmnu.edu</w:t>
              </w:r>
              <w:r w:rsidR="00457C22">
                <w:rPr>
                  <w:color w:val="0067A1"/>
                  <w:sz w:val="20"/>
                  <w:szCs w:val="20"/>
                  <w:u w:val="single"/>
                </w:rPr>
                <w:t>.</w:t>
              </w:r>
              <w:r w:rsidR="00457C22">
                <w:rPr>
                  <w:color w:val="0067A1"/>
                  <w:sz w:val="20"/>
                  <w:szCs w:val="20"/>
                  <w:u w:val="single"/>
                </w:rPr>
                <w:t>ua/ExplAI-2025</w:t>
              </w:r>
            </w:hyperlink>
          </w:p>
        </w:tc>
      </w:tr>
    </w:tbl>
    <w:p w14:paraId="27E16103" w14:textId="77777777" w:rsidR="00457C22" w:rsidRDefault="00000000">
      <w:pPr>
        <w:pBdr>
          <w:top w:val="single" w:sz="6" w:space="8" w:color="C9D8E4"/>
        </w:pBdr>
        <w:spacing w:before="220" w:after="0" w:line="254" w:lineRule="auto"/>
        <w:jc w:val="both"/>
      </w:pPr>
      <w:r>
        <w:rPr>
          <w:i/>
          <w:color w:val="5A5A5A"/>
          <w:sz w:val="17"/>
        </w:rPr>
        <w:t>The Microsoft CMT service is used for managing the peer-review process for this workshop. This service is provided free of charge by Microsoft, which bears all expenses, including costs for Azure cloud services as well as for software development and support.</w:t>
      </w:r>
    </w:p>
    <w:sectPr w:rsidR="00457C22" w:rsidSect="00034616">
      <w:footerReference w:type="default" r:id="rId21"/>
      <w:pgSz w:w="11906" w:h="16838"/>
      <w:pgMar w:top="907" w:right="1077" w:bottom="850" w:left="1077"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635C7" w14:textId="77777777" w:rsidR="000F460A" w:rsidRDefault="000F460A">
      <w:pPr>
        <w:spacing w:after="0" w:line="240" w:lineRule="auto"/>
      </w:pPr>
      <w:r>
        <w:separator/>
      </w:r>
    </w:p>
  </w:endnote>
  <w:endnote w:type="continuationSeparator" w:id="0">
    <w:p w14:paraId="47D8DFD9" w14:textId="77777777" w:rsidR="000F460A" w:rsidRDefault="000F4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70E5" w14:textId="77777777" w:rsidR="00457C22" w:rsidRDefault="00000000">
    <w:pPr>
      <w:pStyle w:val="Footer"/>
      <w:jc w:val="center"/>
    </w:pPr>
    <w:r>
      <w:rPr>
        <w:color w:val="5A5A5A"/>
        <w:sz w:val="17"/>
      </w:rPr>
      <w:t>ExplAI-</w:t>
    </w:r>
    <w:proofErr w:type="gramStart"/>
    <w:r>
      <w:rPr>
        <w:color w:val="5A5A5A"/>
        <w:sz w:val="17"/>
      </w:rPr>
      <w:t>2026  –</w:t>
    </w:r>
    <w:proofErr w:type="gramEnd"/>
    <w:r>
      <w:rPr>
        <w:color w:val="5A5A5A"/>
        <w:sz w:val="17"/>
      </w:rPr>
      <w:t xml:space="preserve">  Khmelnytskyi, </w:t>
    </w:r>
    <w:proofErr w:type="gramStart"/>
    <w:r>
      <w:rPr>
        <w:color w:val="5A5A5A"/>
        <w:sz w:val="17"/>
      </w:rPr>
      <w:t>Ukraine  –</w:t>
    </w:r>
    <w:proofErr w:type="gramEnd"/>
    <w:r>
      <w:rPr>
        <w:color w:val="5A5A5A"/>
        <w:sz w:val="17"/>
      </w:rPr>
      <w:t xml:space="preserve">  13 November </w:t>
    </w:r>
    <w:proofErr w:type="gramStart"/>
    <w:r>
      <w:rPr>
        <w:color w:val="5A5A5A"/>
        <w:sz w:val="17"/>
      </w:rPr>
      <w:t>2026  –</w:t>
    </w:r>
    <w:proofErr w:type="gramEnd"/>
    <w:r>
      <w:rPr>
        <w:color w:val="5A5A5A"/>
        <w:sz w:val="17"/>
      </w:rPr>
      <w:t xml:space="preserve">  Call for </w:t>
    </w:r>
    <w:proofErr w:type="gramStart"/>
    <w:r>
      <w:rPr>
        <w:color w:val="5A5A5A"/>
        <w:sz w:val="17"/>
      </w:rPr>
      <w:t>Papers  –</w:t>
    </w:r>
    <w:proofErr w:type="gramEnd"/>
    <w:r>
      <w:rPr>
        <w:color w:val="5A5A5A"/>
        <w:sz w:val="17"/>
      </w:rPr>
      <w:t xml:space="preserve">  page </w:t>
    </w:r>
    <w:r>
      <w:fldChar w:fldCharType="begin"/>
    </w:r>
    <w:r>
      <w:instrText>PAGE</w:instrText>
    </w:r>
    <w:r>
      <w:fldChar w:fldCharType="separate"/>
    </w:r>
    <w:r w:rsidR="000E68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E04CC" w14:textId="77777777" w:rsidR="000F460A" w:rsidRDefault="000F460A">
      <w:pPr>
        <w:spacing w:after="0" w:line="240" w:lineRule="auto"/>
      </w:pPr>
      <w:r>
        <w:separator/>
      </w:r>
    </w:p>
  </w:footnote>
  <w:footnote w:type="continuationSeparator" w:id="0">
    <w:p w14:paraId="4160BD66" w14:textId="77777777" w:rsidR="000F460A" w:rsidRDefault="000F46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78633">
    <w:abstractNumId w:val="8"/>
  </w:num>
  <w:num w:numId="2" w16cid:durableId="535583955">
    <w:abstractNumId w:val="6"/>
  </w:num>
  <w:num w:numId="3" w16cid:durableId="1304852752">
    <w:abstractNumId w:val="5"/>
  </w:num>
  <w:num w:numId="4" w16cid:durableId="1134562622">
    <w:abstractNumId w:val="4"/>
  </w:num>
  <w:num w:numId="5" w16cid:durableId="982347098">
    <w:abstractNumId w:val="7"/>
  </w:num>
  <w:num w:numId="6" w16cid:durableId="1033918171">
    <w:abstractNumId w:val="3"/>
  </w:num>
  <w:num w:numId="7" w16cid:durableId="1965034742">
    <w:abstractNumId w:val="2"/>
  </w:num>
  <w:num w:numId="8" w16cid:durableId="634720690">
    <w:abstractNumId w:val="1"/>
  </w:num>
  <w:num w:numId="9" w16cid:durableId="125346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F5D"/>
    <w:rsid w:val="000E68E4"/>
    <w:rsid w:val="000F460A"/>
    <w:rsid w:val="0015074B"/>
    <w:rsid w:val="0029639D"/>
    <w:rsid w:val="00326F90"/>
    <w:rsid w:val="004329BD"/>
    <w:rsid w:val="00457C22"/>
    <w:rsid w:val="005E060C"/>
    <w:rsid w:val="006A43AE"/>
    <w:rsid w:val="00713C2C"/>
    <w:rsid w:val="00895A8E"/>
    <w:rsid w:val="009251CD"/>
    <w:rsid w:val="0093642A"/>
    <w:rsid w:val="00AA1D8D"/>
    <w:rsid w:val="00B47730"/>
    <w:rsid w:val="00BB5D19"/>
    <w:rsid w:val="00C649AF"/>
    <w:rsid w:val="00CB0664"/>
    <w:rsid w:val="00DC19B3"/>
    <w:rsid w:val="00EE6D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8D8B4"/>
  <w14:defaultImageDpi w14:val="330"/>
  <w15:docId w15:val="{B169CB7A-0C4B-4DCD-8EBF-CDF5F38E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9BD"/>
    <w:pPr>
      <w:spacing w:after="80" w:line="259" w:lineRule="auto"/>
    </w:pPr>
    <w:rPr>
      <w:rFonts w:ascii="Aptos" w:eastAsia="Calibri" w:hAnsi="Aptos" w:cs="Calibri"/>
      <w:color w:val="1A1A1A"/>
      <w:sz w:val="21"/>
    </w:rPr>
  </w:style>
  <w:style w:type="paragraph" w:styleId="Heading1">
    <w:name w:val="heading 1"/>
    <w:basedOn w:val="Normal"/>
    <w:next w:val="Normal"/>
    <w:link w:val="Heading1Char"/>
    <w:uiPriority w:val="9"/>
    <w:qFormat/>
    <w:rsid w:val="004329BD"/>
    <w:pPr>
      <w:keepNext/>
      <w:keepLines/>
      <w:pBdr>
        <w:bottom w:val="single" w:sz="10" w:space="3" w:color="0067A1"/>
      </w:pBdr>
      <w:spacing w:before="180" w:line="240" w:lineRule="auto"/>
      <w:outlineLvl w:val="0"/>
    </w:pPr>
    <w:rPr>
      <w:rFonts w:eastAsiaTheme="majorEastAsia" w:cstheme="majorBidi"/>
      <w:b/>
      <w:bCs/>
      <w:caps/>
      <w:color w:val="0F3D5C"/>
      <w:spacing w:val="14"/>
      <w:sz w:val="25"/>
      <w:szCs w:val="28"/>
    </w:rPr>
  </w:style>
  <w:style w:type="paragraph" w:styleId="Heading2">
    <w:name w:val="heading 2"/>
    <w:basedOn w:val="Normal"/>
    <w:next w:val="Normal"/>
    <w:link w:val="Heading2Char"/>
    <w:uiPriority w:val="9"/>
    <w:unhideWhenUsed/>
    <w:qFormat/>
    <w:rsid w:val="004329BD"/>
    <w:pPr>
      <w:keepNext/>
      <w:keepLines/>
      <w:spacing w:before="150" w:after="50" w:line="240" w:lineRule="auto"/>
      <w:outlineLvl w:val="1"/>
    </w:pPr>
    <w:rPr>
      <w:rFonts w:eastAsiaTheme="majorEastAsia" w:cstheme="majorBidi"/>
      <w:b/>
      <w:bCs/>
      <w:color w:val="0067A1"/>
      <w:szCs w:val="26"/>
    </w:rPr>
  </w:style>
  <w:style w:type="paragraph" w:styleId="Heading3">
    <w:name w:val="heading 3"/>
    <w:basedOn w:val="Normal"/>
    <w:next w:val="Normal"/>
    <w:link w:val="Heading3Char"/>
    <w:uiPriority w:val="9"/>
    <w:unhideWhenUsed/>
    <w:qFormat/>
    <w:rsid w:val="004329BD"/>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329BD"/>
    <w:rPr>
      <w:rFonts w:ascii="Aptos" w:eastAsiaTheme="majorEastAsia" w:hAnsi="Aptos" w:cstheme="majorBidi"/>
      <w:b/>
      <w:bCs/>
      <w:caps/>
      <w:color w:val="0F3D5C"/>
      <w:spacing w:val="14"/>
      <w:sz w:val="25"/>
      <w:szCs w:val="28"/>
    </w:rPr>
  </w:style>
  <w:style w:type="character" w:customStyle="1" w:styleId="Heading2Char">
    <w:name w:val="Heading 2 Char"/>
    <w:basedOn w:val="DefaultParagraphFont"/>
    <w:link w:val="Heading2"/>
    <w:uiPriority w:val="9"/>
    <w:rsid w:val="004329BD"/>
    <w:rPr>
      <w:rFonts w:ascii="Aptos" w:eastAsiaTheme="majorEastAsia" w:hAnsi="Aptos" w:cstheme="majorBidi"/>
      <w:b/>
      <w:bCs/>
      <w:color w:val="0067A1"/>
      <w:sz w:val="21"/>
      <w:szCs w:val="26"/>
    </w:rPr>
  </w:style>
  <w:style w:type="character" w:customStyle="1" w:styleId="Heading3Char">
    <w:name w:val="Heading 3 Char"/>
    <w:basedOn w:val="DefaultParagraphFont"/>
    <w:link w:val="Heading3"/>
    <w:uiPriority w:val="9"/>
    <w:rsid w:val="004329BD"/>
    <w:rPr>
      <w:rFonts w:ascii="Aptos" w:eastAsiaTheme="majorEastAsia" w:hAnsi="Aptos" w:cstheme="majorBidi"/>
      <w:b/>
      <w:bCs/>
      <w:color w:val="4F81BD" w:themeColor="accent1"/>
      <w:sz w:val="2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FPBullet">
    <w:name w:val="CFP Bullet"/>
    <w:basedOn w:val="Normal"/>
    <w:qFormat/>
    <w:pPr>
      <w:spacing w:after="40" w:line="264" w:lineRule="auto"/>
      <w:ind w:left="283" w:hanging="283"/>
    </w:pPr>
  </w:style>
  <w:style w:type="paragraph" w:customStyle="1" w:styleId="CFPBullet2">
    <w:name w:val="CFP Bullet 2"/>
    <w:basedOn w:val="Normal"/>
    <w:qFormat/>
    <w:pPr>
      <w:spacing w:after="30" w:line="264" w:lineRule="auto"/>
      <w:ind w:left="539" w:hanging="255"/>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eur-ws.org/GenAI/Policy.html" TargetMode="External"/><Relationship Id="rId18" Type="http://schemas.openxmlformats.org/officeDocument/2006/relationships/hyperlink" Target="https://dblp.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ceur-ws.org/HOWTOSUBMIT.html" TargetMode="External"/><Relationship Id="rId17" Type="http://schemas.openxmlformats.org/officeDocument/2006/relationships/hyperlink" Target="https://orcid.org" TargetMode="External"/><Relationship Id="rId2" Type="http://schemas.openxmlformats.org/officeDocument/2006/relationships/numbering" Target="numbering.xml"/><Relationship Id="rId16" Type="http://schemas.openxmlformats.org/officeDocument/2006/relationships/hyperlink" Target="https://ceur-ws.org/ceur-author-agreement-ccby-tp.pdf?ver=2026-09-03" TargetMode="External"/><Relationship Id="rId20" Type="http://schemas.openxmlformats.org/officeDocument/2006/relationships/hyperlink" Target="https://kn.khmnu.edu.ua/ExplAI-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latex/templates/template-for-submissions-to-ceur-workshop-proceedings-ceur-ws-dot-org/wqyfdgftmcfw" TargetMode="External"/><Relationship Id="rId5" Type="http://schemas.openxmlformats.org/officeDocument/2006/relationships/webSettings" Target="webSettings.xml"/><Relationship Id="rId15" Type="http://schemas.openxmlformats.org/officeDocument/2006/relationships/hyperlink" Target="https://ceur-ws.org/ceur-author-agreement-ccby-ntp.pdf?ver=2026-09-03" TargetMode="External"/><Relationship Id="rId23" Type="http://schemas.openxmlformats.org/officeDocument/2006/relationships/theme" Target="theme/theme1.xml"/><Relationship Id="rId10" Type="http://schemas.openxmlformats.org/officeDocument/2006/relationships/hyperlink" Target="https://ceur-ws.org/Vol-4141/" TargetMode="External"/><Relationship Id="rId19" Type="http://schemas.openxmlformats.org/officeDocument/2006/relationships/hyperlink" Target="mailto:explai.khmnu@gmail.com" TargetMode="External"/><Relationship Id="rId4" Type="http://schemas.openxmlformats.org/officeDocument/2006/relationships/settings" Target="settings.xml"/><Relationship Id="rId9" Type="http://schemas.openxmlformats.org/officeDocument/2006/relationships/hyperlink" Target="https://ceur-ws.org/Vol-4141/" TargetMode="External"/><Relationship Id="rId14" Type="http://schemas.openxmlformats.org/officeDocument/2006/relationships/hyperlink" Target="https://ceur-ws.org/GenAI/Taxonomy.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7849</Words>
  <Characters>4475</Characters>
  <Application>Microsoft Office Word</Application>
  <DocSecurity>0</DocSecurity>
  <Lines>37</Lines>
  <Paragraphs>24</Paragraphs>
  <ScaleCrop>false</ScaleCrop>
  <HeadingPairs>
    <vt:vector size="2" baseType="variant">
      <vt:variant>
        <vt:lpstr>Title</vt:lpstr>
      </vt:variant>
      <vt:variant>
        <vt:i4>1</vt:i4>
      </vt:variant>
    </vt:vector>
  </HeadingPairs>
  <TitlesOfParts>
    <vt:vector size="1" baseType="lpstr">
      <vt:lpstr>ExplAI-2026 Call for Papers</vt:lpstr>
    </vt:vector>
  </TitlesOfParts>
  <Manager/>
  <Company/>
  <LinksUpToDate>false</LinksUpToDate>
  <CharactersWithSpaces>12300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ExplAI-2026 Call for Papers</dc:title>
  <dc:subject>2nd International Workshop on Advanced AI in Explainability and Ethics for the Sustainable Development Goals</dc:subject>
  <dc:creator>ExplAI-2026 Organizing Committee</dc:creator>
  <cp:keywords>explainable AI; AI ethics; trustworthy AI; sustainable development goals; CEUR-WS; call for papers</cp:keywords>
  <dc:description>Khmelnytskyi National University, Khmelnytskyi, Ukraine, 13 November 2026</dc:description>
  <cp:lastModifiedBy>Павло Радюк</cp:lastModifiedBy>
  <cp:revision>10</cp:revision>
  <dcterms:created xsi:type="dcterms:W3CDTF">2013-12-23T23:15:00Z</dcterms:created>
  <dcterms:modified xsi:type="dcterms:W3CDTF">2026-09-11T10:26:00Z</dcterms:modified>
  <cp:category>Call for Papers</cp:category>
</cp:coreProperties>
</file>