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emarks"/>
    <w:p>
      <w:pPr>
        <w:pStyle w:val="Heading1"/>
      </w:pPr>
      <w:r>
        <w:t xml:space="preserve">remarks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Рецензент</w:t>
            </w:r>
          </w:p>
        </w:tc>
        <w:tc>
          <w:tcPr/>
          <w:p>
            <w:pPr>
              <w:pStyle w:val="Compact"/>
              <w:jc w:val="left"/>
            </w:pPr>
            <w:r>
              <w:t xml:space="preserve">№ зауваження</w:t>
            </w:r>
          </w:p>
        </w:tc>
        <w:tc>
          <w:tcPr/>
          <w:p>
            <w:pPr>
              <w:pStyle w:val="Compact"/>
              <w:jc w:val="left"/>
            </w:pPr>
            <w:r>
              <w:t xml:space="preserve">Відповідь на зауваження</w:t>
            </w:r>
          </w:p>
        </w:tc>
      </w:tr>
      <w:tr>
        <w:tc>
          <w:tcPr/>
          <w:p>
            <w:pPr>
              <w:pStyle w:val="Compact"/>
              <w:jc w:val="left"/>
            </w:pPr>
            <w:r>
              <w:t xml:space="preserve">Говорущенко Т.О.</w:t>
            </w:r>
          </w:p>
        </w:tc>
        <w:tc>
          <w:tcPr/>
          <w:p>
            <w:pPr>
              <w:pStyle w:val="Compact"/>
              <w:jc w:val="left"/>
            </w:pPr>
            <w:r>
              <w:t xml:space="preserve">1</w:t>
            </w:r>
          </w:p>
        </w:tc>
        <w:tc>
          <w:tcPr/>
          <w:p>
            <w:pPr>
              <w:pStyle w:val="Compact"/>
              <w:jc w:val="left"/>
            </w:pPr>
            <w:r>
              <w:t xml:space="preserve">Зауваження враховано. У тексті дисертації деталізовано інформацію щодо розміру датасета та кількості представників кожного класу. Оновлено рисунок матриці помилок із чітким зазначенням типу нормалізації по горизонтальних рядках. Відповідні зміни та розгорнуті пояснення наведено в підрозділі 4.3.1 (сторінка 134, рисунок 4.16) та на сторінці 135 (таблиця 4.7).</w:t>
            </w:r>
          </w:p>
        </w:tc>
      </w:tr>
      <w:tr>
        <w:tc>
          <w:tcPr/>
          <w:p>
            <w:pPr>
              <w:pStyle w:val="Compact"/>
              <w:jc w:val="left"/>
            </w:pPr>
            <w:r>
              <w:t xml:space="preserve">Говорущенко Т.О.</w:t>
            </w:r>
          </w:p>
        </w:tc>
        <w:tc>
          <w:tcPr/>
          <w:p>
            <w:pPr>
              <w:pStyle w:val="Compact"/>
              <w:jc w:val="left"/>
            </w:pPr>
            <w:r>
              <w:t xml:space="preserve">2</w:t>
            </w:r>
          </w:p>
        </w:tc>
        <w:tc>
          <w:tcPr/>
          <w:p>
            <w:pPr>
              <w:pStyle w:val="Compact"/>
              <w:jc w:val="left"/>
            </w:pPr>
            <w:r>
              <w:t xml:space="preserve">Зауваження враховано. У тексті роботи додано розгорнуте обґрунтування використання інструменту MetaMap для англомовних текстів та описано механізми адаптації методу для української мови (через попередній переклад або україномовні NER-модулі). Також наведено коментарі щодо впливу помилок MetaMap на загальну точність. Зміни внесено в підрозділі 2.2.1 (сторінка 70) та підрозділі 2.2.3 (сторінки 78–79).</w:t>
            </w:r>
          </w:p>
        </w:tc>
      </w:tr>
      <w:tr>
        <w:tc>
          <w:tcPr/>
          <w:p>
            <w:pPr>
              <w:pStyle w:val="Compact"/>
              <w:jc w:val="left"/>
            </w:pPr>
            <w:r>
              <w:t xml:space="preserve">Говорущенко Т.О.</w:t>
            </w:r>
          </w:p>
        </w:tc>
        <w:tc>
          <w:tcPr/>
          <w:p>
            <w:pPr>
              <w:pStyle w:val="Compact"/>
              <w:jc w:val="left"/>
            </w:pPr>
            <w:r>
              <w:t xml:space="preserve">3</w:t>
            </w:r>
          </w:p>
        </w:tc>
        <w:tc>
          <w:tcPr/>
          <w:p>
            <w:pPr>
              <w:pStyle w:val="Compact"/>
              <w:jc w:val="left"/>
            </w:pPr>
            <w:r>
              <w:t xml:space="preserve">Зауваження враховано. У розділі «Вступ» суттєво розширено перелік вітчизняних та іноземних науковців, які зробили вагомий внесок у розвиток методів глибокого навчання та медичної діагностики. Додано відповідні посилання на їхні фундаментальні праці, що відображає актуальний стан досліджень у галузі. Оновлений перелік учених наведено в тексті на сторінках 21–22.</w:t>
            </w:r>
          </w:p>
        </w:tc>
      </w:tr>
      <w:tr>
        <w:tc>
          <w:tcPr/>
          <w:p>
            <w:pPr>
              <w:pStyle w:val="Compact"/>
              <w:jc w:val="left"/>
            </w:pPr>
            <w:r>
              <w:t xml:space="preserve">Говорущенко Т.О.</w:t>
            </w:r>
          </w:p>
        </w:tc>
        <w:tc>
          <w:tcPr/>
          <w:p>
            <w:pPr>
              <w:pStyle w:val="Compact"/>
              <w:jc w:val="left"/>
            </w:pPr>
            <w:r>
              <w:t xml:space="preserve">4</w:t>
            </w:r>
          </w:p>
        </w:tc>
        <w:tc>
          <w:tcPr/>
          <w:p>
            <w:pPr>
              <w:pStyle w:val="Compact"/>
              <w:jc w:val="left"/>
            </w:pPr>
            <w:r>
              <w:t xml:space="preserve">Зауваження враховано. У тексті дисертаційної роботи термін «медичне висновування» замінено на загальноприйнятий термін «логічне виведення» відповідно до норм української наукової термінології. Усі відповідні формулювання, включно з описом наукової новизни та змістом розділів, було належним чином відредаговано. Виправлення наведено, зокрема, у пункті наукової новизни (сторінка 4) та підрозділі 2.2 (сторінки 68–69).</w:t>
            </w:r>
          </w:p>
        </w:tc>
      </w:tr>
      <w:tr>
        <w:tc>
          <w:tcPr/>
          <w:p>
            <w:pPr>
              <w:pStyle w:val="Compact"/>
              <w:jc w:val="left"/>
            </w:pPr>
            <w:r>
              <w:t xml:space="preserve">Говорущенко Т.О.</w:t>
            </w:r>
          </w:p>
        </w:tc>
        <w:tc>
          <w:tcPr/>
          <w:p>
            <w:pPr>
              <w:pStyle w:val="Compact"/>
              <w:jc w:val="left"/>
            </w:pPr>
            <w:r>
              <w:t xml:space="preserve">5</w:t>
            </w:r>
          </w:p>
        </w:tc>
        <w:tc>
          <w:tcPr/>
          <w:p>
            <w:pPr>
              <w:pStyle w:val="Compact"/>
              <w:jc w:val="left"/>
            </w:pPr>
            <w:r>
              <w:t xml:space="preserve">Зауваження враховано. У тексті роботи виправлено стилістичну неточність: термін «спроєктовано» щодо методів замінено на «розроблено». Термін «спроєктувати» залишено виключно для опису архітектури програмної системи, що відповідає правилам інженерної термінології. Відповідні корективи внесено до завдань дослідження (сторінка 23) та пунктів наукової новизни у вступі (сторінки 4, 24–25).</w:t>
            </w:r>
          </w:p>
        </w:tc>
      </w:tr>
      <w:tr>
        <w:tc>
          <w:tcPr/>
          <w:p>
            <w:pPr>
              <w:pStyle w:val="Compact"/>
              <w:jc w:val="left"/>
            </w:pPr>
            <w:r>
              <w:t xml:space="preserve">Говорущенко Т.О.</w:t>
            </w:r>
          </w:p>
        </w:tc>
        <w:tc>
          <w:tcPr/>
          <w:p>
            <w:pPr>
              <w:pStyle w:val="Compact"/>
              <w:jc w:val="left"/>
            </w:pPr>
            <w:r>
              <w:t xml:space="preserve">6</w:t>
            </w:r>
          </w:p>
        </w:tc>
        <w:tc>
          <w:tcPr/>
          <w:p>
            <w:pPr>
              <w:pStyle w:val="Compact"/>
              <w:jc w:val="left"/>
            </w:pPr>
            <w:r>
              <w:t xml:space="preserve">Зауваження враховано. Титульний аркуш дисертаційної роботи приведено в повну відповідність до чинних вимог оформлення кваліфікаційних наукових праць. Зокрема, додано обов’язковий абзац-дисклеймер щодо використання технологій штучного інтелекту під час підготовки тексту дисертації із підтвердженням факту особистої перевірки матеріалу. Зміни відображено на титульному аркуші роботи (сторінка 1).</w:t>
            </w:r>
          </w:p>
        </w:tc>
      </w:tr>
      <w:tr>
        <w:tc>
          <w:tcPr/>
          <w:p>
            <w:pPr>
              <w:pStyle w:val="Compact"/>
              <w:jc w:val="left"/>
            </w:pPr>
            <w:r>
              <w:t xml:space="preserve">Говорущенко Т.О.</w:t>
            </w:r>
          </w:p>
        </w:tc>
        <w:tc>
          <w:tcPr/>
          <w:p>
            <w:pPr>
              <w:pStyle w:val="Compact"/>
              <w:jc w:val="left"/>
            </w:pPr>
            <w:r>
              <w:t xml:space="preserve">7</w:t>
            </w:r>
          </w:p>
        </w:tc>
        <w:tc>
          <w:tcPr/>
          <w:p>
            <w:pPr>
              <w:pStyle w:val="Compact"/>
              <w:jc w:val="left"/>
            </w:pPr>
            <w:r>
              <w:t xml:space="preserve">Зауваження враховано. У пунктах наукової новизни та в назвах розділів і підрозділів вилучено англомовні абревіатури методів. Натомість використано повні описові україномовні назви. Абревіатури (наприклад, EMTKD, OPNI, SKIF-Seg) наводяться в дужках лише в основному тексті для зручності читання. Зміни внесено до тексту Вступу (сторінки 4–5, 24–25) та Змісту (сторінки 16–18).</w:t>
            </w:r>
          </w:p>
        </w:tc>
      </w:tr>
      <w:tr>
        <w:tc>
          <w:tcPr/>
          <w:p>
            <w:pPr>
              <w:pStyle w:val="Compact"/>
              <w:jc w:val="left"/>
            </w:pPr>
            <w:r>
              <w:t xml:space="preserve">Говорущенко Т.О.</w:t>
            </w:r>
          </w:p>
        </w:tc>
        <w:tc>
          <w:tcPr/>
          <w:p>
            <w:pPr>
              <w:pStyle w:val="Compact"/>
              <w:jc w:val="left"/>
            </w:pPr>
            <w:r>
              <w:t xml:space="preserve">8</w:t>
            </w:r>
          </w:p>
        </w:tc>
        <w:tc>
          <w:tcPr/>
          <w:p>
            <w:pPr>
              <w:pStyle w:val="Compact"/>
              <w:jc w:val="left"/>
            </w:pPr>
            <w:r>
              <w:t xml:space="preserve">Зауваження враховано. У роботу додано окремий підрозділ, де детально проаналізовано високу обчислювальну складність етапу навчання запропонованих моделей. Наведено аргументацію, що навчання є одноразовою ресурсомісткою процедурою, яка повністю компенсується швидкістю та ефективністю роботи компактної моделі на етапі інференсу. Зміни та обґрунтування наведено в підрозділі 2.1.3 (сторінки 63–65).</w:t>
            </w:r>
          </w:p>
        </w:tc>
      </w:tr>
      <w:tr>
        <w:tc>
          <w:tcPr/>
          <w:p>
            <w:pPr>
              <w:pStyle w:val="Compact"/>
              <w:jc w:val="left"/>
            </w:pPr>
            <w:r>
              <w:t xml:space="preserve">Говорущенко Т.О.</w:t>
            </w:r>
          </w:p>
        </w:tc>
        <w:tc>
          <w:tcPr/>
          <w:p>
            <w:pPr>
              <w:pStyle w:val="Compact"/>
              <w:jc w:val="left"/>
            </w:pPr>
            <w:r>
              <w:t xml:space="preserve">9</w:t>
            </w:r>
          </w:p>
        </w:tc>
        <w:tc>
          <w:tcPr/>
          <w:p>
            <w:pPr>
              <w:pStyle w:val="Compact"/>
              <w:jc w:val="left"/>
            </w:pPr>
            <w:r>
              <w:t xml:space="preserve">Зауваження враховано. У тексті дисертації розширено опис обмежень розробленого методу встановлення смислових зв’язків. Детально прокоментовано пряму залежність точності системи від якості попереднього оброблення тексту інструментом MetaMap та від рівня повноти зовнішньої медичної онтології UMLS. Відповідні пояснення та аналіз обмежень додано до підрозділу 2.2.3 (сторінки 78–79) та загальних висновків (сторінка 150).</w:t>
            </w:r>
          </w:p>
        </w:tc>
      </w:tr>
      <w:tr>
        <w:tc>
          <w:tcPr/>
          <w:p>
            <w:pPr>
              <w:pStyle w:val="Compact"/>
              <w:jc w:val="left"/>
            </w:pPr>
            <w:r>
              <w:t xml:space="preserve">Говорущенко Т.О.</w:t>
            </w:r>
          </w:p>
        </w:tc>
        <w:tc>
          <w:tcPr/>
          <w:p>
            <w:pPr>
              <w:pStyle w:val="Compact"/>
              <w:jc w:val="left"/>
            </w:pPr>
            <w:r>
              <w:t xml:space="preserve">10</w:t>
            </w:r>
          </w:p>
        </w:tc>
        <w:tc>
          <w:tcPr/>
          <w:p>
            <w:pPr>
              <w:pStyle w:val="Compact"/>
              <w:jc w:val="left"/>
            </w:pPr>
            <w:r>
              <w:t xml:space="preserve">Зауваження враховано. У тексті роботи вилучено непідтверджені твердження щодо конкретних часових інтервалів перенавчання моделі (наприклад, «раз на три роки»). Натомість додано науково обґрунтовані аргументи щодо необхідності адаптації системи за умови зміни домену даних або появи нових типів медичного обладнання. Відповідні аргументи наведено в розділі 1 (сторінки 34, 43) та розділі 4 (сторінка 147).</w:t>
            </w:r>
          </w:p>
        </w:tc>
      </w:tr>
      <w:tr>
        <w:tc>
          <w:tcPr/>
          <w:p>
            <w:pPr>
              <w:pStyle w:val="Compact"/>
              <w:jc w:val="left"/>
            </w:pPr>
            <w:r>
              <w:t xml:space="preserve">Говорущенко Т.О.</w:t>
            </w:r>
          </w:p>
        </w:tc>
        <w:tc>
          <w:tcPr/>
          <w:p>
            <w:pPr>
              <w:pStyle w:val="Compact"/>
              <w:jc w:val="left"/>
            </w:pPr>
            <w:r>
              <w:t xml:space="preserve">11</w:t>
            </w:r>
          </w:p>
        </w:tc>
        <w:tc>
          <w:tcPr/>
          <w:p>
            <w:pPr>
              <w:pStyle w:val="Compact"/>
              <w:jc w:val="left"/>
            </w:pPr>
            <w:r>
              <w:t xml:space="preserve">Зауваження враховано. В описі результатів дослідження та загальних висновках додано інформацію щодо високих вимог розробленої системи до апаратного забезпечення. Прямо вказано, що для забезпечення роботи системи в режимі реального часу необхідна наявність сучасних графічних прискорювачів. Відповідні обмеження зафіксовано в підрозділі 4.5 (сторінка 147) та в загальних висновках роботи (сторінка 151).</w:t>
            </w:r>
          </w:p>
        </w:tc>
      </w:tr>
      <w:tr>
        <w:tc>
          <w:tcPr/>
          <w:p>
            <w:pPr>
              <w:pStyle w:val="Compact"/>
              <w:jc w:val="left"/>
            </w:pPr>
            <w:r>
              <w:t xml:space="preserve">Говорущенко Т.О.</w:t>
            </w:r>
          </w:p>
        </w:tc>
        <w:tc>
          <w:tcPr/>
          <w:p>
            <w:pPr>
              <w:pStyle w:val="Compact"/>
              <w:jc w:val="left"/>
            </w:pPr>
            <w:r>
              <w:t xml:space="preserve">12</w:t>
            </w:r>
          </w:p>
        </w:tc>
        <w:tc>
          <w:tcPr/>
          <w:p>
            <w:pPr>
              <w:pStyle w:val="Compact"/>
              <w:jc w:val="left"/>
            </w:pPr>
            <w:r>
              <w:t xml:space="preserve">Зауваження враховано. З тексту дисертації вилучено надлишкові та категоричні твердження, такі як «висока статистична точність» та «клінічна валідність результатів». Натомість у підрозділ 2.2 додано об’єктивне наукове обґрунтування вибору інструменту MetaMap для стандартизованого вилучення концептів із тексту. Зміни відображено в підрозділі 2.2.1 (сторінка 70) та підрозділі 2.2.3 (сторінка 78).</w:t>
            </w:r>
          </w:p>
        </w:tc>
      </w:tr>
      <w:tr>
        <w:tc>
          <w:tcPr/>
          <w:p>
            <w:pPr>
              <w:pStyle w:val="Compact"/>
              <w:jc w:val="left"/>
            </w:pPr>
            <w:r>
              <w:t xml:space="preserve">Гнатчук Є.Г.</w:t>
            </w:r>
          </w:p>
        </w:tc>
        <w:tc>
          <w:tcPr/>
          <w:p>
            <w:pPr>
              <w:pStyle w:val="Compact"/>
              <w:jc w:val="left"/>
            </w:pPr>
            <w:r>
              <w:t xml:space="preserve">1</w:t>
            </w:r>
          </w:p>
        </w:tc>
        <w:tc>
          <w:tcPr/>
          <w:p>
            <w:pPr>
              <w:pStyle w:val="Compact"/>
              <w:jc w:val="left"/>
            </w:pPr>
            <w:r>
              <w:t xml:space="preserve">Зауваження враховано. У роботу додано новий підрозділ, присвячений детальному аналізу обчислювальної складності. Наведено порівняльну таблицю часу навчання та кількості параметрів запропонованого методу мульти-вчительської дистиляції з класичними підходами. Продемонстровано, що збільшення часу навчання компенсується ефективністю інференсу. Зміни внесено в підрозділ 2.1.3 (сторінки 63–64, таблиця 2.1).</w:t>
            </w:r>
          </w:p>
        </w:tc>
      </w:tr>
      <w:tr>
        <w:tc>
          <w:tcPr/>
          <w:p>
            <w:pPr>
              <w:pStyle w:val="Compact"/>
              <w:jc w:val="left"/>
            </w:pPr>
            <w:r>
              <w:t xml:space="preserve">Гнатчук Є.Г.</w:t>
            </w:r>
          </w:p>
        </w:tc>
        <w:tc>
          <w:tcPr/>
          <w:p>
            <w:pPr>
              <w:pStyle w:val="Compact"/>
              <w:jc w:val="left"/>
            </w:pPr>
            <w:r>
              <w:t xml:space="preserve">2</w:t>
            </w:r>
          </w:p>
        </w:tc>
        <w:tc>
          <w:tcPr/>
          <w:p>
            <w:pPr>
              <w:pStyle w:val="Compact"/>
              <w:jc w:val="left"/>
            </w:pPr>
            <w:r>
              <w:t xml:space="preserve">Зауваження враховано. У тексті чітко розмежовано вимоги до етапу навчання та етапу інференсу. Обґрунтовано, що ресурсомістке навчання тривалістю 12 годин виконується одноразово на потужних серверах, тоді як компактна модель-учень, отримана в результаті дистиляції, легко розгортається на периферійних пристроях із мінімальними апаратними вимогами. Відповідні пояснення наведено в підрозділі 2.1.3 (сторінки 64–65).</w:t>
            </w:r>
          </w:p>
        </w:tc>
      </w:tr>
      <w:tr>
        <w:tc>
          <w:tcPr/>
          <w:p>
            <w:pPr>
              <w:pStyle w:val="Compact"/>
              <w:jc w:val="left"/>
            </w:pPr>
            <w:r>
              <w:t xml:space="preserve">Гнатчук Є.Г.</w:t>
            </w:r>
          </w:p>
        </w:tc>
        <w:tc>
          <w:tcPr/>
          <w:p>
            <w:pPr>
              <w:pStyle w:val="Compact"/>
              <w:jc w:val="left"/>
            </w:pPr>
            <w:r>
              <w:t xml:space="preserve">3</w:t>
            </w:r>
          </w:p>
        </w:tc>
        <w:tc>
          <w:tcPr/>
          <w:p>
            <w:pPr>
              <w:pStyle w:val="Compact"/>
              <w:jc w:val="left"/>
            </w:pPr>
            <w:r>
              <w:t xml:space="preserve">Зауваження враховано. У роботі детально розкрито питання адаптації розробленого методу оброблення природної мови до україномовних медичних текстів. Описано підходи щодо використання модулів машинного перекладу або спеціалізованих багатомовних моделей (наприклад, mBERT) як ефективної альтернативи для подолання мовного бар’єра. Відповідний аналіз та обґрунтування додано в підрозділі 2.2.1 (сторінка 70).</w:t>
            </w:r>
          </w:p>
        </w:tc>
      </w:tr>
      <w:tr>
        <w:tc>
          <w:tcPr/>
          <w:p>
            <w:pPr>
              <w:pStyle w:val="Compact"/>
              <w:jc w:val="left"/>
            </w:pPr>
            <w:r>
              <w:t xml:space="preserve">Гнатчук Є.Г.</w:t>
            </w:r>
          </w:p>
        </w:tc>
        <w:tc>
          <w:tcPr/>
          <w:p>
            <w:pPr>
              <w:pStyle w:val="Compact"/>
              <w:jc w:val="left"/>
            </w:pPr>
            <w:r>
              <w:t xml:space="preserve">4</w:t>
            </w:r>
          </w:p>
        </w:tc>
        <w:tc>
          <w:tcPr/>
          <w:p>
            <w:pPr>
              <w:pStyle w:val="Compact"/>
              <w:jc w:val="left"/>
            </w:pPr>
            <w:r>
              <w:t xml:space="preserve">Зауваження враховано. У тексті дисертації розширено опис процесу формалізації знань. Деталізовано математичні перетворення, що демонструють, як саме медичні онтології конвертуються у вектори вбудовування (за допомогою MultE), а клінічні протоколи – у зважену матрицю суміжності графа. Відповідні математичні формалізації наведено в підрозділі 2.2.2 (сторінки 72–74) та підрозділі 3.3.2 (сторінки 101–102).</w:t>
            </w:r>
          </w:p>
        </w:tc>
      </w:tr>
      <w:tr>
        <w:tc>
          <w:tcPr/>
          <w:p>
            <w:pPr>
              <w:pStyle w:val="Compact"/>
              <w:jc w:val="left"/>
            </w:pPr>
            <w:r>
              <w:t xml:space="preserve">Гнатчук Є.Г.</w:t>
            </w:r>
          </w:p>
        </w:tc>
        <w:tc>
          <w:tcPr/>
          <w:p>
            <w:pPr>
              <w:pStyle w:val="Compact"/>
              <w:jc w:val="left"/>
            </w:pPr>
            <w:r>
              <w:t xml:space="preserve">5</w:t>
            </w:r>
          </w:p>
        </w:tc>
        <w:tc>
          <w:tcPr/>
          <w:p>
            <w:pPr>
              <w:pStyle w:val="Compact"/>
              <w:jc w:val="left"/>
            </w:pPr>
            <w:r>
              <w:t xml:space="preserve">Зауваження враховано. У роботу додано опис механізму обробки помилок препроцесингу тексту. Зазначено, що у випадку збою MetaMap або неможливості вилучення концепту, система автоматично присвоює нульовий вектор онтологічних знань, переходячи в режим роботи виключно на основі лексичних контекстуальних векторів BioELMo. Цей механізм відмовостійкості описано в підрозділі 2.2.2 (сторінка 72).</w:t>
            </w:r>
          </w:p>
        </w:tc>
      </w:tr>
      <w:tr>
        <w:tc>
          <w:tcPr/>
          <w:p>
            <w:pPr>
              <w:pStyle w:val="Compact"/>
              <w:jc w:val="left"/>
            </w:pPr>
            <w:r>
              <w:t xml:space="preserve">Гнатчук Є.Г.</w:t>
            </w:r>
          </w:p>
        </w:tc>
        <w:tc>
          <w:tcPr/>
          <w:p>
            <w:pPr>
              <w:pStyle w:val="Compact"/>
              <w:jc w:val="left"/>
            </w:pPr>
            <w:r>
              <w:t xml:space="preserve">6</w:t>
            </w:r>
          </w:p>
        </w:tc>
        <w:tc>
          <w:tcPr/>
          <w:p>
            <w:pPr>
              <w:pStyle w:val="Compact"/>
              <w:jc w:val="left"/>
            </w:pPr>
            <w:r>
              <w:t xml:space="preserve">Зауваження враховано. У тексті дисертації проаналізовано проблему можливої нестабільності градієнтів через ускладнення цільової функції. Для її вирішення обґрунтовано використання функцій знакової відстані (SDF), що забезпечують гладкість, а також впроваджено стратегію динамічного зважування компонентів втрат («поступове прогрівання»). Опис цих оптимізаційних механізмів наведено в підрозділах 3.2.1 та 3.2.2 (сторінки 87, 91–92).</w:t>
            </w:r>
          </w:p>
        </w:tc>
      </w:tr>
      <w:tr>
        <w:tc>
          <w:tcPr/>
          <w:p>
            <w:pPr>
              <w:pStyle w:val="Compact"/>
              <w:jc w:val="left"/>
            </w:pPr>
            <w:r>
              <w:t xml:space="preserve">Гнатчук Є.Г.</w:t>
            </w:r>
          </w:p>
        </w:tc>
        <w:tc>
          <w:tcPr/>
          <w:p>
            <w:pPr>
              <w:pStyle w:val="Compact"/>
              <w:jc w:val="left"/>
            </w:pPr>
            <w:r>
              <w:t xml:space="preserve">7</w:t>
            </w:r>
          </w:p>
        </w:tc>
        <w:tc>
          <w:tcPr/>
          <w:p>
            <w:pPr>
              <w:pStyle w:val="Compact"/>
              <w:jc w:val="left"/>
            </w:pPr>
            <w:r>
              <w:t xml:space="preserve">Зауваження враховано. Для розв’язання проблеми семантичної інтерпретованості в роботу впроваджено механізм глобальної субдискретизації з увагою (GAP) для графових мереж. Цей механізм дає змогу не лише локалізувати зону, а й кількісно оцінити вплив конкретної анатомічної структури або її морфологічних особливостей на формування фінального клінічного діагнозу. Відповідні роз’яснення додано в підрозділ 3.3.2 (сторінки 103–104).</w:t>
            </w:r>
          </w:p>
        </w:tc>
      </w:tr>
      <w:tr>
        <w:tc>
          <w:tcPr/>
          <w:p>
            <w:pPr>
              <w:pStyle w:val="Compact"/>
              <w:jc w:val="left"/>
            </w:pPr>
            <w:r>
              <w:t xml:space="preserve">Гнатчук Є.Г.</w:t>
            </w:r>
          </w:p>
        </w:tc>
        <w:tc>
          <w:tcPr/>
          <w:p>
            <w:pPr>
              <w:pStyle w:val="Compact"/>
              <w:jc w:val="left"/>
            </w:pPr>
            <w:r>
              <w:t xml:space="preserve">8</w:t>
            </w:r>
          </w:p>
        </w:tc>
        <w:tc>
          <w:tcPr/>
          <w:p>
            <w:pPr>
              <w:pStyle w:val="Compact"/>
              <w:jc w:val="left"/>
            </w:pPr>
            <w:r>
              <w:t xml:space="preserve">Зауваження враховано. До експериментального розділу додано кількісну оцінку внеску механізмів уваги та інтеграції знань у загальну точність. Проведено комплексні абляційні дослідження (Ablation Studies), що статистично підтверджують ефективність запропонованих модулів через вимірювання зміни точності при їхньому послідовному відключенні. Результати кількісної валідації наведено в підрозділах 4.2.2 та 4.4.2 (таблиця 4.4, сторінка 125; таблиця 4.10, сторінка 140).</w:t>
            </w:r>
          </w:p>
        </w:tc>
      </w:tr>
      <w:tr>
        <w:tc>
          <w:tcPr/>
          <w:p>
            <w:pPr>
              <w:pStyle w:val="Compact"/>
              <w:jc w:val="left"/>
            </w:pPr>
            <w:r>
              <w:t xml:space="preserve">Гнатчук Є.Г.</w:t>
            </w:r>
          </w:p>
        </w:tc>
        <w:tc>
          <w:tcPr/>
          <w:p>
            <w:pPr>
              <w:pStyle w:val="Compact"/>
              <w:jc w:val="left"/>
            </w:pPr>
            <w:r>
              <w:t xml:space="preserve">9</w:t>
            </w:r>
          </w:p>
        </w:tc>
        <w:tc>
          <w:tcPr/>
          <w:p>
            <w:pPr>
              <w:pStyle w:val="Compact"/>
              <w:jc w:val="left"/>
            </w:pPr>
            <w:r>
              <w:t xml:space="preserve">Зауваження враховано. Для підтвердження клінічної валідності отриманих результатів у роботу додано діаграму Бланда-Альтмана. Вона демонструє високий рівень статистичної клінічної узгодженості між розрахованими автоматично за допомогою масок нейромережі об’ємами лівого шлуночка та експертними оцінками, що були виконані лікарями-діагностами вручну. Аналіз клінічної валідності наведено в підрозділі 4.4.2 (сторінка 145, рисунок 4.25).</w:t>
            </w:r>
          </w:p>
        </w:tc>
      </w:tr>
      <w:tr>
        <w:tc>
          <w:tcPr/>
          <w:p>
            <w:pPr>
              <w:pStyle w:val="Compact"/>
              <w:jc w:val="left"/>
            </w:pPr>
            <w:r>
              <w:t xml:space="preserve">Кисіль Т.М.</w:t>
            </w:r>
          </w:p>
        </w:tc>
        <w:tc>
          <w:tcPr/>
          <w:p>
            <w:pPr>
              <w:pStyle w:val="Compact"/>
              <w:jc w:val="left"/>
            </w:pPr>
            <w:r>
              <w:t xml:space="preserve">1</w:t>
            </w:r>
          </w:p>
        </w:tc>
        <w:tc>
          <w:tcPr/>
          <w:p>
            <w:pPr>
              <w:pStyle w:val="Compact"/>
              <w:jc w:val="left"/>
            </w:pPr>
            <w:r>
              <w:t xml:space="preserve">Зауваження враховано. У дисертації розширено аналіз обчислювальної складності навчання запропонованого методу EMTKD. Наведено порівняльну характеристику часу навчання та кількості параметрів із базовими аналогами. Також обґрунтовано використання сучасних оптимізованих провайдерів виконання та апаратних прискорювачів для забезпечення стійкого балансу між ресурсомісткістю та якістю навчання. Відповідні зміни внесено в підрозділ 2.1.3 (сторінки 63–65, таблиця 2.1).</w:t>
            </w:r>
          </w:p>
        </w:tc>
      </w:tr>
      <w:tr>
        <w:tc>
          <w:tcPr/>
          <w:p>
            <w:pPr>
              <w:pStyle w:val="Compact"/>
              <w:jc w:val="left"/>
            </w:pPr>
            <w:r>
              <w:t xml:space="preserve">Кисіль Т.М.</w:t>
            </w:r>
          </w:p>
        </w:tc>
        <w:tc>
          <w:tcPr/>
          <w:p>
            <w:pPr>
              <w:pStyle w:val="Compact"/>
              <w:jc w:val="left"/>
            </w:pPr>
            <w:r>
              <w:t xml:space="preserve">2</w:t>
            </w:r>
          </w:p>
        </w:tc>
        <w:tc>
          <w:tcPr/>
          <w:p>
            <w:pPr>
              <w:pStyle w:val="Compact"/>
              <w:jc w:val="left"/>
            </w:pPr>
            <w:r>
              <w:t xml:space="preserve">Зауваження враховано. У роботі проаналізовано вплив ресурсомісткості інструменту MetaMap на загальну швидкодію системи. Для оптимізації часу обробки текстів у реальному часі запропоновано та описано використання механізмів кешування для часто вживаних медичних фраз. Вказане технічне обмеження також зафіксовано як вагомий напрям для подальших досліджень. Пояснення додано до підрозділів 2.2.1 та 2.2.3 (сторінки 71, 79).</w:t>
            </w:r>
          </w:p>
        </w:tc>
      </w:tr>
      <w:tr>
        <w:tc>
          <w:tcPr/>
          <w:p>
            <w:pPr>
              <w:pStyle w:val="Compact"/>
              <w:jc w:val="left"/>
            </w:pPr>
            <w:r>
              <w:t xml:space="preserve">Кисіль Т.М.</w:t>
            </w:r>
          </w:p>
        </w:tc>
        <w:tc>
          <w:tcPr/>
          <w:p>
            <w:pPr>
              <w:pStyle w:val="Compact"/>
              <w:jc w:val="left"/>
            </w:pPr>
            <w:r>
              <w:t xml:space="preserve">3</w:t>
            </w:r>
          </w:p>
        </w:tc>
        <w:tc>
          <w:tcPr/>
          <w:p>
            <w:pPr>
              <w:pStyle w:val="Compact"/>
              <w:jc w:val="left"/>
            </w:pPr>
            <w:r>
              <w:t xml:space="preserve">Зауваження враховано. У тексті дисертації надано формалізовані рекомендації щодо вибору гіперпараметрів функції втрат, пояснюючи пріоритетність різних вагових коефіцієнтів на основі балансу градієнтів. Також деталізовано математичний опис стратегії «поступового прогрівання» із застосуванням сигмоїдальної функції для стабілізації збіжності моделі на нових даних. Відповідні пояснення наведено в підрозділі 3.2.2 (сторінка 92, формула 3.10).</w:t>
            </w:r>
          </w:p>
        </w:tc>
      </w:tr>
      <w:tr>
        <w:tc>
          <w:tcPr/>
          <w:p>
            <w:pPr>
              <w:pStyle w:val="Compact"/>
              <w:jc w:val="left"/>
            </w:pPr>
            <w:r>
              <w:t xml:space="preserve">Кисіль Т.М.</w:t>
            </w:r>
          </w:p>
        </w:tc>
        <w:tc>
          <w:tcPr/>
          <w:p>
            <w:pPr>
              <w:pStyle w:val="Compact"/>
              <w:jc w:val="left"/>
            </w:pPr>
            <w:r>
              <w:t xml:space="preserve">4</w:t>
            </w:r>
          </w:p>
        </w:tc>
        <w:tc>
          <w:tcPr/>
          <w:p>
            <w:pPr>
              <w:pStyle w:val="Compact"/>
              <w:jc w:val="left"/>
            </w:pPr>
            <w:r>
              <w:t xml:space="preserve">Зауваження враховано. До тексту додано розгорнуте обґрунтування вибору значень вагових коефіцієнтів (1.0, 0.5, 0.5). Пояснено, що такі пропорції встановлені на основі емпіричного балансу градієнтів, де пріоритет віддається втраті вкладеності як найбільш критичній для анатомічної коректності, тоді як інші штрафи діють як допоміжні регуляризатори. Обґрунтування наведено під таблицею 3.1 (сторінки 92–93).</w:t>
            </w:r>
          </w:p>
        </w:tc>
      </w:tr>
      <w:tr>
        <w:tc>
          <w:tcPr/>
          <w:p>
            <w:pPr>
              <w:pStyle w:val="Compact"/>
              <w:jc w:val="left"/>
            </w:pPr>
            <w:r>
              <w:t xml:space="preserve">Кисіль Т.М.</w:t>
            </w:r>
          </w:p>
        </w:tc>
        <w:tc>
          <w:tcPr/>
          <w:p>
            <w:pPr>
              <w:pStyle w:val="Compact"/>
              <w:jc w:val="left"/>
            </w:pPr>
            <w:r>
              <w:t xml:space="preserve">5</w:t>
            </w:r>
          </w:p>
        </w:tc>
        <w:tc>
          <w:tcPr/>
          <w:p>
            <w:pPr>
              <w:pStyle w:val="Compact"/>
              <w:jc w:val="left"/>
            </w:pPr>
            <w:r>
              <w:t xml:space="preserve">Зауваження враховано. Ризик акумуляції похибок каскадної архітектури глибоко проаналізовано в роботі. Проведено аналіз чутливості, який доводить, що структура графа знань та глибокі текстурні ознаки діють як надійний фільтр помилок сегментації, компенсуючи локальні розриви контурів. Аналіз стійкості каскадної моделі до збурень наведено в підрозділах 3.2.1 та 3.3.3 (сторінки 85, 107).</w:t>
            </w:r>
          </w:p>
        </w:tc>
      </w:tr>
      <w:tr>
        <w:tc>
          <w:tcPr/>
          <w:p>
            <w:pPr>
              <w:pStyle w:val="Compact"/>
              <w:jc w:val="left"/>
            </w:pPr>
            <w:r>
              <w:t xml:space="preserve">Кисіль Т.М.</w:t>
            </w:r>
          </w:p>
        </w:tc>
        <w:tc>
          <w:tcPr/>
          <w:p>
            <w:pPr>
              <w:pStyle w:val="Compact"/>
              <w:jc w:val="left"/>
            </w:pPr>
            <w:r>
              <w:t xml:space="preserve">6</w:t>
            </w:r>
          </w:p>
        </w:tc>
        <w:tc>
          <w:tcPr/>
          <w:p>
            <w:pPr>
              <w:pStyle w:val="Compact"/>
              <w:jc w:val="left"/>
            </w:pPr>
            <w:r>
              <w:t xml:space="preserve">Зауваження враховано. В експериментальному розділі та загальних висновках чітко окреслено обмеження поточної експериментальної бази, яка сфокусована виключно на МРТ серця та рентгенограмах. Визначено, що перевірка універсальності розроблених методів на інших модальностях (КТ, УЗД) та анатомічних структурах є перспективним напрямом для майбутніх досліджень системи. Відповідні застереження додано до підрозділу 4.5 та висновків (сторінки 147, 151).</w:t>
            </w:r>
          </w:p>
        </w:tc>
      </w:tr>
      <w:tr>
        <w:tc>
          <w:tcPr/>
          <w:p>
            <w:pPr>
              <w:pStyle w:val="Compact"/>
              <w:jc w:val="left"/>
            </w:pPr>
            <w:r>
              <w:t xml:space="preserve">Кисіль Т.М.</w:t>
            </w:r>
          </w:p>
        </w:tc>
        <w:tc>
          <w:tcPr/>
          <w:p>
            <w:pPr>
              <w:pStyle w:val="Compact"/>
              <w:jc w:val="left"/>
            </w:pPr>
            <w:r>
              <w:t xml:space="preserve">7</w:t>
            </w:r>
          </w:p>
        </w:tc>
        <w:tc>
          <w:tcPr/>
          <w:p>
            <w:pPr>
              <w:pStyle w:val="Compact"/>
              <w:jc w:val="left"/>
            </w:pPr>
            <w:r>
              <w:t xml:space="preserve">Зауваження враховано. Здійснено комплексне технічне форматування всього тексту дисертаційної роботи для усунення друкарських розривів. Усі підписи міцно прив’язані до відповідних рисунків, зокрема усунуто розриви для наведених як приклад рисунків 3.4, 4.6, 4.9 та забезпечено коректне відображення графічного матеріалу згідно з державними вимогами до оформлення наукових праць.</w:t>
            </w:r>
          </w:p>
        </w:tc>
      </w:tr>
      <w:tr>
        <w:tc>
          <w:tcPr/>
          <w:p>
            <w:pPr>
              <w:pStyle w:val="Compact"/>
              <w:jc w:val="left"/>
            </w:pPr>
            <w:r>
              <w:t xml:space="preserve">Кисіль Т.М.</w:t>
            </w:r>
          </w:p>
        </w:tc>
        <w:tc>
          <w:tcPr/>
          <w:p>
            <w:pPr>
              <w:pStyle w:val="Compact"/>
              <w:jc w:val="left"/>
            </w:pPr>
            <w:r>
              <w:t xml:space="preserve">8</w:t>
            </w:r>
          </w:p>
        </w:tc>
        <w:tc>
          <w:tcPr/>
          <w:p>
            <w:pPr>
              <w:pStyle w:val="Compact"/>
              <w:jc w:val="left"/>
            </w:pPr>
            <w:r>
              <w:t xml:space="preserve">Зауваження враховано. У математичних виразах уточнено пріоритетність операцій та застосовано дужки для уникнення неоднозначностей. Символ конкатенації у формулах замінено на стандартний. У тексті чітко зазначено, що параметр γ є фіксованим гіперпараметром, який не оновлюється під час зворотного поширення похибки, а підбирається емпірично. Зміни наведено в підрозділах 2.2.2 та 3.3.2 (сторінки 73, 100–101).</w:t>
            </w:r>
          </w:p>
        </w:tc>
      </w:tr>
      <w:tr>
        <w:tc>
          <w:tcPr/>
          <w:p>
            <w:pPr>
              <w:pStyle w:val="Compact"/>
              <w:jc w:val="left"/>
            </w:pPr>
            <w:r>
              <w:t xml:space="preserve">Кисіль Т.М.</w:t>
            </w:r>
          </w:p>
        </w:tc>
        <w:tc>
          <w:tcPr/>
          <w:p>
            <w:pPr>
              <w:pStyle w:val="Compact"/>
              <w:jc w:val="left"/>
            </w:pPr>
            <w:r>
              <w:t xml:space="preserve">9</w:t>
            </w:r>
          </w:p>
        </w:tc>
        <w:tc>
          <w:tcPr/>
          <w:p>
            <w:pPr>
              <w:pStyle w:val="Compact"/>
              <w:jc w:val="left"/>
            </w:pPr>
            <w:r>
              <w:t xml:space="preserve">Зауваження враховано. Виявлену термінологічну неточність на графічному матеріалі було оперативно усунуто. На рисунку 3.12, який ілюструє механізм глобального пулінгу уваги для різних класів захворювань, анатомічні назви приведено до коректної форми в називному відмінку (зокрема, виправлено на «Лівий шлуночок» та «Правий шлуночок»). Оновлений рисунок подано в тексті на сторінці 108.</w:t>
            </w:r>
          </w:p>
        </w:tc>
      </w:tr>
      <w:tr>
        <w:tc>
          <w:tcPr/>
          <w:p>
            <w:pPr>
              <w:pStyle w:val="Compact"/>
              <w:jc w:val="left"/>
            </w:pPr>
            <w:r>
              <w:t xml:space="preserve">Кисіль Т.М.</w:t>
            </w:r>
          </w:p>
        </w:tc>
        <w:tc>
          <w:tcPr/>
          <w:p>
            <w:pPr>
              <w:pStyle w:val="Compact"/>
              <w:jc w:val="left"/>
            </w:pPr>
            <w:r>
              <w:t xml:space="preserve">10</w:t>
            </w:r>
          </w:p>
        </w:tc>
        <w:tc>
          <w:tcPr/>
          <w:p>
            <w:pPr>
              <w:pStyle w:val="Compact"/>
              <w:jc w:val="left"/>
            </w:pPr>
            <w:r>
              <w:t xml:space="preserve">Зауваження враховано. У тексті дисертації додано роз’яснення щодо структури таблиць абляційного аналізу. Зазначено, що однакові останні рядки репрезентують повну, фінальну конфігурацію розробленого методу EMTKD, значення якої слугують єдиним еталоном для обчислення втрат точності внаслідок ізольованого вимкнення окремих компонентів архітектури. Пояснення наведено безпосередньо під таблицею 4.4 (сторінка 125).</w:t>
            </w:r>
          </w:p>
        </w:tc>
      </w:tr>
      <w:tr>
        <w:tc>
          <w:tcPr/>
          <w:p>
            <w:pPr>
              <w:pStyle w:val="Compact"/>
              <w:jc w:val="left"/>
            </w:pPr>
            <w:r>
              <w:t xml:space="preserve">Кисіль Т.М.</w:t>
            </w:r>
          </w:p>
        </w:tc>
        <w:tc>
          <w:tcPr/>
          <w:p>
            <w:pPr>
              <w:pStyle w:val="Compact"/>
              <w:jc w:val="left"/>
            </w:pPr>
            <w:r>
              <w:t xml:space="preserve">11</w:t>
            </w:r>
          </w:p>
        </w:tc>
        <w:tc>
          <w:tcPr/>
          <w:p>
            <w:pPr>
              <w:pStyle w:val="Compact"/>
              <w:jc w:val="left"/>
            </w:pPr>
            <w:r>
              <w:t xml:space="preserve">Зауваження враховано. Оновлено візуалізацію матриці помилок та додано чітке роз’яснення процесу її формування. У тексті наголошено, що нормалізація відсотків виконана виключно по горизонтальних рядках для відображення чутливості (Recall) кожного класу. Крім того, додано нову таблицю з точним кількісним розподілом зразків у вибірках. Зміни наведено в підрозділі 4.3.2 (сторінки 134–135, рисунок 4.16, таблиця 4.7).</w:t>
            </w:r>
          </w:p>
        </w:tc>
      </w:tr>
      <w:tr>
        <w:tc>
          <w:tcPr/>
          <w:p>
            <w:pPr>
              <w:pStyle w:val="Compact"/>
              <w:jc w:val="left"/>
            </w:pPr>
            <w:r>
              <w:t xml:space="preserve">Кисіль Т.М.</w:t>
            </w:r>
          </w:p>
        </w:tc>
        <w:tc>
          <w:tcPr/>
          <w:p>
            <w:pPr>
              <w:pStyle w:val="Compact"/>
              <w:jc w:val="left"/>
            </w:pPr>
            <w:r>
              <w:t xml:space="preserve">12</w:t>
            </w:r>
          </w:p>
        </w:tc>
        <w:tc>
          <w:tcPr/>
          <w:p>
            <w:pPr>
              <w:pStyle w:val="Compact"/>
              <w:jc w:val="left"/>
            </w:pPr>
            <w:r>
              <w:t xml:space="preserve">Зауваження враховано. Здійснено глибоке стилістичне редагування та вичитку всього тексту дисертаційної роботи. Вилучено надмірне використання штучних слів-маркерів та шаблонних виразів. Текст приведено до строгих стандартів академічного наукового стилю, властивого галузі інформаційних технологій. На титульному аркуші (сторінка 1) розміщено відповідний дисклеймер щодо процедури особистої перевірки тексту.</w:t>
            </w:r>
          </w:p>
        </w:tc>
      </w:tr>
      <w:tr>
        <w:tc>
          <w:tcPr/>
          <w:p>
            <w:pPr>
              <w:pStyle w:val="Compact"/>
              <w:jc w:val="left"/>
            </w:pPr>
            <w:r>
              <w:t xml:space="preserve">Багрій Р.О.</w:t>
            </w:r>
          </w:p>
        </w:tc>
        <w:tc>
          <w:tcPr/>
          <w:p>
            <w:pPr>
              <w:pStyle w:val="Compact"/>
              <w:jc w:val="left"/>
            </w:pPr>
            <w:r>
              <w:t xml:space="preserve">1</w:t>
            </w:r>
          </w:p>
        </w:tc>
        <w:tc>
          <w:tcPr/>
          <w:p>
            <w:pPr>
              <w:pStyle w:val="Compact"/>
              <w:jc w:val="left"/>
            </w:pPr>
            <w:r>
              <w:t xml:space="preserve">Зауваження враховано. У пунктах наукової новизни дисертаційної роботи термін «спроєктовано» повністю вилучено. Формулювання приведено у відповідність до вимог опису наукових результатів: використано терміни «розроблено новий метод» та «удосконалено метод». Термін проєктування залишено лише в завданнях для опису розробки програмної архітектури. Зміни внесено до розділів «Вступ» (сторінки 4–5) та загальних висновків.</w:t>
            </w:r>
          </w:p>
        </w:tc>
      </w:tr>
      <w:tr>
        <w:tc>
          <w:tcPr/>
          <w:p>
            <w:pPr>
              <w:pStyle w:val="Compact"/>
              <w:jc w:val="left"/>
            </w:pPr>
            <w:r>
              <w:t xml:space="preserve">Багрій Р.О.</w:t>
            </w:r>
          </w:p>
        </w:tc>
        <w:tc>
          <w:tcPr/>
          <w:p>
            <w:pPr>
              <w:pStyle w:val="Compact"/>
              <w:jc w:val="left"/>
            </w:pPr>
            <w:r>
              <w:t xml:space="preserve">2</w:t>
            </w:r>
          </w:p>
        </w:tc>
        <w:tc>
          <w:tcPr/>
          <w:p>
            <w:pPr>
              <w:pStyle w:val="Compact"/>
              <w:jc w:val="left"/>
            </w:pPr>
            <w:r>
              <w:t xml:space="preserve">Зауваження враховано. З пунктів наукової новизни та практичного значення вилучено непідтверджені кількісні показники щодо скорочення часу на 30–40 %. Натомість результати описано з використанням точних статистичних метрик (AUC-ROC, F1-міра, відстань Хаусдорфа), які були емпірично доведені в експериментальному розділі 4. Оновлені формулювання наукової новизни подано у Вступі (сторінки 4–5, 25).</w:t>
            </w:r>
          </w:p>
        </w:tc>
      </w:tr>
      <w:tr>
        <w:tc>
          <w:tcPr/>
          <w:p>
            <w:pPr>
              <w:pStyle w:val="Compact"/>
              <w:jc w:val="left"/>
            </w:pPr>
            <w:r>
              <w:t xml:space="preserve">Багрій Р.О.</w:t>
            </w:r>
          </w:p>
        </w:tc>
        <w:tc>
          <w:tcPr/>
          <w:p>
            <w:pPr>
              <w:pStyle w:val="Compact"/>
              <w:jc w:val="left"/>
            </w:pPr>
            <w:r>
              <w:t xml:space="preserve">3</w:t>
            </w:r>
          </w:p>
        </w:tc>
        <w:tc>
          <w:tcPr/>
          <w:p>
            <w:pPr>
              <w:pStyle w:val="Compact"/>
              <w:jc w:val="left"/>
            </w:pPr>
            <w:r>
              <w:t xml:space="preserve">Зауваження частково враховано. Обсяг огляду літератури в першому розділі оптимізовано та структуровано. Проте базові математичні формули (1.1, 1.2), які описують загальну парадигму систем CAD та умову перенавчання, залишено як фундаментальну основу. Вони логічно пов’язані з подальшою постановкою задачі та формалізацією методів у наступних розділах. Зміни відображено в підрозділі 1.1 (сторінки 33–34, 38).</w:t>
            </w:r>
          </w:p>
        </w:tc>
      </w:tr>
      <w:tr>
        <w:tc>
          <w:tcPr/>
          <w:p>
            <w:pPr>
              <w:pStyle w:val="Compact"/>
              <w:jc w:val="left"/>
            </w:pPr>
            <w:r>
              <w:t xml:space="preserve">Багрій Р.О.</w:t>
            </w:r>
          </w:p>
        </w:tc>
        <w:tc>
          <w:tcPr/>
          <w:p>
            <w:pPr>
              <w:pStyle w:val="Compact"/>
              <w:jc w:val="left"/>
            </w:pPr>
            <w:r>
              <w:t xml:space="preserve">4</w:t>
            </w:r>
          </w:p>
        </w:tc>
        <w:tc>
          <w:tcPr/>
          <w:p>
            <w:pPr>
              <w:pStyle w:val="Compact"/>
              <w:jc w:val="left"/>
            </w:pPr>
            <w:r>
              <w:t xml:space="preserve">Зауваження враховано. Концептуальну схему категоризації методів інтеграції знань суттєво перероблено. На рисунку усунуто дублювання гілок, а структуру подано відповідно до описуваної в тексті ієрархії клінічних завдань (класифікація, виявлення, сегментація) та відповідних джерел додаткової інформації. Оновлений і виправлений рисунок 1.3 наведено в підрозділі 1.2 (сторінка 40).</w:t>
            </w:r>
          </w:p>
        </w:tc>
      </w:tr>
      <w:tr>
        <w:tc>
          <w:tcPr/>
          <w:p>
            <w:pPr>
              <w:pStyle w:val="Compact"/>
              <w:jc w:val="left"/>
            </w:pPr>
            <w:r>
              <w:t xml:space="preserve">Багрій Р.О.</w:t>
            </w:r>
          </w:p>
        </w:tc>
        <w:tc>
          <w:tcPr/>
          <w:p>
            <w:pPr>
              <w:pStyle w:val="Compact"/>
              <w:jc w:val="left"/>
            </w:pPr>
            <w:r>
              <w:t xml:space="preserve">5</w:t>
            </w:r>
          </w:p>
        </w:tc>
        <w:tc>
          <w:tcPr/>
          <w:p>
            <w:pPr>
              <w:pStyle w:val="Compact"/>
              <w:jc w:val="left"/>
            </w:pPr>
            <w:r>
              <w:t xml:space="preserve">Зауваження враховано. У текст додано розгорнутий коментар, який пояснює мету наведення таблиці 1.4 (цифрова патологія). Вказано, що методи гістології не застосовні напряму до радіології через 3D/4D специфіку останньої, що є додатковим аргументом на користь розроблення нових методів, стійких до варіативності радіологічного обладнання. Пояснення наведено в підрозділі 1.2.1 (сторінки 42–43).</w:t>
            </w:r>
          </w:p>
        </w:tc>
      </w:tr>
      <w:tr>
        <w:tc>
          <w:tcPr/>
          <w:p>
            <w:pPr>
              <w:pStyle w:val="Compact"/>
              <w:jc w:val="left"/>
            </w:pPr>
            <w:r>
              <w:t xml:space="preserve">Багрій Р.О.</w:t>
            </w:r>
          </w:p>
        </w:tc>
        <w:tc>
          <w:tcPr/>
          <w:p>
            <w:pPr>
              <w:pStyle w:val="Compact"/>
              <w:jc w:val="left"/>
            </w:pPr>
            <w:r>
              <w:t xml:space="preserve">6</w:t>
            </w:r>
          </w:p>
        </w:tc>
        <w:tc>
          <w:tcPr/>
          <w:p>
            <w:pPr>
              <w:pStyle w:val="Compact"/>
              <w:jc w:val="left"/>
            </w:pPr>
            <w:r>
              <w:t xml:space="preserve">Зауваження враховано. У першому розділі усунуто формальне перерахування літературних джерел списком. Текст доповнено аналітичним розкриттям змісту ключових праць, із зазначенням конкретних методів, переваг та недоліків досліджуваних авторами підходів. Зокрема, розширено описи сучасних гібридних архітектур та застосування механізмів знань. Оновлений огляд літератури наведено в підрозділах 1.2 та 1.3 (сторінки 45–48).</w:t>
            </w:r>
          </w:p>
        </w:tc>
      </w:tr>
      <w:tr>
        <w:tc>
          <w:tcPr/>
          <w:p>
            <w:pPr>
              <w:pStyle w:val="Compact"/>
              <w:jc w:val="left"/>
            </w:pPr>
            <w:r>
              <w:t xml:space="preserve">Багрій Р.О.</w:t>
            </w:r>
          </w:p>
        </w:tc>
        <w:tc>
          <w:tcPr/>
          <w:p>
            <w:pPr>
              <w:pStyle w:val="Compact"/>
              <w:jc w:val="left"/>
            </w:pPr>
            <w:r>
              <w:t xml:space="preserve">7</w:t>
            </w:r>
          </w:p>
        </w:tc>
        <w:tc>
          <w:tcPr/>
          <w:p>
            <w:pPr>
              <w:pStyle w:val="Compact"/>
              <w:jc w:val="left"/>
            </w:pPr>
            <w:r>
              <w:t xml:space="preserve">Зауваження враховано. Перший розділ доповнено критичним аналізом існуючих рішень. Чітко сформульовано висновки про те, що сучасним підходам бракує комплексного семантичного та просторового узгодження. Ці аргументи логічно підводять до необхідності створення нових методів інтеграції знань для подолання доменного зсуву та топологічних дефектів. Детальний аналіз та постановка задачі подані в підрозділі 1.4 (сторінки 48–50).</w:t>
            </w:r>
          </w:p>
        </w:tc>
      </w:tr>
      <w:tr>
        <w:tc>
          <w:tcPr/>
          <w:p>
            <w:pPr>
              <w:pStyle w:val="Compact"/>
              <w:jc w:val="left"/>
            </w:pPr>
            <w:r>
              <w:t xml:space="preserve">Багрій Р.О.</w:t>
            </w:r>
          </w:p>
        </w:tc>
        <w:tc>
          <w:tcPr/>
          <w:p>
            <w:pPr>
              <w:pStyle w:val="Compact"/>
              <w:jc w:val="left"/>
            </w:pPr>
            <w:r>
              <w:t xml:space="preserve">8</w:t>
            </w:r>
          </w:p>
        </w:tc>
        <w:tc>
          <w:tcPr/>
          <w:p>
            <w:pPr>
              <w:pStyle w:val="Compact"/>
              <w:jc w:val="left"/>
            </w:pPr>
            <w:r>
              <w:t xml:space="preserve">Зауваження враховано. Підрозділ суттєво переопрацьовано: додано математичну складову та формалізацію. Наведено конкретні приклади математичного подання знань, зокрема формулу мінімізації розбіжності між картою уваги моделі та експертною картою (зонами інтересу), а також описано структуру графа знань із відповідними векторами. Ці доповнення наведено в підрозділі 1.3 (сторінка 46, формула 1.5).</w:t>
            </w:r>
          </w:p>
        </w:tc>
      </w:tr>
      <w:tr>
        <w:tc>
          <w:tcPr/>
          <w:p>
            <w:pPr>
              <w:pStyle w:val="Compact"/>
              <w:jc w:val="left"/>
            </w:pPr>
            <w:r>
              <w:t xml:space="preserve">Багрій Р.О.</w:t>
            </w:r>
          </w:p>
        </w:tc>
        <w:tc>
          <w:tcPr/>
          <w:p>
            <w:pPr>
              <w:pStyle w:val="Compact"/>
              <w:jc w:val="left"/>
            </w:pPr>
            <w:r>
              <w:t xml:space="preserve">9</w:t>
            </w:r>
          </w:p>
        </w:tc>
        <w:tc>
          <w:tcPr/>
          <w:p>
            <w:pPr>
              <w:pStyle w:val="Compact"/>
              <w:jc w:val="left"/>
            </w:pPr>
            <w:r>
              <w:t xml:space="preserve">Зауваження враховано. Структуру першого розділу оптимізовано шляхом об’єднання занадто дрібних підрозділів (на 1–2 абзаци) у єдині логічні блоки. Такий підхід забезпечив цілісність викладу матеріалу та усунув проблему фрагментарності тексту. Оновлену структуру розділу відображено в Змісті (сторінка 16) та безпосередньо в тексті Розділу 1 (сторінки 31–52).</w:t>
            </w:r>
          </w:p>
        </w:tc>
      </w:tr>
      <w:tr>
        <w:tc>
          <w:tcPr/>
          <w:p>
            <w:pPr>
              <w:pStyle w:val="Compact"/>
              <w:jc w:val="left"/>
            </w:pPr>
            <w:r>
              <w:t xml:space="preserve">Багрій Р.О.</w:t>
            </w:r>
          </w:p>
        </w:tc>
        <w:tc>
          <w:tcPr/>
          <w:p>
            <w:pPr>
              <w:pStyle w:val="Compact"/>
              <w:jc w:val="left"/>
            </w:pPr>
            <w:r>
              <w:t xml:space="preserve">10</w:t>
            </w:r>
          </w:p>
        </w:tc>
        <w:tc>
          <w:tcPr/>
          <w:p>
            <w:pPr>
              <w:pStyle w:val="Compact"/>
              <w:jc w:val="left"/>
            </w:pPr>
            <w:r>
              <w:t xml:space="preserve">Зауваження враховано. У тексті уточнено, що в межах дисертаційного дослідження не розробляються методи безпосередньої реконструкції чи покращення якості МРТ. Згадку про генеративні моделі (DAGAN) залишено виключно в оглядовій частині як приклад методів аугментації та доменної адаптації, які застосовуються до вже готових зображень. Відповідні роз’яснення додано в підрозділі 1.2.1 (сторінка 42).</w:t>
            </w:r>
          </w:p>
        </w:tc>
      </w:tr>
      <w:tr>
        <w:tc>
          <w:tcPr/>
          <w:p>
            <w:pPr>
              <w:pStyle w:val="Compact"/>
              <w:jc w:val="left"/>
            </w:pPr>
            <w:r>
              <w:t xml:space="preserve">Багрій Р.О.</w:t>
            </w:r>
          </w:p>
        </w:tc>
        <w:tc>
          <w:tcPr/>
          <w:p>
            <w:pPr>
              <w:pStyle w:val="Compact"/>
              <w:jc w:val="left"/>
            </w:pPr>
            <w:r>
              <w:t xml:space="preserve">11</w:t>
            </w:r>
          </w:p>
        </w:tc>
        <w:tc>
          <w:tcPr/>
          <w:p>
            <w:pPr>
              <w:pStyle w:val="Compact"/>
              <w:jc w:val="left"/>
            </w:pPr>
            <w:r>
              <w:t xml:space="preserve">Зауваження враховано. Підрозділ, присвячений постановці задачі дослідження, було суттєво розширено. Додано детальний опис викликів, обґрунтовано необхідність формалізації знань, вирішення проблеми доменного зсуву, подолання семантичного розриву та забезпечення інтерпретованості. Нині обсяг матеріалу відповідає вимогам до структурних елементів дисертації. Оновлений текст наведено в підрозділі 1.4 (сторінки 49–51).</w:t>
            </w:r>
          </w:p>
        </w:tc>
      </w:tr>
      <w:tr>
        <w:tc>
          <w:tcPr/>
          <w:p>
            <w:pPr>
              <w:pStyle w:val="Compact"/>
              <w:jc w:val="left"/>
            </w:pPr>
            <w:r>
              <w:t xml:space="preserve">Багрій Р.О.</w:t>
            </w:r>
          </w:p>
        </w:tc>
        <w:tc>
          <w:tcPr/>
          <w:p>
            <w:pPr>
              <w:pStyle w:val="Compact"/>
              <w:jc w:val="left"/>
            </w:pPr>
            <w:r>
              <w:t xml:space="preserve">12</w:t>
            </w:r>
          </w:p>
        </w:tc>
        <w:tc>
          <w:tcPr/>
          <w:p>
            <w:pPr>
              <w:pStyle w:val="Compact"/>
              <w:jc w:val="left"/>
            </w:pPr>
            <w:r>
              <w:t xml:space="preserve">Зауваження враховано. У підрозділ із постановкою задачі дослідження додано окремий пункт, що детально розкриває проблему відсутності прозорої інтерпретованості (ефект «чорної скриньки») у сучасних нейромережевих моделях. Цю проблему визначено як один із ключових бар’єрів для безпечного клінічного впровадження штучного інтелекту. Відповідні доповнення наведено в підрозділі 1.4 (сторінка 50).</w:t>
            </w:r>
          </w:p>
        </w:tc>
      </w:tr>
      <w:tr>
        <w:tc>
          <w:tcPr/>
          <w:p>
            <w:pPr>
              <w:pStyle w:val="Compact"/>
              <w:jc w:val="left"/>
            </w:pPr>
            <w:r>
              <w:t xml:space="preserve">Багрій Р.О.</w:t>
            </w:r>
          </w:p>
        </w:tc>
        <w:tc>
          <w:tcPr/>
          <w:p>
            <w:pPr>
              <w:pStyle w:val="Compact"/>
              <w:jc w:val="left"/>
            </w:pPr>
            <w:r>
              <w:t xml:space="preserve">13</w:t>
            </w:r>
          </w:p>
        </w:tc>
        <w:tc>
          <w:tcPr/>
          <w:p>
            <w:pPr>
              <w:pStyle w:val="Compact"/>
              <w:jc w:val="left"/>
            </w:pPr>
            <w:r>
              <w:t xml:space="preserve">Зауваження частково враховано. У переліку завдань для всіх теоретичних складових використано формулювання «Розробити метод» (завдання 2–5). Водночас термін «Спроєктувати» залишено виключно для завдання 6, яке стосується розробки архітектури програмної інтелектуальної системи, оскільки це є суто інженерною задачею. Відредагований перелік завдань наведено у Вступі (сторінка 23) та розділі 1 (сторінки 50–51).</w:t>
            </w:r>
          </w:p>
        </w:tc>
      </w:tr>
      <w:tr>
        <w:tc>
          <w:tcPr/>
          <w:p>
            <w:pPr>
              <w:pStyle w:val="Compact"/>
              <w:jc w:val="left"/>
            </w:pPr>
            <w:r>
              <w:t xml:space="preserve">Багрій Р.О.</w:t>
            </w:r>
          </w:p>
        </w:tc>
        <w:tc>
          <w:tcPr/>
          <w:p>
            <w:pPr>
              <w:pStyle w:val="Compact"/>
              <w:jc w:val="left"/>
            </w:pPr>
            <w:r>
              <w:t xml:space="preserve">14</w:t>
            </w:r>
          </w:p>
        </w:tc>
        <w:tc>
          <w:tcPr/>
          <w:p>
            <w:pPr>
              <w:pStyle w:val="Compact"/>
              <w:jc w:val="left"/>
            </w:pPr>
            <w:r>
              <w:t xml:space="preserve">Зауваження враховано. У текст додано вичерпне математичне пояснення механізму агрегації ознак від різних вчителів. Замість простого усереднення реалізовано агрегаційну мережу (багатошаровий перцептрон) у поєднанні з індикаторною функцією фільтрації. Цей механізм динамічно зважує внесок вчителів та відсіює хибні передбачення на основі рівня впевненості. Детальний опис алгоритму подано в підрозділі 2.1.2 (сторінки 58–59, формули 2.8–2.11).</w:t>
            </w:r>
          </w:p>
        </w:tc>
      </w:tr>
      <w:tr>
        <w:tc>
          <w:tcPr/>
          <w:p>
            <w:pPr>
              <w:pStyle w:val="Compact"/>
              <w:jc w:val="left"/>
            </w:pPr>
            <w:r>
              <w:t xml:space="preserve">Багрій Р.О.</w:t>
            </w:r>
          </w:p>
        </w:tc>
        <w:tc>
          <w:tcPr/>
          <w:p>
            <w:pPr>
              <w:pStyle w:val="Compact"/>
              <w:jc w:val="left"/>
            </w:pPr>
            <w:r>
              <w:t xml:space="preserve">15</w:t>
            </w:r>
          </w:p>
        </w:tc>
        <w:tc>
          <w:tcPr/>
          <w:p>
            <w:pPr>
              <w:pStyle w:val="Compact"/>
              <w:jc w:val="left"/>
            </w:pPr>
            <w:r>
              <w:t xml:space="preserve">Зауваження враховано. У тексті дисертації термін «тональність» було супроводжено розгорнутим уточненням, що в контексті медичної предметної області під ним розуміється «аналіз клінічної полярності та модальності висловлювань». Термінологію в назвах розділів та по тексту адаптовано для точного відображення процесів виявлення стверджень та заперечень. Відповідні пояснення наведено в підрозділах 2.2.1 та 2.2.3 (сторінки 69–70, 77).</w:t>
            </w:r>
          </w:p>
        </w:tc>
      </w:tr>
      <w:tr>
        <w:tc>
          <w:tcPr/>
          <w:p>
            <w:pPr>
              <w:pStyle w:val="Compact"/>
              <w:jc w:val="left"/>
            </w:pPr>
            <w:r>
              <w:t xml:space="preserve">Багрій Р.О.</w:t>
            </w:r>
          </w:p>
        </w:tc>
        <w:tc>
          <w:tcPr/>
          <w:p>
            <w:pPr>
              <w:pStyle w:val="Compact"/>
              <w:jc w:val="left"/>
            </w:pPr>
            <w:r>
              <w:t xml:space="preserve">16</w:t>
            </w:r>
          </w:p>
        </w:tc>
        <w:tc>
          <w:tcPr/>
          <w:p>
            <w:pPr>
              <w:pStyle w:val="Compact"/>
              <w:jc w:val="left"/>
            </w:pPr>
            <w:r>
              <w:t xml:space="preserve">Зауваження враховано. Під час технічного редагування та форматування тексту дисертаційної роботи виявлене дублювання тексту висновків до другого розділу після рисунка 2.11 було повністю усунуто. Текст висновків логічно структуровано та розміщено виключно наприкінці розділу. Оновлений та відредагований текст висновків до розділу 2 міститься в підрозділі 2.3 (сторінки 79–80).</w:t>
            </w:r>
          </w:p>
        </w:tc>
      </w:tr>
      <w:tr>
        <w:tc>
          <w:tcPr/>
          <w:p>
            <w:pPr>
              <w:pStyle w:val="Compact"/>
              <w:jc w:val="left"/>
            </w:pPr>
            <w:r>
              <w:t xml:space="preserve">Багрій Р.О.</w:t>
            </w:r>
          </w:p>
        </w:tc>
        <w:tc>
          <w:tcPr/>
          <w:p>
            <w:pPr>
              <w:pStyle w:val="Compact"/>
              <w:jc w:val="left"/>
            </w:pPr>
            <w:r>
              <w:t xml:space="preserve">17</w:t>
            </w:r>
          </w:p>
        </w:tc>
        <w:tc>
          <w:tcPr/>
          <w:p>
            <w:pPr>
              <w:pStyle w:val="Compact"/>
              <w:jc w:val="left"/>
            </w:pPr>
            <w:r>
              <w:t xml:space="preserve">Зауваження враховано. Усі світлини та візуальні знімки екранів графічного інтерфейсу користувача розробленого програмного комплексу вилучено з основного тексту четвертого розділу, оскільки вони не є частиною концептуальної архітектури. Ці матеріали перенесено в спеціально створений Додаток Г, що відповідає стандартам оформлення. Зміни відображено в тексті (сторінка 112) та в Додатку Г (сторінки 180–183).</w:t>
            </w:r>
          </w:p>
        </w:tc>
      </w:tr>
      <w:tr>
        <w:tc>
          <w:tcPr/>
          <w:p>
            <w:pPr>
              <w:pStyle w:val="Compact"/>
              <w:jc w:val="left"/>
            </w:pPr>
            <w:r>
              <w:t xml:space="preserve">Багрій Р.О.</w:t>
            </w:r>
          </w:p>
        </w:tc>
        <w:tc>
          <w:tcPr/>
          <w:p>
            <w:pPr>
              <w:pStyle w:val="Compact"/>
              <w:jc w:val="left"/>
            </w:pPr>
            <w:r>
              <w:t xml:space="preserve">18</w:t>
            </w:r>
          </w:p>
        </w:tc>
        <w:tc>
          <w:tcPr/>
          <w:p>
            <w:pPr>
              <w:pStyle w:val="Compact"/>
              <w:jc w:val="left"/>
            </w:pPr>
            <w:r>
              <w:t xml:space="preserve">Зауваження враховано. До четвертого розділу додано вичерпний опис методології проведення обчислювальних експериментів. Описано процедури крос-валідації, критерії статистичної значущості (t-критерій Стьюдента), процеси стратифікації вибірок та метрики оцінювання для кожного з розроблених методів. Детальний виклад експериментальної бази та методології міститься в підрозділах 4.1, 4.2.1 та 4.3.1 (сторінки 111–112, 120–123, 129–130).</w:t>
            </w:r>
          </w:p>
        </w:tc>
      </w:tr>
      <w:tr>
        <w:tc>
          <w:tcPr/>
          <w:p>
            <w:pPr>
              <w:pStyle w:val="Compact"/>
              <w:jc w:val="left"/>
            </w:pPr>
            <w:r>
              <w:t xml:space="preserve">Багрій Р.О.</w:t>
            </w:r>
          </w:p>
        </w:tc>
        <w:tc>
          <w:tcPr/>
          <w:p>
            <w:pPr>
              <w:pStyle w:val="Compact"/>
              <w:jc w:val="left"/>
            </w:pPr>
            <w:r>
              <w:t xml:space="preserve">19</w:t>
            </w:r>
          </w:p>
        </w:tc>
        <w:tc>
          <w:tcPr/>
          <w:p>
            <w:pPr>
              <w:pStyle w:val="Compact"/>
              <w:jc w:val="left"/>
            </w:pPr>
            <w:r>
              <w:t xml:space="preserve">Зауваження враховано. У тексті дисертації надано детальне пояснення щодо невідповідності кількості зразків у матриці помилок та обсягу тестової вибірки. Зазначено, що візуалізована матриця демонструє сумарний результат 5-кратної перехресної перевірки (крос-валідації) на об’єднаному масиві даних, що забезпечує стабільнішу статистичну оцінку. Відповідні пояснення та таблицю розподілу зразків наведено в підрозділі 4.3.2 (сторінка 135, таблиця 4.7).</w:t>
            </w:r>
          </w:p>
        </w:tc>
      </w:tr>
      <w:tr>
        <w:tc>
          <w:tcPr/>
          <w:p>
            <w:pPr>
              <w:pStyle w:val="Compact"/>
              <w:jc w:val="left"/>
            </w:pPr>
            <w:r>
              <w:t xml:space="preserve">Багрій Р.О.</w:t>
            </w:r>
          </w:p>
        </w:tc>
        <w:tc>
          <w:tcPr/>
          <w:p>
            <w:pPr>
              <w:pStyle w:val="Compact"/>
              <w:jc w:val="left"/>
            </w:pPr>
            <w:r>
              <w:t xml:space="preserve">20</w:t>
            </w:r>
          </w:p>
        </w:tc>
        <w:tc>
          <w:tcPr/>
          <w:p>
            <w:pPr>
              <w:pStyle w:val="Compact"/>
              <w:jc w:val="left"/>
            </w:pPr>
            <w:r>
              <w:t xml:space="preserve">Зауваження враховано. Проведено актуалізацію порівняльного аналізу: запропоновану гібридну модель зіставлено із сучасними великими мовними моделями (ClinicalT5, LLaMA-3, Med-PaLM-2). Отримані результати підтверджують конкурентоспроможність методу, а в тексті детально проаналізовано фундаментальні обмеження сучасних LLM для медичного застосування (високі апаратні вимоги, ризик галюцинацій та порушення приватності). Порівняння наведено в підрозділі 4.3.2 (сторінки 132–133, таблиця 4.6, рисунок 4.14).</w:t>
            </w:r>
          </w:p>
        </w:tc>
      </w:tr>
    </w:tbl>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2026-03-04T08:26:46Z</dcterms:created>
  <dcterms:modified xsi:type="dcterms:W3CDTF">2026-03-04T08:26:46Z</dcterms:modified>
</cp:coreProperties>
</file>

<file path=docProps/custom.xml><?xml version="1.0" encoding="utf-8"?>
<Properties xmlns="http://schemas.openxmlformats.org/officeDocument/2006/custom-properties" xmlns:vt="http://schemas.openxmlformats.org/officeDocument/2006/docPropsVTypes"/>
</file>