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2" w:name="X4bcf3b62d35c65c38aa890c7629b7c8f7b30f67"/>
    <w:p>
      <w:pPr>
        <w:pStyle w:val="Heading1"/>
      </w:pPr>
      <w:r>
        <w:t xml:space="preserve">Аналіз Дисертаційної Роботи та Рекомендації</w:t>
      </w:r>
    </w:p>
    <w:p>
      <w:pPr>
        <w:pStyle w:val="FirstParagraph"/>
      </w:pPr>
      <w:r>
        <w:rPr>
          <w:b/>
          <w:bCs/>
        </w:rPr>
        <w:t xml:space="preserve">Назва роботи:</w:t>
      </w:r>
      <w:r>
        <w:t xml:space="preserve"> </w:t>
      </w:r>
      <w:r>
        <w:t xml:space="preserve">«Кіберфізичні системи моніторингу дефектів фотоелектричних модулів сонячних електростанцій»</w:t>
      </w:r>
      <w:r>
        <w:t xml:space="preserve"> </w:t>
      </w:r>
      <w:r>
        <w:rPr>
          <w:b/>
          <w:bCs/>
        </w:rPr>
        <w:t xml:space="preserve">Автор:</w:t>
      </w:r>
      <w:r>
        <w:t xml:space="preserve"> </w:t>
      </w:r>
      <w:r>
        <w:t xml:space="preserve">Лисий Андрій Миколайович</w:t>
      </w:r>
    </w:p>
    <w:bookmarkStart w:id="9" w:name="загальне-враження"/>
    <w:p>
      <w:pPr>
        <w:pStyle w:val="Heading4"/>
      </w:pPr>
      <w:r>
        <w:t xml:space="preserve">Загальне враження</w:t>
      </w:r>
    </w:p>
    <w:p>
      <w:pPr>
        <w:pStyle w:val="FirstParagraph"/>
      </w:pPr>
      <w:r>
        <w:t xml:space="preserve">Дисертаційна робота присвячена актуальній темі підвищення ефективності та безпеки експлуатації сонячних електростанцій. Автор пропонує комплексну кіберфізичну систему для моніторингу дефектів. Робота має чітку структуру, містить огляд літератури, опис методології, експериментальні дослідження та висновки. Водночас рукопис містить низку суттєвих недоліків — як формального, так і науково-методологічного характеру, — які потребують виправлення перед поданням до захисту.</w:t>
      </w:r>
    </w:p>
    <w:p>
      <w:r>
        <w:pict>
          <v:rect style="width:0;height:1.5pt" o:hralign="center" o:hrstd="t" o:hr="t"/>
        </w:pict>
      </w:r>
    </w:p>
    <w:bookmarkEnd w:id="9"/>
    <w:bookmarkStart w:id="10" w:name="X657adfd1447d538f196d5c04a3378c18e1523e6"/>
    <w:p>
      <w:pPr>
        <w:pStyle w:val="Heading3"/>
      </w:pPr>
      <w:r>
        <w:t xml:space="preserve">Частина 1: Питання Наукової Суворості та Внеску</w:t>
      </w:r>
    </w:p>
    <w:p>
      <w:pPr>
        <w:pStyle w:val="FirstParagraph"/>
      </w:pPr>
      <w:r>
        <w:t xml:space="preserve">Цей розділ зосереджений на методології, обґрунтованості наукових тверджень, відтворюваності результатів та значущості отриманого наукового внеску.</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w:t>
            </w:r>
          </w:p>
        </w:tc>
        <w:tc>
          <w:tcPr/>
          <w:p>
            <w:pPr>
              <w:pStyle w:val="Compact"/>
              <w:jc w:val="left"/>
            </w:pPr>
            <w:r>
              <w:t xml:space="preserve">Невідповідність/Помилка</w:t>
            </w:r>
          </w:p>
        </w:tc>
        <w:tc>
          <w:tcPr/>
          <w:p>
            <w:pPr>
              <w:pStyle w:val="Compact"/>
              <w:jc w:val="left"/>
            </w:pPr>
            <w:r>
              <w:t xml:space="preserve">Розташування</w:t>
            </w:r>
          </w:p>
        </w:tc>
        <w:tc>
          <w:tcPr/>
          <w:p>
            <w:pPr>
              <w:pStyle w:val="Compact"/>
              <w:jc w:val="left"/>
            </w:pPr>
            <w:r>
              <w:t xml:space="preserve">Рекомендація</w:t>
            </w:r>
          </w:p>
        </w:tc>
      </w:tr>
      <w:tr>
        <w:tc>
          <w:tcPr/>
          <w:p>
            <w:pPr>
              <w:pStyle w:val="Compact"/>
              <w:jc w:val="left"/>
            </w:pPr>
            <w:r>
              <w:t xml:space="preserve">1</w:t>
            </w:r>
          </w:p>
        </w:tc>
        <w:tc>
          <w:tcPr/>
          <w:p>
            <w:pPr>
              <w:pStyle w:val="Compact"/>
              <w:jc w:val="left"/>
            </w:pPr>
            <w:r>
              <w:rPr>
                <w:b/>
                <w:bCs/>
              </w:rPr>
              <w:t xml:space="preserve">Використання несубної версії моделі YOLOv11</w:t>
            </w:r>
          </w:p>
        </w:tc>
        <w:tc>
          <w:tcPr/>
          <w:p>
            <w:pPr>
              <w:pStyle w:val="Compact"/>
              <w:jc w:val="left"/>
            </w:pPr>
            <w:r>
              <w:t xml:space="preserve">Упродовж всієї роботи (напр., с. 4-5, 45-46, 96, 147)</w:t>
            </w:r>
          </w:p>
        </w:tc>
        <w:tc>
          <w:tcPr/>
          <w:p>
            <w:pPr>
              <w:pStyle w:val="Compact"/>
              <w:jc w:val="left"/>
            </w:pPr>
            <w:r>
              <w:t xml:space="preserve">Це найкритичніше зауваження. Станом на середину 2024 року не існує офіційної, загальновизнаної версії YOLO під назвою</w:t>
            </w:r>
            <w:r>
              <w:t xml:space="preserve"> </w:t>
            </w:r>
            <w:r>
              <w:t xml:space="preserve">“YOLOv11”</w:t>
            </w:r>
            <w:r>
              <w:t xml:space="preserve">. Це ставить під сумнів відтворюваність та достовірність результатів.</w:t>
            </w:r>
            <w:r>
              <w:t xml:space="preserve"> </w:t>
            </w:r>
            <w:r>
              <w:rPr>
                <w:b/>
                <w:bCs/>
              </w:rPr>
              <w:t xml:space="preserve">Рекомендація:</w:t>
            </w:r>
            <w:r>
              <w:t xml:space="preserve"> </w:t>
            </w:r>
            <w:r>
              <w:t xml:space="preserve">Автор повинен або надати посилання на офіційне джерело моделі YOLOv11, або, якщо це власна розробка чи модифікація, детально описати її архітектуру, відмінності від попередніх версій та навести обґрунтування її назви. В іншому випадку слід використовувати існуючу, визнану версію (напр., YOLOv8, YOLOv9, YOLOv10) та перерахувати результати.</w:t>
            </w:r>
          </w:p>
        </w:tc>
      </w:tr>
      <w:tr>
        <w:tc>
          <w:tcPr/>
          <w:p>
            <w:pPr>
              <w:pStyle w:val="Compact"/>
              <w:jc w:val="left"/>
            </w:pPr>
            <w:r>
              <w:t xml:space="preserve">2</w:t>
            </w:r>
          </w:p>
        </w:tc>
        <w:tc>
          <w:tcPr/>
          <w:p>
            <w:pPr>
              <w:pStyle w:val="Compact"/>
              <w:jc w:val="left"/>
            </w:pPr>
            <w:r>
              <w:rPr>
                <w:b/>
                <w:bCs/>
              </w:rPr>
              <w:t xml:space="preserve">Недостатній обсяг набору даних для глибокого навчання</w:t>
            </w:r>
          </w:p>
        </w:tc>
        <w:tc>
          <w:tcPr/>
          <w:p>
            <w:pPr>
              <w:pStyle w:val="Compact"/>
              <w:jc w:val="left"/>
            </w:pPr>
            <w:r>
              <w:t xml:space="preserve">с. 97</w:t>
            </w:r>
          </w:p>
        </w:tc>
        <w:tc>
          <w:tcPr/>
          <w:p>
            <w:pPr>
              <w:pStyle w:val="Compact"/>
              <w:jc w:val="left"/>
            </w:pPr>
            <w:r>
              <w:t xml:space="preserve">Автор зазначає, що було зібрано 212 зображень. Для навчання моделей глибокого навчання, навіть із застосуванням трансферного навчання, такий обсяг є вкрай малим і несе високий ризик перенавчання моделі. Отримані високі показники точності (98%) можуть не відображати реальної ефективності моделі на нових, небачених даних.</w:t>
            </w:r>
            <w:r>
              <w:t xml:space="preserve"> </w:t>
            </w:r>
            <w:r>
              <w:rPr>
                <w:b/>
                <w:bCs/>
              </w:rPr>
              <w:t xml:space="preserve">Рекомендація:</w:t>
            </w:r>
            <w:r>
              <w:t xml:space="preserve"> </w:t>
            </w:r>
            <w:r>
              <w:t xml:space="preserve">Слід суттєво розширити набір даних. Необхідно детально описати процес аугментації та провести перехресну валідацію для підтвердження стійкості моделі. Варто також обговорити обмеження, пов’язані з малим розміром вибірки, у відповідному розділі.</w:t>
            </w:r>
          </w:p>
        </w:tc>
      </w:tr>
      <w:tr>
        <w:tc>
          <w:tcPr/>
          <w:p>
            <w:pPr>
              <w:pStyle w:val="Compact"/>
              <w:jc w:val="left"/>
            </w:pPr>
            <w:r>
              <w:t xml:space="preserve">3</w:t>
            </w:r>
          </w:p>
        </w:tc>
        <w:tc>
          <w:tcPr/>
          <w:p>
            <w:pPr>
              <w:pStyle w:val="Compact"/>
              <w:jc w:val="left"/>
            </w:pPr>
            <w:r>
              <w:rPr>
                <w:b/>
                <w:bCs/>
              </w:rPr>
              <w:t xml:space="preserve">Відсутність порівняння із сучасними аналогами (State-of-the-Art)</w:t>
            </w:r>
          </w:p>
        </w:tc>
        <w:tc>
          <w:tcPr/>
          <w:p>
            <w:pPr>
              <w:pStyle w:val="Compact"/>
              <w:jc w:val="left"/>
            </w:pPr>
            <w:r>
              <w:t xml:space="preserve">Розділ 4 (напр., с. 147)</w:t>
            </w:r>
          </w:p>
        </w:tc>
        <w:tc>
          <w:tcPr/>
          <w:p>
            <w:pPr>
              <w:pStyle w:val="Compact"/>
              <w:jc w:val="left"/>
            </w:pPr>
            <w:r>
              <w:t xml:space="preserve">У роботі порівнюються різні версії YOLO між собою, але відсутнє порівняння запропонованої системи з іншими сучасними методами детектування дефектів ФЕМСЕ, описаними в науковій літературі (напр., на основі Faster R-CNN, EfficientDet, ResNet). Без такого порівняння важко оцінити реальний науковий внесок та переваги розробленого методу.</w:t>
            </w:r>
            <w:r>
              <w:t xml:space="preserve"> </w:t>
            </w:r>
            <w:r>
              <w:rPr>
                <w:b/>
                <w:bCs/>
              </w:rPr>
              <w:t xml:space="preserve">Рекомендація:</w:t>
            </w:r>
            <w:r>
              <w:t xml:space="preserve"> </w:t>
            </w:r>
            <w:r>
              <w:t xml:space="preserve">Провести експериментальне порівняння запропонованої системи щонайменше з 1-2 альтернативними SOTA-методами на тому самому наборі даних. Результати порівняння додати до експериментального розділу.</w:t>
            </w:r>
          </w:p>
        </w:tc>
      </w:tr>
      <w:tr>
        <w:tc>
          <w:tcPr/>
          <w:p>
            <w:pPr>
              <w:pStyle w:val="Compact"/>
              <w:jc w:val="left"/>
            </w:pPr>
            <w:r>
              <w:t xml:space="preserve">4</w:t>
            </w:r>
          </w:p>
        </w:tc>
        <w:tc>
          <w:tcPr/>
          <w:p>
            <w:pPr>
              <w:pStyle w:val="Compact"/>
              <w:jc w:val="left"/>
            </w:pPr>
            <w:r>
              <w:rPr>
                <w:b/>
                <w:bCs/>
              </w:rPr>
              <w:t xml:space="preserve">Необґрунтована логіка визначення пожежонебезпечного режиму</w:t>
            </w:r>
          </w:p>
        </w:tc>
        <w:tc>
          <w:tcPr/>
          <w:p>
            <w:pPr>
              <w:pStyle w:val="Compact"/>
              <w:jc w:val="left"/>
            </w:pPr>
            <w:r>
              <w:t xml:space="preserve">с. 127</w:t>
            </w:r>
          </w:p>
        </w:tc>
        <w:tc>
          <w:tcPr/>
          <w:p>
            <w:pPr>
              <w:pStyle w:val="Compact"/>
              <w:jc w:val="left"/>
            </w:pPr>
            <w:r>
              <w:t xml:space="preserve">Формула ДНФ</w:t>
            </w:r>
            <w:r>
              <w:t xml:space="preserve"> </w:t>
            </w:r>
            <w:r>
              <w:rPr>
                <w:rStyle w:val="VerbatimChar"/>
              </w:rPr>
              <w:t xml:space="preserve">Y = X1 X̅11 + X2 X̅12 + X3 X̅13</w:t>
            </w:r>
            <w:r>
              <w:t xml:space="preserve"> </w:t>
            </w:r>
            <w:r>
              <w:t xml:space="preserve">інтерпретується як наявність пожежної небезпеки, коли дефект виявлено (</w:t>
            </w:r>
            <w:r>
              <w:rPr>
                <w:rStyle w:val="VerbatimChar"/>
              </w:rPr>
              <w:t xml:space="preserve">Xi=1</w:t>
            </w:r>
            <w:r>
              <w:t xml:space="preserve">), але відповідний байпасний діод</w:t>
            </w:r>
            <w:r>
              <w:t xml:space="preserve"> </w:t>
            </w:r>
            <w:r>
              <w:rPr>
                <w:i/>
                <w:iCs/>
              </w:rPr>
              <w:t xml:space="preserve">не</w:t>
            </w:r>
            <w:r>
              <w:t xml:space="preserve"> </w:t>
            </w:r>
            <w:r>
              <w:t xml:space="preserve">нагрівся (</w:t>
            </w:r>
            <w:r>
              <w:rPr>
                <w:rStyle w:val="VerbatimChar"/>
              </w:rPr>
              <w:t xml:space="preserve">X1i=0</w:t>
            </w:r>
            <w:r>
              <w:t xml:space="preserve">). Ця логіка є контрінтуїтивною, оскільки очікується, що несправність діода (перегрів або його відсутність при дефекті) є ключовим фактором небезпеки.</w:t>
            </w:r>
            <w:r>
              <w:t xml:space="preserve"> </w:t>
            </w:r>
            <w:r>
              <w:rPr>
                <w:b/>
                <w:bCs/>
              </w:rPr>
              <w:t xml:space="preserve">Рекомендація:</w:t>
            </w:r>
            <w:r>
              <w:t xml:space="preserve"> </w:t>
            </w:r>
            <w:r>
              <w:t xml:space="preserve">Детально обґрунтувати фізичний сенс запропонованої логічної моделі. Якщо модель правильна, слід пояснити, чому відсутність нагріву діода при наявності дефекту є небезпечнішою. В іншому випадку — скоригувати логічну функцію.</w:t>
            </w:r>
          </w:p>
        </w:tc>
      </w:tr>
      <w:tr>
        <w:tc>
          <w:tcPr/>
          <w:p>
            <w:pPr>
              <w:pStyle w:val="Compact"/>
              <w:jc w:val="left"/>
            </w:pPr>
            <w:r>
              <w:t xml:space="preserve">5</w:t>
            </w:r>
          </w:p>
        </w:tc>
        <w:tc>
          <w:tcPr/>
          <w:p>
            <w:pPr>
              <w:pStyle w:val="Compact"/>
              <w:jc w:val="left"/>
            </w:pPr>
            <w:r>
              <w:rPr>
                <w:b/>
                <w:bCs/>
              </w:rPr>
              <w:t xml:space="preserve">Загальне формулювання наукової новизни</w:t>
            </w:r>
          </w:p>
        </w:tc>
        <w:tc>
          <w:tcPr/>
          <w:p>
            <w:pPr>
              <w:pStyle w:val="Compact"/>
              <w:jc w:val="left"/>
            </w:pPr>
            <w:r>
              <w:t xml:space="preserve">с. 3, 22</w:t>
            </w:r>
          </w:p>
        </w:tc>
        <w:tc>
          <w:tcPr/>
          <w:p>
            <w:pPr>
              <w:pStyle w:val="Compact"/>
              <w:jc w:val="left"/>
            </w:pPr>
            <w:r>
              <w:t xml:space="preserve">Твердження про новизну архітектури на основі</w:t>
            </w:r>
            <w:r>
              <w:t xml:space="preserve"> </w:t>
            </w:r>
            <w:r>
              <w:t xml:space="preserve">“розподілу обчислень”</w:t>
            </w:r>
            <w:r>
              <w:t xml:space="preserve"> </w:t>
            </w:r>
            <w:r>
              <w:t xml:space="preserve">в edge-cloud є надто загальним. Такі архітектури вже існують. Незрозуміло, в чому полягає унікальність саме запропонованого підходу.</w:t>
            </w:r>
            <w:r>
              <w:t xml:space="preserve"> </w:t>
            </w:r>
            <w:r>
              <w:rPr>
                <w:b/>
                <w:bCs/>
              </w:rPr>
              <w:t xml:space="preserve">Рекомендація:</w:t>
            </w:r>
            <w:r>
              <w:t xml:space="preserve"> </w:t>
            </w:r>
            <w:r>
              <w:t xml:space="preserve">Конкретизувати положення наукової новизни. Слід чітко вказати, які саме принципи розподілу, функціональні зв’язки між компонентами (дрон, наземна станція, хмара) або алгоритми є новими та чим вони кращі за існуючі.</w:t>
            </w:r>
          </w:p>
        </w:tc>
      </w:tr>
      <w:tr>
        <w:tc>
          <w:tcPr/>
          <w:p>
            <w:pPr>
              <w:pStyle w:val="Compact"/>
              <w:jc w:val="left"/>
            </w:pPr>
            <w:r>
              <w:t xml:space="preserve">6</w:t>
            </w:r>
          </w:p>
        </w:tc>
        <w:tc>
          <w:tcPr/>
          <w:p>
            <w:pPr>
              <w:pStyle w:val="Compact"/>
              <w:jc w:val="left"/>
            </w:pPr>
            <w:r>
              <w:rPr>
                <w:b/>
                <w:bCs/>
              </w:rPr>
              <w:t xml:space="preserve">Відсутність абляційного аналізу (Ablation Study)</w:t>
            </w:r>
          </w:p>
        </w:tc>
        <w:tc>
          <w:tcPr/>
          <w:p>
            <w:pPr>
              <w:pStyle w:val="Compact"/>
              <w:jc w:val="left"/>
            </w:pPr>
            <w:r>
              <w:t xml:space="preserve">Розділ 4</w:t>
            </w:r>
          </w:p>
        </w:tc>
        <w:tc>
          <w:tcPr/>
          <w:p>
            <w:pPr>
              <w:pStyle w:val="Compact"/>
              <w:jc w:val="left"/>
            </w:pPr>
            <w:r>
              <w:t xml:space="preserve">Система є багатокомпонентною (ансамблювання різнопалітрових термограм, інтеграція з RGB, використання DBSCAN). Незрозуміло, який саме компонент робить найбільший внесок у кінцевий результат.</w:t>
            </w:r>
            <w:r>
              <w:t xml:space="preserve"> </w:t>
            </w:r>
            <w:r>
              <w:rPr>
                <w:b/>
                <w:bCs/>
              </w:rPr>
              <w:t xml:space="preserve">Рекомендація:</w:t>
            </w:r>
            <w:r>
              <w:t xml:space="preserve"> </w:t>
            </w:r>
            <w:r>
              <w:t xml:space="preserve">Провести абляційний аналіз, послідовно виключаючи кожен із ключових компонентів системи (наприклад, провести експеримент без ансамблювання, лише з одним типом термограм; без інтеграції з RGB) та оцінити, як це впливає на фінальні метрики.</w:t>
            </w:r>
          </w:p>
        </w:tc>
      </w:tr>
      <w:tr>
        <w:tc>
          <w:tcPr/>
          <w:p>
            <w:pPr>
              <w:pStyle w:val="Compact"/>
              <w:jc w:val="left"/>
            </w:pPr>
            <w:r>
              <w:t xml:space="preserve">7</w:t>
            </w:r>
          </w:p>
        </w:tc>
        <w:tc>
          <w:tcPr/>
          <w:p>
            <w:pPr>
              <w:pStyle w:val="Compact"/>
              <w:jc w:val="left"/>
            </w:pPr>
            <w:r>
              <w:rPr>
                <w:b/>
                <w:bCs/>
              </w:rPr>
              <w:t xml:space="preserve">Сумнівна значущість покращення метрик</w:t>
            </w:r>
          </w:p>
        </w:tc>
        <w:tc>
          <w:tcPr/>
          <w:p>
            <w:pPr>
              <w:pStyle w:val="Compact"/>
              <w:jc w:val="left"/>
            </w:pPr>
            <w:r>
              <w:t xml:space="preserve">с. 4, 5</w:t>
            </w:r>
          </w:p>
        </w:tc>
        <w:tc>
          <w:tcPr/>
          <w:p>
            <w:pPr>
              <w:pStyle w:val="Compact"/>
              <w:jc w:val="left"/>
            </w:pPr>
            <w:r>
              <w:t xml:space="preserve">Заявлене підвищення точності mAP@0.5 на 2-3% є невеликим і може бути результатом статистичної похибки, особливо на малому наборі даних.</w:t>
            </w:r>
            <w:r>
              <w:t xml:space="preserve"> </w:t>
            </w:r>
            <w:r>
              <w:rPr>
                <w:b/>
                <w:bCs/>
              </w:rPr>
              <w:t xml:space="preserve">Рекомендація:</w:t>
            </w:r>
            <w:r>
              <w:t xml:space="preserve"> </w:t>
            </w:r>
            <w:r>
              <w:t xml:space="preserve">Для підтвердження значущості результатів необхідно провести статистичні тести (наприклад, t-тест або тест Вілкоксона) та навести довірчі інтервали для отриманих метрик.</w:t>
            </w:r>
          </w:p>
        </w:tc>
      </w:tr>
      <w:tr>
        <w:tc>
          <w:tcPr/>
          <w:p>
            <w:pPr>
              <w:pStyle w:val="Compact"/>
              <w:jc w:val="left"/>
            </w:pPr>
            <w:r>
              <w:t xml:space="preserve">8</w:t>
            </w:r>
          </w:p>
        </w:tc>
        <w:tc>
          <w:tcPr/>
          <w:p>
            <w:pPr>
              <w:pStyle w:val="Compact"/>
              <w:jc w:val="left"/>
            </w:pPr>
            <w:r>
              <w:rPr>
                <w:b/>
                <w:bCs/>
              </w:rPr>
              <w:t xml:space="preserve">Обмежена генералізація результатів</w:t>
            </w:r>
          </w:p>
        </w:tc>
        <w:tc>
          <w:tcPr/>
          <w:p>
            <w:pPr>
              <w:pStyle w:val="Compact"/>
              <w:jc w:val="left"/>
            </w:pPr>
            <w:r>
              <w:t xml:space="preserve">с. 96, 151</w:t>
            </w:r>
          </w:p>
        </w:tc>
        <w:tc>
          <w:tcPr/>
          <w:p>
            <w:pPr>
              <w:pStyle w:val="Compact"/>
              <w:jc w:val="left"/>
            </w:pPr>
            <w:r>
              <w:t xml:space="preserve">Експерименти проводилися на обмеженій кількості об’єктів у Хмельницькій області. Немає обговорення, як система поводитиметься в інших кліматичних умовах, з іншими типами сонячних панелей або з іншими видами дефектів.</w:t>
            </w:r>
            <w:r>
              <w:t xml:space="preserve"> </w:t>
            </w:r>
            <w:r>
              <w:rPr>
                <w:b/>
                <w:bCs/>
              </w:rPr>
              <w:t xml:space="preserve">Рекомендація:</w:t>
            </w:r>
            <w:r>
              <w:t xml:space="preserve"> </w:t>
            </w:r>
            <w:r>
              <w:t xml:space="preserve">Додати до висновків розділ</w:t>
            </w:r>
            <w:r>
              <w:t xml:space="preserve"> </w:t>
            </w:r>
            <w:r>
              <w:t xml:space="preserve">“Обмеження дослідження”</w:t>
            </w:r>
            <w:r>
              <w:t xml:space="preserve">, де проаналізувати фактори, що можуть впливати на генералізацію моделі, та окреслити напрями майбутніх досліджень для перевірки її роботи в інших умовах.</w:t>
            </w:r>
          </w:p>
        </w:tc>
      </w:tr>
      <w:tr>
        <w:tc>
          <w:tcPr/>
          <w:p>
            <w:pPr>
              <w:pStyle w:val="Compact"/>
              <w:jc w:val="left"/>
            </w:pPr>
            <w:r>
              <w:t xml:space="preserve">9</w:t>
            </w:r>
          </w:p>
        </w:tc>
        <w:tc>
          <w:tcPr/>
          <w:p>
            <w:pPr>
              <w:pStyle w:val="Compact"/>
              <w:jc w:val="left"/>
            </w:pPr>
            <w:r>
              <w:rPr>
                <w:b/>
                <w:bCs/>
              </w:rPr>
              <w:t xml:space="preserve">Перебільшена практична значущість</w:t>
            </w:r>
          </w:p>
        </w:tc>
        <w:tc>
          <w:tcPr/>
          <w:p>
            <w:pPr>
              <w:pStyle w:val="Compact"/>
              <w:jc w:val="left"/>
            </w:pPr>
            <w:r>
              <w:t xml:space="preserve">с. 186</w:t>
            </w:r>
          </w:p>
        </w:tc>
        <w:tc>
          <w:tcPr/>
          <w:p>
            <w:pPr>
              <w:pStyle w:val="Compact"/>
              <w:jc w:val="left"/>
            </w:pPr>
            <w:r>
              <w:t xml:space="preserve">Твердження про підвищення ефективності на 8–12%</w:t>
            </w:r>
            <w:r>
              <w:t xml:space="preserve"> </w:t>
            </w:r>
            <w:r>
              <w:t xml:space="preserve">“порівняно з відомими аналогічними рішеннями”</w:t>
            </w:r>
            <w:r>
              <w:t xml:space="preserve"> </w:t>
            </w:r>
            <w:r>
              <w:t xml:space="preserve">є голослівним, оскільки не вказано, з якими саме рішеннями проводилося порівняння і за якими критеріями. Це підкріплюється недійсними актами впровадження.</w:t>
            </w:r>
            <w:r>
              <w:t xml:space="preserve"> </w:t>
            </w:r>
            <w:r>
              <w:rPr>
                <w:b/>
                <w:bCs/>
              </w:rPr>
              <w:t xml:space="preserve">Рекомендація:</w:t>
            </w:r>
            <w:r>
              <w:t xml:space="preserve"> </w:t>
            </w:r>
            <w:r>
              <w:t xml:space="preserve">Надати конкретні посилання на аналогічні рішення та представити результати порівняльного аналізу, що підтверджують заявлене підвищення ефективності.</w:t>
            </w:r>
          </w:p>
        </w:tc>
      </w:tr>
      <w:tr>
        <w:tc>
          <w:tcPr/>
          <w:p>
            <w:pPr>
              <w:pStyle w:val="Compact"/>
              <w:jc w:val="left"/>
            </w:pPr>
            <w:r>
              <w:t xml:space="preserve">10</w:t>
            </w:r>
          </w:p>
        </w:tc>
        <w:tc>
          <w:tcPr/>
          <w:p>
            <w:pPr>
              <w:pStyle w:val="Compact"/>
              <w:jc w:val="left"/>
            </w:pPr>
            <w:r>
              <w:rPr>
                <w:b/>
                <w:bCs/>
              </w:rPr>
              <w:t xml:space="preserve">Нечіткий опис алгоритму уникнення відблисків</w:t>
            </w:r>
          </w:p>
        </w:tc>
        <w:tc>
          <w:tcPr/>
          <w:p>
            <w:pPr>
              <w:pStyle w:val="Compact"/>
              <w:jc w:val="left"/>
            </w:pPr>
            <w:r>
              <w:t xml:space="preserve">с. 81-82</w:t>
            </w:r>
          </w:p>
        </w:tc>
        <w:tc>
          <w:tcPr/>
          <w:p>
            <w:pPr>
              <w:pStyle w:val="Compact"/>
              <w:jc w:val="left"/>
            </w:pPr>
            <w:r>
              <w:t xml:space="preserve">Опис методу уникнення сонячних відблисків є занадто високорівневим. Відсутні деталі щодо практичної реалізації, калібрування системи та визначення мінімального кута Δ. Це ускладнює відтворення методу.</w:t>
            </w:r>
            <w:r>
              <w:t xml:space="preserve"> </w:t>
            </w:r>
            <w:r>
              <w:rPr>
                <w:b/>
                <w:bCs/>
              </w:rPr>
              <w:t xml:space="preserve">Рекомендація:</w:t>
            </w:r>
            <w:r>
              <w:t xml:space="preserve"> </w:t>
            </w:r>
            <w:r>
              <w:t xml:space="preserve">Навести псевдокод алгоритму, описати процедуру визначення параметрів (зокрема, кута Δ) та обговорити його стійкість до можливих похибок у визначенні положення сонця чи панелі.</w:t>
            </w:r>
          </w:p>
        </w:tc>
      </w:tr>
    </w:tbl>
    <w:p>
      <w:r>
        <w:pict>
          <v:rect style="width:0;height:1.5pt" o:hralign="center" o:hrstd="t" o:hr="t"/>
        </w:pict>
      </w:r>
    </w:p>
    <w:bookmarkEnd w:id="10"/>
    <w:bookmarkStart w:id="11" w:name="частина-2-формальні-помилки-та-упущення"/>
    <w:p>
      <w:pPr>
        <w:pStyle w:val="Heading3"/>
      </w:pPr>
      <w:r>
        <w:t xml:space="preserve">Частина 2: Формальні Помилки та Упущення</w:t>
      </w:r>
    </w:p>
    <w:p>
      <w:pPr>
        <w:pStyle w:val="FirstParagraph"/>
      </w:pPr>
      <w:r>
        <w:t xml:space="preserve">Цей розділ стосується структури, форматування, цитувань, мовного оформлення та інших формальних вимог до наукової роботи.</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jc w:val="left"/>
            </w:pPr>
            <w:r>
              <w:t xml:space="preserve">№</w:t>
            </w:r>
          </w:p>
        </w:tc>
        <w:tc>
          <w:tcPr/>
          <w:p>
            <w:pPr>
              <w:pStyle w:val="Compact"/>
              <w:jc w:val="left"/>
            </w:pPr>
            <w:r>
              <w:t xml:space="preserve">Невідповідність/Помилка</w:t>
            </w:r>
          </w:p>
        </w:tc>
        <w:tc>
          <w:tcPr/>
          <w:p>
            <w:pPr>
              <w:pStyle w:val="Compact"/>
              <w:jc w:val="left"/>
            </w:pPr>
            <w:r>
              <w:t xml:space="preserve">Розташування</w:t>
            </w:r>
          </w:p>
        </w:tc>
        <w:tc>
          <w:tcPr/>
          <w:p>
            <w:pPr>
              <w:pStyle w:val="Compact"/>
              <w:jc w:val="left"/>
            </w:pPr>
            <w:r>
              <w:t xml:space="preserve">Рекомендація</w:t>
            </w:r>
          </w:p>
        </w:tc>
      </w:tr>
      <w:tr>
        <w:tc>
          <w:tcPr/>
          <w:p>
            <w:pPr>
              <w:pStyle w:val="Compact"/>
              <w:jc w:val="left"/>
            </w:pPr>
            <w:r>
              <w:t xml:space="preserve">11</w:t>
            </w:r>
          </w:p>
        </w:tc>
        <w:tc>
          <w:tcPr/>
          <w:p>
            <w:pPr>
              <w:pStyle w:val="Compact"/>
              <w:jc w:val="left"/>
            </w:pPr>
            <w:r>
              <w:rPr>
                <w:b/>
                <w:bCs/>
              </w:rPr>
              <w:t xml:space="preserve">Акти впровадження, датовані майбутнім числом</w:t>
            </w:r>
          </w:p>
        </w:tc>
        <w:tc>
          <w:tcPr/>
          <w:p>
            <w:pPr>
              <w:pStyle w:val="Compact"/>
              <w:jc w:val="left"/>
            </w:pPr>
            <w:r>
              <w:t xml:space="preserve">с. 6, 25, 185-189</w:t>
            </w:r>
          </w:p>
        </w:tc>
        <w:tc>
          <w:tcPr/>
          <w:p>
            <w:pPr>
              <w:pStyle w:val="Compact"/>
              <w:jc w:val="left"/>
            </w:pPr>
            <w:r>
              <w:t xml:space="preserve">Це груба помилка. Акти впровадження від 16.08.2025, 22.04.2025 тощо є недійсними, оскільки вони мають підтверджувати</w:t>
            </w:r>
            <w:r>
              <w:t xml:space="preserve"> </w:t>
            </w:r>
            <w:r>
              <w:rPr>
                <w:i/>
                <w:iCs/>
              </w:rPr>
              <w:t xml:space="preserve">вже здійснене</w:t>
            </w:r>
            <w:r>
              <w:t xml:space="preserve"> </w:t>
            </w:r>
            <w:r>
              <w:t xml:space="preserve">впровадження.</w:t>
            </w:r>
            <w:r>
              <w:t xml:space="preserve"> </w:t>
            </w:r>
            <w:r>
              <w:rPr>
                <w:b/>
                <w:bCs/>
              </w:rPr>
              <w:t xml:space="preserve">Рекомендація:</w:t>
            </w:r>
            <w:r>
              <w:t xml:space="preserve"> </w:t>
            </w:r>
            <w:r>
              <w:t xml:space="preserve">Замінити акти на дійсні, датовані минулим або теперішнім часом. Якщо впровадження ще не відбулося, слід видалити ці акти та згадки про них, а практичну апробацію описати як таку, що планується або проходить тестування.</w:t>
            </w:r>
          </w:p>
        </w:tc>
      </w:tr>
      <w:tr>
        <w:tc>
          <w:tcPr/>
          <w:p>
            <w:pPr>
              <w:pStyle w:val="Compact"/>
              <w:jc w:val="left"/>
            </w:pPr>
            <w:r>
              <w:t xml:space="preserve">12</w:t>
            </w:r>
          </w:p>
        </w:tc>
        <w:tc>
          <w:tcPr/>
          <w:p>
            <w:pPr>
              <w:pStyle w:val="Compact"/>
              <w:jc w:val="left"/>
            </w:pPr>
            <w:r>
              <w:rPr>
                <w:b/>
                <w:bCs/>
              </w:rPr>
              <w:t xml:space="preserve">Розбіжність у кількості сторінок</w:t>
            </w:r>
          </w:p>
        </w:tc>
        <w:tc>
          <w:tcPr/>
          <w:p>
            <w:pPr>
              <w:pStyle w:val="Compact"/>
              <w:jc w:val="left"/>
            </w:pPr>
            <w:r>
              <w:t xml:space="preserve">с. 28</w:t>
            </w:r>
          </w:p>
        </w:tc>
        <w:tc>
          <w:tcPr/>
          <w:p>
            <w:pPr>
              <w:pStyle w:val="Compact"/>
              <w:jc w:val="left"/>
            </w:pPr>
            <w:r>
              <w:t xml:space="preserve">Вказано, що робота містить 208 сторінок, тоді як у наданому документі нумерація закінчується на 196-й сторінці.</w:t>
            </w:r>
            <w:r>
              <w:t xml:space="preserve"> </w:t>
            </w:r>
            <w:r>
              <w:rPr>
                <w:b/>
                <w:bCs/>
              </w:rPr>
              <w:t xml:space="preserve">Рекомендація:</w:t>
            </w:r>
            <w:r>
              <w:t xml:space="preserve"> </w:t>
            </w:r>
            <w:r>
              <w:t xml:space="preserve">Перевірити загальну кількість сторінок та виправити відповідне число в автореферативній частині дисертації.</w:t>
            </w:r>
          </w:p>
        </w:tc>
      </w:tr>
      <w:tr>
        <w:tc>
          <w:tcPr/>
          <w:p>
            <w:pPr>
              <w:pStyle w:val="Compact"/>
              <w:jc w:val="left"/>
            </w:pPr>
            <w:r>
              <w:t xml:space="preserve">13</w:t>
            </w:r>
          </w:p>
        </w:tc>
        <w:tc>
          <w:tcPr/>
          <w:p>
            <w:pPr>
              <w:pStyle w:val="Compact"/>
              <w:jc w:val="left"/>
            </w:pPr>
            <w:r>
              <w:rPr>
                <w:b/>
                <w:bCs/>
              </w:rPr>
              <w:t xml:space="preserve">Нестандартна абревіатура</w:t>
            </w:r>
            <w:r>
              <w:rPr>
                <w:b/>
                <w:bCs/>
              </w:rPr>
              <w:t xml:space="preserve"> </w:t>
            </w:r>
            <w:r>
              <w:rPr>
                <w:b/>
                <w:bCs/>
              </w:rPr>
              <w:t xml:space="preserve">“ЗНМ”</w:t>
            </w:r>
          </w:p>
        </w:tc>
        <w:tc>
          <w:tcPr/>
          <w:p>
            <w:pPr>
              <w:pStyle w:val="Compact"/>
              <w:jc w:val="left"/>
            </w:pPr>
            <w:r>
              <w:t xml:space="preserve">с. 17 та по тексту</w:t>
            </w:r>
          </w:p>
        </w:tc>
        <w:tc>
          <w:tcPr/>
          <w:p>
            <w:pPr>
              <w:pStyle w:val="Compact"/>
              <w:jc w:val="left"/>
            </w:pPr>
            <w:r>
              <w:t xml:space="preserve">Абревіатура</w:t>
            </w:r>
            <w:r>
              <w:t xml:space="preserve"> </w:t>
            </w:r>
            <w:r>
              <w:t xml:space="preserve">“ЗНМ”</w:t>
            </w:r>
            <w:r>
              <w:t xml:space="preserve"> </w:t>
            </w:r>
            <w:r>
              <w:t xml:space="preserve">(згорткова нейронна мережа) не є загальновживаною в українській науковій термінології. Більш поширеним є</w:t>
            </w:r>
            <w:r>
              <w:t xml:space="preserve"> </w:t>
            </w:r>
            <w:r>
              <w:t xml:space="preserve">“КНМ”</w:t>
            </w:r>
            <w:r>
              <w:t xml:space="preserve"> </w:t>
            </w:r>
            <w:r>
              <w:t xml:space="preserve">або використання англійського скорочення</w:t>
            </w:r>
            <w:r>
              <w:t xml:space="preserve"> </w:t>
            </w:r>
            <w:r>
              <w:t xml:space="preserve">“CNN”</w:t>
            </w:r>
            <w:r>
              <w:t xml:space="preserve">.</w:t>
            </w:r>
            <w:r>
              <w:t xml:space="preserve"> </w:t>
            </w:r>
            <w:r>
              <w:rPr>
                <w:b/>
                <w:bCs/>
              </w:rPr>
              <w:t xml:space="preserve">Рекомендація:</w:t>
            </w:r>
            <w:r>
              <w:t xml:space="preserve"> </w:t>
            </w:r>
            <w:r>
              <w:t xml:space="preserve">Замінити абревіатуру</w:t>
            </w:r>
            <w:r>
              <w:t xml:space="preserve"> </w:t>
            </w:r>
            <w:r>
              <w:t xml:space="preserve">“ЗНМ”</w:t>
            </w:r>
            <w:r>
              <w:t xml:space="preserve"> </w:t>
            </w:r>
            <w:r>
              <w:t xml:space="preserve">на більш стандартну</w:t>
            </w:r>
            <w:r>
              <w:t xml:space="preserve"> </w:t>
            </w:r>
            <w:r>
              <w:t xml:space="preserve">“КНМ”</w:t>
            </w:r>
            <w:r>
              <w:t xml:space="preserve"> </w:t>
            </w:r>
            <w:r>
              <w:t xml:space="preserve">або</w:t>
            </w:r>
            <w:r>
              <w:t xml:space="preserve"> </w:t>
            </w:r>
            <w:r>
              <w:t xml:space="preserve">“CNN”</w:t>
            </w:r>
            <w:r>
              <w:t xml:space="preserve"> </w:t>
            </w:r>
            <w:r>
              <w:t xml:space="preserve">по всьому тексту, попередньо визначивши її у переліку скорочень.</w:t>
            </w:r>
          </w:p>
        </w:tc>
      </w:tr>
      <w:tr>
        <w:tc>
          <w:tcPr/>
          <w:p>
            <w:pPr>
              <w:pStyle w:val="Compact"/>
              <w:jc w:val="left"/>
            </w:pPr>
            <w:r>
              <w:t xml:space="preserve">14</w:t>
            </w:r>
          </w:p>
        </w:tc>
        <w:tc>
          <w:tcPr/>
          <w:p>
            <w:pPr>
              <w:pStyle w:val="Compact"/>
              <w:jc w:val="left"/>
            </w:pPr>
            <w:r>
              <w:rPr>
                <w:b/>
                <w:bCs/>
              </w:rPr>
              <w:t xml:space="preserve">Науковий ступінь керівника</w:t>
            </w:r>
          </w:p>
        </w:tc>
        <w:tc>
          <w:tcPr/>
          <w:p>
            <w:pPr>
              <w:pStyle w:val="Compact"/>
              <w:jc w:val="left"/>
            </w:pPr>
            <w:r>
              <w:t xml:space="preserve">с. 1</w:t>
            </w:r>
          </w:p>
        </w:tc>
        <w:tc>
          <w:tcPr/>
          <w:p>
            <w:pPr>
              <w:pStyle w:val="Compact"/>
              <w:jc w:val="left"/>
            </w:pPr>
            <w:r>
              <w:t xml:space="preserve">Науковий керівник вказаний зі ступенем</w:t>
            </w:r>
            <w:r>
              <w:t xml:space="preserve"> </w:t>
            </w:r>
            <w:r>
              <w:t xml:space="preserve">“доктор філософії”</w:t>
            </w:r>
            <w:r>
              <w:t xml:space="preserve">. Хоча це можливо за новими правилами, варто переконатися, що це відповідає вимогам конкретного університету та спецради, щоб уникнути формальних перешкод під час захисту.</w:t>
            </w:r>
            <w:r>
              <w:t xml:space="preserve"> </w:t>
            </w:r>
            <w:r>
              <w:rPr>
                <w:b/>
                <w:bCs/>
              </w:rPr>
              <w:t xml:space="preserve">Рекомендація:</w:t>
            </w:r>
            <w:r>
              <w:t xml:space="preserve"> </w:t>
            </w:r>
            <w:r>
              <w:t xml:space="preserve">Перевірити положення про присудження наукових ступенів у Хмельницькому національному університеті та вимоги відповідної спецради щодо наукового ступеня керівника.</w:t>
            </w:r>
          </w:p>
        </w:tc>
      </w:tr>
      <w:tr>
        <w:tc>
          <w:tcPr/>
          <w:p>
            <w:pPr>
              <w:pStyle w:val="Compact"/>
              <w:jc w:val="left"/>
            </w:pPr>
            <w:r>
              <w:t xml:space="preserve">15</w:t>
            </w:r>
          </w:p>
        </w:tc>
        <w:tc>
          <w:tcPr/>
          <w:p>
            <w:pPr>
              <w:pStyle w:val="Compact"/>
              <w:jc w:val="left"/>
            </w:pPr>
            <w:r>
              <w:rPr>
                <w:b/>
                <w:bCs/>
              </w:rPr>
              <w:t xml:space="preserve">Непослідовний стиль цитування</w:t>
            </w:r>
          </w:p>
        </w:tc>
        <w:tc>
          <w:tcPr/>
          <w:p>
            <w:pPr>
              <w:pStyle w:val="Compact"/>
              <w:jc w:val="left"/>
            </w:pPr>
            <w:r>
              <w:t xml:space="preserve">с. 27, 68</w:t>
            </w:r>
          </w:p>
        </w:tc>
        <w:tc>
          <w:tcPr/>
          <w:p>
            <w:pPr>
              <w:pStyle w:val="Compact"/>
              <w:jc w:val="left"/>
            </w:pPr>
            <w:r>
              <w:t xml:space="preserve">У тексті використовуються різні формати цитування: через кому</w:t>
            </w:r>
            <w:r>
              <w:t xml:space="preserve"> </w:t>
            </w:r>
            <w:r>
              <w:rPr>
                <w:rStyle w:val="VerbatimChar"/>
              </w:rPr>
              <w:t xml:space="preserve">[52, 53]</w:t>
            </w:r>
            <w:r>
              <w:t xml:space="preserve"> </w:t>
            </w:r>
            <w:r>
              <w:t xml:space="preserve">та через двокрапку</w:t>
            </w:r>
            <w:r>
              <w:t xml:space="preserve"> </w:t>
            </w:r>
            <w:r>
              <w:rPr>
                <w:rStyle w:val="VerbatimChar"/>
              </w:rPr>
              <w:t xml:space="preserve">[52: 120]</w:t>
            </w:r>
            <w:r>
              <w:t xml:space="preserve">. Стиль має бути єдиним.</w:t>
            </w:r>
            <w:r>
              <w:t xml:space="preserve"> </w:t>
            </w:r>
            <w:r>
              <w:rPr>
                <w:b/>
                <w:bCs/>
              </w:rPr>
              <w:t xml:space="preserve">Рекомендація:</w:t>
            </w:r>
            <w:r>
              <w:t xml:space="preserve"> </w:t>
            </w:r>
            <w:r>
              <w:t xml:space="preserve">Привести всі цитування у відповідність до єдиного стандарту (наприклад, ДСТУ 8302:2015 або іншого, що вимагається спецрадою).</w:t>
            </w:r>
          </w:p>
        </w:tc>
      </w:tr>
      <w:tr>
        <w:tc>
          <w:tcPr/>
          <w:p>
            <w:pPr>
              <w:pStyle w:val="Compact"/>
              <w:jc w:val="left"/>
            </w:pPr>
            <w:r>
              <w:t xml:space="preserve">16</w:t>
            </w:r>
          </w:p>
        </w:tc>
        <w:tc>
          <w:tcPr/>
          <w:p>
            <w:pPr>
              <w:pStyle w:val="Compact"/>
              <w:jc w:val="left"/>
            </w:pPr>
            <w:r>
              <w:rPr>
                <w:b/>
                <w:bCs/>
              </w:rPr>
              <w:t xml:space="preserve">Нерівне форматування змісту</w:t>
            </w:r>
          </w:p>
        </w:tc>
        <w:tc>
          <w:tcPr/>
          <w:p>
            <w:pPr>
              <w:pStyle w:val="Compact"/>
              <w:jc w:val="left"/>
            </w:pPr>
            <w:r>
              <w:t xml:space="preserve">с. 14</w:t>
            </w:r>
          </w:p>
        </w:tc>
        <w:tc>
          <w:tcPr/>
          <w:p>
            <w:pPr>
              <w:pStyle w:val="Compact"/>
              <w:jc w:val="left"/>
            </w:pPr>
            <w:r>
              <w:t xml:space="preserve">Пункти 1.1, 1.2 і т.д. у змісті не вирівняні належним чином, а номери сторінок не вирівняні по правому краю. Це виглядає неохайно.</w:t>
            </w:r>
            <w:r>
              <w:t xml:space="preserve"> </w:t>
            </w:r>
            <w:r>
              <w:rPr>
                <w:b/>
                <w:bCs/>
              </w:rPr>
              <w:t xml:space="preserve">Рекомендація:</w:t>
            </w:r>
            <w:r>
              <w:t xml:space="preserve"> </w:t>
            </w:r>
            <w:r>
              <w:t xml:space="preserve">Відформатувати зміст за допомогою автоматичних засобів текстового редактора для забезпечення єдиного стилю, вирівнювання та правильної розстановки крапок-заповнювачів.</w:t>
            </w:r>
          </w:p>
        </w:tc>
      </w:tr>
      <w:tr>
        <w:tc>
          <w:tcPr/>
          <w:p>
            <w:pPr>
              <w:pStyle w:val="Compact"/>
              <w:jc w:val="left"/>
            </w:pPr>
            <w:r>
              <w:t xml:space="preserve">17</w:t>
            </w:r>
          </w:p>
        </w:tc>
        <w:tc>
          <w:tcPr/>
          <w:p>
            <w:pPr>
              <w:pStyle w:val="Compact"/>
              <w:jc w:val="left"/>
            </w:pPr>
            <w:r>
              <w:rPr>
                <w:b/>
                <w:bCs/>
              </w:rPr>
              <w:t xml:space="preserve">Відсутність джерел для ілюстрацій</w:t>
            </w:r>
          </w:p>
        </w:tc>
        <w:tc>
          <w:tcPr/>
          <w:p>
            <w:pPr>
              <w:pStyle w:val="Compact"/>
              <w:jc w:val="left"/>
            </w:pPr>
            <w:r>
              <w:t xml:space="preserve">с. 43 (Рис. 1.8), с. 69 (Рис. 2.4)</w:t>
            </w:r>
          </w:p>
        </w:tc>
        <w:tc>
          <w:tcPr/>
          <w:p>
            <w:pPr>
              <w:pStyle w:val="Compact"/>
              <w:jc w:val="left"/>
            </w:pPr>
            <w:r>
              <w:t xml:space="preserve">Для багатьох ілюстрацій, які виглядають як запозичені або адаптовані, не вказано джерело. Наприклад, рисунок 1.8 цитується як</w:t>
            </w:r>
            <w:r>
              <w:t xml:space="preserve"> </w:t>
            </w:r>
            <w:r>
              <w:rPr>
                <w:rStyle w:val="VerbatimChar"/>
              </w:rPr>
              <w:t xml:space="preserve">[124]</w:t>
            </w:r>
            <w:r>
              <w:t xml:space="preserve">, але незрозуміло, чи це пряма копія.</w:t>
            </w:r>
            <w:r>
              <w:t xml:space="preserve"> </w:t>
            </w:r>
            <w:r>
              <w:rPr>
                <w:b/>
                <w:bCs/>
              </w:rPr>
              <w:t xml:space="preserve">Рекомендація:</w:t>
            </w:r>
            <w:r>
              <w:t xml:space="preserve"> </w:t>
            </w:r>
            <w:r>
              <w:t xml:space="preserve">Для кожної запозиченої або адаптованої ілюстрації додати в підписі посилання на джерело у форматі</w:t>
            </w:r>
            <w:r>
              <w:t xml:space="preserve"> </w:t>
            </w:r>
            <w:r>
              <w:t xml:space="preserve">“Джерело: [X]”</w:t>
            </w:r>
            <w:r>
              <w:t xml:space="preserve"> </w:t>
            </w:r>
            <w:r>
              <w:t xml:space="preserve">або</w:t>
            </w:r>
            <w:r>
              <w:t xml:space="preserve"> </w:t>
            </w:r>
            <w:r>
              <w:t xml:space="preserve">“Адаптовано з [X]”</w:t>
            </w:r>
            <w:r>
              <w:t xml:space="preserve">.</w:t>
            </w:r>
          </w:p>
        </w:tc>
      </w:tr>
      <w:tr>
        <w:tc>
          <w:tcPr/>
          <w:p>
            <w:pPr>
              <w:pStyle w:val="Compact"/>
              <w:jc w:val="left"/>
            </w:pPr>
            <w:r>
              <w:t xml:space="preserve">18</w:t>
            </w:r>
          </w:p>
        </w:tc>
        <w:tc>
          <w:tcPr/>
          <w:p>
            <w:pPr>
              <w:pStyle w:val="Compact"/>
              <w:jc w:val="left"/>
            </w:pPr>
            <w:r>
              <w:rPr>
                <w:b/>
                <w:bCs/>
              </w:rPr>
              <w:t xml:space="preserve">Непослідовність у термінології YOLO</w:t>
            </w:r>
          </w:p>
        </w:tc>
        <w:tc>
          <w:tcPr/>
          <w:p>
            <w:pPr>
              <w:pStyle w:val="Compact"/>
              <w:jc w:val="left"/>
            </w:pPr>
            <w:r>
              <w:t xml:space="preserve">По всьому тексту</w:t>
            </w:r>
          </w:p>
        </w:tc>
        <w:tc>
          <w:tcPr/>
          <w:p>
            <w:pPr>
              <w:pStyle w:val="Compact"/>
              <w:jc w:val="left"/>
            </w:pPr>
            <w:r>
              <w:t xml:space="preserve">В роботі одночасно використовуються терміни</w:t>
            </w:r>
            <w:r>
              <w:t xml:space="preserve"> </w:t>
            </w:r>
            <w:r>
              <w:t xml:space="preserve">“YOLOv11”</w:t>
            </w:r>
            <w:r>
              <w:t xml:space="preserve"> </w:t>
            </w:r>
            <w:r>
              <w:t xml:space="preserve">та</w:t>
            </w:r>
            <w:r>
              <w:t xml:space="preserve"> </w:t>
            </w:r>
            <w:r>
              <w:t xml:space="preserve">“YOLOv11m-seg”</w:t>
            </w:r>
            <w:r>
              <w:t xml:space="preserve">. Немає чіткого пояснення, чи це одна й та сама модель, чи різні, і яка між ними різниця.</w:t>
            </w:r>
            <w:r>
              <w:t xml:space="preserve"> </w:t>
            </w:r>
            <w:r>
              <w:rPr>
                <w:b/>
                <w:bCs/>
              </w:rPr>
              <w:t xml:space="preserve">Рекомендація:</w:t>
            </w:r>
            <w:r>
              <w:t xml:space="preserve"> </w:t>
            </w:r>
            <w:r>
              <w:t xml:space="preserve">Уніфікувати термінологію. Якщо це різні моделі, слід на початку роботи чітко визначити кожну з них. Якщо це одна модель, використовувати єдину назву по всьому тексту.</w:t>
            </w:r>
          </w:p>
        </w:tc>
      </w:tr>
      <w:tr>
        <w:tc>
          <w:tcPr/>
          <w:p>
            <w:pPr>
              <w:pStyle w:val="Compact"/>
              <w:jc w:val="left"/>
            </w:pPr>
            <w:r>
              <w:t xml:space="preserve">19</w:t>
            </w:r>
          </w:p>
        </w:tc>
        <w:tc>
          <w:tcPr/>
          <w:p>
            <w:pPr>
              <w:pStyle w:val="Compact"/>
              <w:jc w:val="left"/>
            </w:pPr>
            <w:r>
              <w:rPr>
                <w:b/>
                <w:bCs/>
              </w:rPr>
              <w:t xml:space="preserve">Граматичні та пунктуаційні помилки</w:t>
            </w:r>
          </w:p>
        </w:tc>
        <w:tc>
          <w:tcPr/>
          <w:p>
            <w:pPr>
              <w:pStyle w:val="Compact"/>
              <w:jc w:val="left"/>
            </w:pPr>
            <w:r>
              <w:t xml:space="preserve">с. 113, 125</w:t>
            </w:r>
          </w:p>
        </w:tc>
        <w:tc>
          <w:tcPr/>
          <w:p>
            <w:pPr>
              <w:pStyle w:val="Compact"/>
              <w:jc w:val="left"/>
            </w:pPr>
            <w:r>
              <w:t xml:space="preserve">Наявні дрібні помилки, наприклад, крапка всередині дужок перед посиланням:</w:t>
            </w:r>
            <w:r>
              <w:t xml:space="preserve"> </w:t>
            </w:r>
            <w:r>
              <w:rPr>
                <w:rStyle w:val="VerbatimChar"/>
              </w:rPr>
              <w:t xml:space="preserve">...масок) [104].</w:t>
            </w:r>
            <w:r>
              <w:t xml:space="preserve">. Таблиця 3.5 на с. 125 має незручне форматування заголовків стовпців.</w:t>
            </w:r>
            <w:r>
              <w:t xml:space="preserve"> </w:t>
            </w:r>
            <w:r>
              <w:rPr>
                <w:b/>
                <w:bCs/>
              </w:rPr>
              <w:t xml:space="preserve">Рекомендація:</w:t>
            </w:r>
            <w:r>
              <w:t xml:space="preserve"> </w:t>
            </w:r>
            <w:r>
              <w:t xml:space="preserve">Провести ретельну вичитку всього тексту дисертації для усунення граматичних, стилістичних та пунктуаційних помилок. Переформатувати таблиці для кращої читабельності.</w:t>
            </w:r>
          </w:p>
        </w:tc>
      </w:tr>
      <w:tr>
        <w:tc>
          <w:tcPr/>
          <w:p>
            <w:pPr>
              <w:pStyle w:val="Compact"/>
              <w:jc w:val="left"/>
            </w:pPr>
            <w:r>
              <w:t xml:space="preserve">20</w:t>
            </w:r>
          </w:p>
        </w:tc>
        <w:tc>
          <w:tcPr/>
          <w:p>
            <w:pPr>
              <w:pStyle w:val="Compact"/>
              <w:jc w:val="left"/>
            </w:pPr>
            <w:r>
              <w:rPr>
                <w:b/>
                <w:bCs/>
              </w:rPr>
              <w:t xml:space="preserve">Недостатньо інформативні підписи до рисунків</w:t>
            </w:r>
          </w:p>
        </w:tc>
        <w:tc>
          <w:tcPr/>
          <w:p>
            <w:pPr>
              <w:pStyle w:val="Compact"/>
              <w:jc w:val="left"/>
            </w:pPr>
            <w:r>
              <w:t xml:space="preserve">с. 109 (Рис. 3.4)</w:t>
            </w:r>
          </w:p>
        </w:tc>
        <w:tc>
          <w:tcPr/>
          <w:p>
            <w:pPr>
              <w:pStyle w:val="Compact"/>
              <w:jc w:val="left"/>
            </w:pPr>
            <w:r>
              <w:t xml:space="preserve">Підпис до рисунка 3.4 описує лише загальну дію, але не пояснює, що саме демонструють підрисунки а), б), в) і чим вони відрізняються, що змушує читача шукати цю інформацію в тексті.</w:t>
            </w:r>
            <w:r>
              <w:t xml:space="preserve"> </w:t>
            </w:r>
            <w:r>
              <w:rPr>
                <w:b/>
                <w:bCs/>
              </w:rPr>
              <w:t xml:space="preserve">Рекомендація:</w:t>
            </w:r>
            <w:r>
              <w:t xml:space="preserve"> </w:t>
            </w:r>
            <w:r>
              <w:t xml:space="preserve">Розширити підписи до складних рисунків, додавши короткий опис кожного компонента (наприклад,</w:t>
            </w:r>
            <w:r>
              <w:t xml:space="preserve"> </w:t>
            </w:r>
            <w:r>
              <w:t xml:space="preserve">“а) висока насиченість; б) низька насиченість…”</w:t>
            </w:r>
            <w:r>
              <w:t xml:space="preserve">), щоб зробити ілюстрації більш самодостатніми.</w:t>
            </w:r>
          </w:p>
        </w:tc>
      </w:tr>
    </w:tbl>
    <w:bookmarkEnd w:id="11"/>
    <w:bookmarkEnd w:id="1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2025-11-04T17:11:04Z</dcterms:created>
  <dcterms:modified xsi:type="dcterms:W3CDTF">2025-11-04T17:11:04Z</dcterms:modified>
</cp:coreProperties>
</file>

<file path=docProps/custom.xml><?xml version="1.0" encoding="utf-8"?>
<Properties xmlns="http://schemas.openxmlformats.org/officeDocument/2006/custom-properties" xmlns:vt="http://schemas.openxmlformats.org/officeDocument/2006/docPropsVTypes"/>
</file>