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Навчальні дисципліни</w:t>
            </w:r>
          </w:p>
        </w:tc>
        <w:tc>
          <w:tcPr/>
          <w:p>
            <w:pPr>
              <w:pStyle w:val="Compact"/>
            </w:pPr>
            <w:r>
              <w:t xml:space="preserve">Рік</w:t>
            </w:r>
          </w:p>
        </w:tc>
        <w:tc>
          <w:tcPr/>
          <w:p>
            <w:pPr>
              <w:pStyle w:val="Compact"/>
            </w:pPr>
            <w:r>
              <w:t xml:space="preserve">ІП, посада особи, що внесла пропозиції</w:t>
            </w:r>
          </w:p>
        </w:tc>
        <w:tc>
          <w:tcPr/>
          <w:p>
            <w:pPr>
              <w:pStyle w:val="Compact"/>
            </w:pPr>
            <w:r>
              <w:t xml:space="preserve">Зміст оновлення (актуалізації) ОК (для внесення у протокол засідання кафедри КН)</w:t>
            </w:r>
          </w:p>
        </w:tc>
        <w:tc>
          <w:tcPr/>
          <w:p>
            <w:pPr>
              <w:pStyle w:val="Compact"/>
            </w:pPr>
            <w:r>
              <w:t xml:space="preserve">Прийнято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Сучасні методології, методи та інструменти експериментальних і теоретичних досліджень у сфері комп’ютерних наук</w:t>
            </w:r>
          </w:p>
        </w:tc>
        <w:tc>
          <w:tcPr/>
          <w:p>
            <w:pPr>
              <w:pStyle w:val="Compact"/>
            </w:pPr>
            <w:r>
              <w:t xml:space="preserve">2022 (122) — базовий рік (2022–2023 н.р.)</w:t>
            </w:r>
          </w:p>
        </w:tc>
        <w:tc>
          <w:tcPr/>
          <w:p>
            <w:pPr>
              <w:pStyle w:val="Compact"/>
            </w:pPr>
            <w:r>
              <w:t xml:space="preserve">Радюк П.М., доцент кафедри комп’ютерних наук (узагальнив пропозиції стейкхолдерів)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Здобувачі та випускники програми:</w:t>
            </w:r>
            <w:r>
              <w:t xml:space="preserve"> </w:t>
            </w:r>
            <w:r>
              <w:t xml:space="preserve">уточнено формулювання практичного заняття щодо мети й завдань дослідження — додано обов’язкове відпрацювання «об’єкт/предмет/гіпотеза/наукова новизна» на матеріалі власної дисертаційної теми.</w:t>
            </w:r>
            <w:r>
              <w:rPr>
                <w:b/>
                <w:bCs/>
              </w:rPr>
              <w:t xml:space="preserve">Роботодавці:</w:t>
            </w:r>
            <w:r>
              <w:t xml:space="preserve"> </w:t>
            </w:r>
            <w:r>
              <w:t xml:space="preserve">посилено прикладний компонент управління НДР — у лекційній темі про загальну схему дослідження виокремлено підетапи планування ресурсів, ризиків і критеріїв якості результатів для науково‑прикладних проєктів.</w:t>
            </w:r>
            <w:r>
              <w:rPr>
                <w:b/>
                <w:bCs/>
              </w:rPr>
              <w:t xml:space="preserve">Академічна спільнота:</w:t>
            </w:r>
            <w:r>
              <w:t xml:space="preserve"> </w:t>
            </w:r>
            <w:r>
              <w:t xml:space="preserve">актуалізовано блок наукової комунікації — деталізовано вимоги до підготовки статті, розмежовано типи публікацій та введено огляд базових наукометричних ідентифікаторів/профілів дослідника (ORCID, ResearcherID).</w:t>
            </w:r>
            <w:r>
              <w:rPr>
                <w:b/>
                <w:bCs/>
              </w:rPr>
              <w:t xml:space="preserve">Інші стейкхолдери:</w:t>
            </w:r>
            <w:r>
              <w:t xml:space="preserve"> </w:t>
            </w:r>
            <w:r>
              <w:t xml:space="preserve">підсилено академічну доброчесність — у практичних завданнях закріплено перевірку коректності цитувань і бібліографічного опису відповідно до вимог дисертації.</w:t>
            </w:r>
          </w:p>
        </w:tc>
        <w:tc>
          <w:tcPr/>
          <w:p>
            <w:pPr>
              <w:pStyle w:val="Compact"/>
            </w:pPr>
            <w:r>
              <w:t xml:space="preserve">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Сучасні методології, методи та інструменти експериментальних і теоретичних досліджень у сфері комп’ютерних наук</w:t>
            </w:r>
          </w:p>
        </w:tc>
        <w:tc>
          <w:tcPr/>
          <w:p>
            <w:pPr>
              <w:pStyle w:val="Compact"/>
            </w:pPr>
            <w:r>
              <w:t xml:space="preserve">2023 (122)</w:t>
            </w:r>
          </w:p>
        </w:tc>
        <w:tc>
          <w:tcPr/>
          <w:p>
            <w:pPr>
              <w:pStyle w:val="Compact"/>
            </w:pPr>
            <w:r>
              <w:t xml:space="preserve">Радюк П.М., доцент кафедри комп’ютерних наук (узагальнив пропозиції стейкхолдерів)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Здобувачі та випускники програми:</w:t>
            </w:r>
            <w:r>
              <w:t xml:space="preserve"> </w:t>
            </w:r>
            <w:r>
              <w:t xml:space="preserve">розширено лабораторну роботу зі статистичного аналізу похибок — додано інтерпретацію результатів і побудову графіків/візуалізацій для аргументації висновків дослідження.</w:t>
            </w:r>
            <w:r>
              <w:rPr>
                <w:b/>
                <w:bCs/>
              </w:rPr>
              <w:t xml:space="preserve">Роботодавці:</w:t>
            </w:r>
            <w:r>
              <w:t xml:space="preserve"> </w:t>
            </w:r>
            <w:r>
              <w:t xml:space="preserve">підвищено відтворюваність експериментів — у вимогах до індивідуального завдання введено короткий «план експерименту» (змінні, метрики, критерії прийняття рішення), що використовується під час захисту результатів.</w:t>
            </w:r>
            <w:r>
              <w:rPr>
                <w:b/>
                <w:bCs/>
              </w:rPr>
              <w:t xml:space="preserve">Академічна спільнота:</w:t>
            </w:r>
            <w:r>
              <w:t xml:space="preserve"> </w:t>
            </w:r>
            <w:r>
              <w:t xml:space="preserve">підсилено інструментальну підготовку до публікацій — введено елемент роботи з LaTeX (MiKTeX) для оформлення макету статті за вимогами міжнародних журналів.</w:t>
            </w:r>
            <w:r>
              <w:rPr>
                <w:b/>
                <w:bCs/>
              </w:rPr>
              <w:t xml:space="preserve">Інші стейкхолдери:</w:t>
            </w:r>
            <w:r>
              <w:t xml:space="preserve"> </w:t>
            </w:r>
            <w:r>
              <w:t xml:space="preserve">систематизовано цифровий супровід курсу — шаблони звітів/ІЗ і методичні матеріали впорядковано в MOODLE, а перелік інформаційних ресурсів доповнено інституційним репозитарієм.</w:t>
            </w:r>
          </w:p>
        </w:tc>
        <w:tc>
          <w:tcPr/>
          <w:p>
            <w:pPr>
              <w:pStyle w:val="Compact"/>
            </w:pPr>
            <w:r>
              <w:t xml:space="preserve">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Сучасні методології, методи та інструменти експериментальних і теоретичних досліджень у сфері комп’ютерних наук</w:t>
            </w:r>
          </w:p>
        </w:tc>
        <w:tc>
          <w:tcPr/>
          <w:p>
            <w:pPr>
              <w:pStyle w:val="Compact"/>
            </w:pPr>
            <w:r>
              <w:t xml:space="preserve">2024 (122)</w:t>
            </w:r>
          </w:p>
        </w:tc>
        <w:tc>
          <w:tcPr/>
          <w:p>
            <w:pPr>
              <w:pStyle w:val="Compact"/>
            </w:pPr>
            <w:r>
              <w:t xml:space="preserve">Радюк П.М., доцент кафедри комп’ютерних наук (узагальнив пропозиції стейкхолдерів)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Здобувачі та випускники програми:</w:t>
            </w:r>
            <w:r>
              <w:t xml:space="preserve"> </w:t>
            </w:r>
            <w:r>
              <w:t xml:space="preserve">підвищено гнучкість індивідуальної траєкторії — введено механізм перезарахування окремих лабораторних робіт результатами неформальної освіти (Prometheus/Coursera) без зміни загального навантаження дисципліни.</w:t>
            </w:r>
            <w:r>
              <w:rPr>
                <w:b/>
                <w:bCs/>
              </w:rPr>
              <w:t xml:space="preserve">Роботодавці:</w:t>
            </w:r>
            <w:r>
              <w:t xml:space="preserve"> </w:t>
            </w:r>
            <w:r>
              <w:t xml:space="preserve">посилено грантову компетентність — уточнено зміст лабораторної/практичної теми «Подача заявок…» із вимогою підготувати стислий пакет документів під обраний конкурс/проєкт.</w:t>
            </w:r>
            <w:r>
              <w:rPr>
                <w:b/>
                <w:bCs/>
              </w:rPr>
              <w:t xml:space="preserve">Академічна спільнота:</w:t>
            </w:r>
            <w:r>
              <w:t xml:space="preserve"> </w:t>
            </w:r>
            <w:r>
              <w:t xml:space="preserve">актуалізовано блок «візуальна аналітика» — у темі про математичне та комп’ютерне моделювання посилено акценти на візуалізацію та інтерпретацію результатів, що відображено у відповідній лабораторній роботі.</w:t>
            </w:r>
            <w:r>
              <w:rPr>
                <w:b/>
                <w:bCs/>
              </w:rPr>
              <w:t xml:space="preserve">Інші стейкхолдери:</w:t>
            </w:r>
            <w:r>
              <w:t xml:space="preserve"> </w:t>
            </w:r>
            <w:r>
              <w:t xml:space="preserve">конкретизовано зв’язок ІЗ із дисертаційною підготовкою — визначено очікувані артефакти (структура вступу, формалізація новизни, стислий висновок) та формат презентації результатів наприкінці семестру.</w:t>
            </w:r>
          </w:p>
        </w:tc>
        <w:tc>
          <w:tcPr/>
          <w:p>
            <w:pPr>
              <w:pStyle w:val="Compact"/>
            </w:pPr>
            <w:r>
              <w:t xml:space="preserve">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Сучасні методології, методи та інструменти експериментальних і теоретичних досліджень у сфері комп’ютерних наук</w:t>
            </w:r>
          </w:p>
        </w:tc>
        <w:tc>
          <w:tcPr/>
          <w:p>
            <w:pPr>
              <w:pStyle w:val="Compact"/>
            </w:pPr>
            <w:r>
              <w:t xml:space="preserve">2025 (F3)</w:t>
            </w:r>
          </w:p>
        </w:tc>
        <w:tc>
          <w:tcPr/>
          <w:p>
            <w:pPr>
              <w:pStyle w:val="Compact"/>
            </w:pPr>
            <w:r>
              <w:t xml:space="preserve">Радюк П.М., доцент кафедри комп’ютерних наук (узагальнив пропозиції стейкхолдерів)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Здобувачі та випускники програми:</w:t>
            </w:r>
            <w:r>
              <w:t xml:space="preserve"> </w:t>
            </w:r>
            <w:r>
              <w:t xml:space="preserve">упорядковано індивідуальну роботу — запроваджено 4 індивідуальні завдання (аналітичний огляд літератури; концептуальна модель і план експерименту; макет статті в LaTeX; аналіз наукометричних показників і проєкт грантової заявки) з поетапним виконанням упродовж семестру.</w:t>
            </w:r>
            <w:r>
              <w:rPr>
                <w:b/>
                <w:bCs/>
              </w:rPr>
              <w:t xml:space="preserve">Роботодавці:</w:t>
            </w:r>
            <w:r>
              <w:t xml:space="preserve"> </w:t>
            </w:r>
            <w:r>
              <w:t xml:space="preserve">посилено практичні дослідницькі навички — дисципліну перегруповано у 4 теми (основи досліджень; моделювання та аналіз даних; наукова комунікація; управління проєктами та наукометрія) із акцентом на лабораторну складову.</w:t>
            </w:r>
            <w:r>
              <w:rPr>
                <w:b/>
                <w:bCs/>
              </w:rPr>
              <w:t xml:space="preserve">Академічна спільнота:</w:t>
            </w:r>
            <w:r>
              <w:t xml:space="preserve"> </w:t>
            </w:r>
            <w:r>
              <w:t xml:space="preserve">актуалізовано методичну базу — оновлено перелік основної літератури (методологія, статистика, візуалізація, грантрайтинг) та уточнено програмні інструменти для аналізу (Python/R) і підготовки публікацій (LaTeX/MiKTeX, менеджери бібліографії).</w:t>
            </w:r>
            <w:r>
              <w:rPr>
                <w:b/>
                <w:bCs/>
              </w:rPr>
              <w:t xml:space="preserve">Інші стейкхолдери:</w:t>
            </w:r>
            <w:r>
              <w:t xml:space="preserve"> </w:t>
            </w:r>
            <w:r>
              <w:t xml:space="preserve">підсилено контроль і узгодження з оновленою ОНП/кодуванням спеціальності — введено підсумкову контрольну роботу та актуалізовано атрибути дисципліни (галузь знань F, спеціальність F3, шифр ОФП.04) без зміни загального обсягу 4 кредити ЄКТС.</w:t>
            </w:r>
          </w:p>
        </w:tc>
        <w:tc>
          <w:tcPr/>
          <w:p>
            <w:pPr>
              <w:pStyle w:val="Compact"/>
            </w:pPr>
            <w:r>
              <w:t xml:space="preserve">Так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2025-12-28T19:58:53Z</dcterms:created>
  <dcterms:modified xsi:type="dcterms:W3CDTF">2025-12-28T19:58:53Z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