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38422E0" w14:textId="77777777" w:rsidR="00CC6B6B" w:rsidRDefault="00000000">
      <w:pPr>
        <w:pStyle w:val="FirstParagraph"/>
      </w:pPr>
      <w:r>
        <w:t>Ось оновлений календарний план, сформований з акцентом на наукоємність результатів (методи, моделі, алгоритми) та чіткі форми звітності, згідно з вашими вимогами та наданим планом дисертації.</w:t>
      </w:r>
    </w:p>
    <w:p w14:paraId="2F3ACE22" w14:textId="77777777" w:rsidR="00CC6B6B" w:rsidRDefault="00000000">
      <w:pPr>
        <w:pStyle w:val="BodyText"/>
      </w:pPr>
      <w:r>
        <w:rPr>
          <w:b/>
          <w:bCs/>
        </w:rPr>
        <w:t>Уточнена назва етапу 2026 року:</w:t>
      </w:r>
      <w:r>
        <w:t xml:space="preserve"> Синтез та експериментальне дослідження методів інтерпретації рішень у задачах медичної діагностики та текстової аналітики</w:t>
      </w:r>
    </w:p>
    <w:p w14:paraId="7E02B169" w14:textId="77777777" w:rsidR="00CC6B6B" w:rsidRDefault="00000000">
      <w:pPr>
        <w:pStyle w:val="Heading3"/>
      </w:pPr>
      <w:bookmarkStart w:id="0" w:name="X61e3c70232c4cecd455a721597a11a9b165127a"/>
      <w:r>
        <w:t>Таблиця 1. Основні види наукової роботи (400 годин)</w:t>
      </w:r>
    </w:p>
    <w:tbl>
      <w:tblPr>
        <w:tblStyle w:val="Table"/>
        <w:tblW w:w="5000" w:type="pct"/>
        <w:tblLayout w:type="fixed"/>
        <w:tblLook w:val="0020" w:firstRow="1" w:lastRow="0" w:firstColumn="0" w:lastColumn="0" w:noHBand="0" w:noVBand="0"/>
      </w:tblPr>
      <w:tblGrid>
        <w:gridCol w:w="1368"/>
        <w:gridCol w:w="1824"/>
        <w:gridCol w:w="1824"/>
        <w:gridCol w:w="2280"/>
        <w:gridCol w:w="2280"/>
      </w:tblGrid>
      <w:tr w:rsidR="00CC6B6B" w14:paraId="2ED2E4D1" w14:textId="77777777" w:rsidTr="00CC6B6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1131" w:type="dxa"/>
          </w:tcPr>
          <w:p w14:paraId="485CF8CA" w14:textId="77777777" w:rsidR="00CC6B6B" w:rsidRDefault="00000000">
            <w:pPr>
              <w:pStyle w:val="Compact"/>
              <w:jc w:val="center"/>
            </w:pPr>
            <w:r>
              <w:t>№</w:t>
            </w:r>
          </w:p>
        </w:tc>
        <w:tc>
          <w:tcPr>
            <w:tcW w:w="1508" w:type="dxa"/>
          </w:tcPr>
          <w:p w14:paraId="31C129BC" w14:textId="77777777" w:rsidR="00CC6B6B" w:rsidRDefault="00000000">
            <w:pPr>
              <w:pStyle w:val="Compact"/>
            </w:pPr>
            <w:r>
              <w:t>Найменування розділів робіт запланованого етапу наукової роботи</w:t>
            </w:r>
          </w:p>
        </w:tc>
        <w:tc>
          <w:tcPr>
            <w:tcW w:w="1508" w:type="dxa"/>
          </w:tcPr>
          <w:p w14:paraId="5A6AEEA8" w14:textId="77777777" w:rsidR="00CC6B6B" w:rsidRDefault="00000000">
            <w:pPr>
              <w:pStyle w:val="Compact"/>
            </w:pPr>
            <w:r>
              <w:t>Які наукові результати планується отримати від виконання запланованого розділу роботи</w:t>
            </w:r>
          </w:p>
        </w:tc>
        <w:tc>
          <w:tcPr>
            <w:tcW w:w="1885" w:type="dxa"/>
          </w:tcPr>
          <w:p w14:paraId="5352894F" w14:textId="77777777" w:rsidR="00CC6B6B" w:rsidRDefault="00000000">
            <w:pPr>
              <w:pStyle w:val="Compact"/>
              <w:jc w:val="center"/>
            </w:pPr>
            <w:r>
              <w:t>Форма звіту</w:t>
            </w:r>
          </w:p>
        </w:tc>
        <w:tc>
          <w:tcPr>
            <w:tcW w:w="1885" w:type="dxa"/>
          </w:tcPr>
          <w:p w14:paraId="206A7338" w14:textId="77777777" w:rsidR="00CC6B6B" w:rsidRDefault="00000000">
            <w:pPr>
              <w:pStyle w:val="Compact"/>
              <w:jc w:val="center"/>
            </w:pPr>
            <w:r>
              <w:t>Години</w:t>
            </w:r>
          </w:p>
        </w:tc>
      </w:tr>
      <w:tr w:rsidR="00CC6B6B" w14:paraId="2857C751" w14:textId="77777777">
        <w:tc>
          <w:tcPr>
            <w:tcW w:w="1131" w:type="dxa"/>
          </w:tcPr>
          <w:p w14:paraId="6BA0E59D" w14:textId="77777777" w:rsidR="00CC6B6B" w:rsidRDefault="00000000">
            <w:pPr>
              <w:pStyle w:val="Compact"/>
              <w:jc w:val="center"/>
            </w:pPr>
            <w:r>
              <w:t>1</w:t>
            </w:r>
          </w:p>
        </w:tc>
        <w:tc>
          <w:tcPr>
            <w:tcW w:w="1508" w:type="dxa"/>
          </w:tcPr>
          <w:p w14:paraId="1695A103" w14:textId="77777777" w:rsidR="00CC6B6B" w:rsidRDefault="00000000">
            <w:pPr>
              <w:pStyle w:val="Compact"/>
            </w:pPr>
            <w:r>
              <w:t>Розроблення методу інтерпретації рішень для електрокардіографічного аналізу (Розділ 3)</w:t>
            </w:r>
          </w:p>
        </w:tc>
        <w:tc>
          <w:tcPr>
            <w:tcW w:w="1508" w:type="dxa"/>
          </w:tcPr>
          <w:p w14:paraId="054EB600" w14:textId="77777777" w:rsidR="00CC6B6B" w:rsidRDefault="00000000">
            <w:pPr>
              <w:pStyle w:val="Compact"/>
            </w:pPr>
            <w:r>
              <w:rPr>
                <w:b/>
                <w:bCs/>
              </w:rPr>
              <w:t>Метод</w:t>
            </w:r>
            <w:r>
              <w:t xml:space="preserve"> інтерпретації рішень класифікації серцевої патології за сигналами ЕКГ; </w:t>
            </w:r>
            <w:r>
              <w:rPr>
                <w:b/>
                <w:bCs/>
              </w:rPr>
              <w:t>формальна модель</w:t>
            </w:r>
            <w:r>
              <w:t xml:space="preserve"> переходу від ознакового простору DL до клінічно зрозумілих ознак</w:t>
            </w:r>
          </w:p>
        </w:tc>
        <w:tc>
          <w:tcPr>
            <w:tcW w:w="1885" w:type="dxa"/>
          </w:tcPr>
          <w:p w14:paraId="37A8E389" w14:textId="77777777" w:rsidR="00CC6B6B" w:rsidRDefault="00000000">
            <w:pPr>
              <w:pStyle w:val="Compact"/>
              <w:jc w:val="center"/>
            </w:pPr>
            <w:r>
              <w:t>Розділ звіту</w:t>
            </w:r>
          </w:p>
        </w:tc>
        <w:tc>
          <w:tcPr>
            <w:tcW w:w="1885" w:type="dxa"/>
          </w:tcPr>
          <w:p w14:paraId="652DC7D3" w14:textId="77777777" w:rsidR="00CC6B6B" w:rsidRDefault="00000000">
            <w:pPr>
              <w:pStyle w:val="Compact"/>
              <w:jc w:val="center"/>
            </w:pPr>
            <w:r>
              <w:t>70</w:t>
            </w:r>
          </w:p>
        </w:tc>
      </w:tr>
      <w:tr w:rsidR="00CC6B6B" w14:paraId="68D3C76D" w14:textId="77777777">
        <w:tc>
          <w:tcPr>
            <w:tcW w:w="1131" w:type="dxa"/>
          </w:tcPr>
          <w:p w14:paraId="4A8623D9" w14:textId="77777777" w:rsidR="00CC6B6B" w:rsidRDefault="00000000">
            <w:pPr>
              <w:pStyle w:val="Compact"/>
              <w:jc w:val="center"/>
            </w:pPr>
            <w:r>
              <w:t>2</w:t>
            </w:r>
          </w:p>
        </w:tc>
        <w:tc>
          <w:tcPr>
            <w:tcW w:w="1508" w:type="dxa"/>
          </w:tcPr>
          <w:p w14:paraId="171A293B" w14:textId="77777777" w:rsidR="00CC6B6B" w:rsidRDefault="00000000">
            <w:pPr>
              <w:pStyle w:val="Compact"/>
            </w:pPr>
            <w:r>
              <w:t>Адаптація методології інтерпретації для задач аналізу МРТ-зображень серця (Розділ 4)</w:t>
            </w:r>
          </w:p>
        </w:tc>
        <w:tc>
          <w:tcPr>
            <w:tcW w:w="1508" w:type="dxa"/>
          </w:tcPr>
          <w:p w14:paraId="61AC7767" w14:textId="77777777" w:rsidR="00CC6B6B" w:rsidRDefault="00000000">
            <w:pPr>
              <w:pStyle w:val="Compact"/>
            </w:pPr>
            <w:r>
              <w:rPr>
                <w:b/>
                <w:bCs/>
              </w:rPr>
              <w:t>Алгоритм</w:t>
            </w:r>
            <w:r>
              <w:t xml:space="preserve"> узгодження візуальних пояснень (Heatmaps) з клінічними правилами; </w:t>
            </w:r>
            <w:r>
              <w:rPr>
                <w:b/>
                <w:bCs/>
              </w:rPr>
              <w:t>критерії</w:t>
            </w:r>
            <w:r>
              <w:t xml:space="preserve"> клінічної відповідності та </w:t>
            </w:r>
            <w:r>
              <w:lastRenderedPageBreak/>
              <w:t>вимірюваності для зображень</w:t>
            </w:r>
          </w:p>
        </w:tc>
        <w:tc>
          <w:tcPr>
            <w:tcW w:w="1885" w:type="dxa"/>
          </w:tcPr>
          <w:p w14:paraId="306D8263" w14:textId="77777777" w:rsidR="00CC6B6B" w:rsidRDefault="00000000">
            <w:pPr>
              <w:pStyle w:val="Compact"/>
              <w:jc w:val="center"/>
            </w:pPr>
            <w:r>
              <w:lastRenderedPageBreak/>
              <w:t>Розділ звіту, рукопис статті</w:t>
            </w:r>
          </w:p>
        </w:tc>
        <w:tc>
          <w:tcPr>
            <w:tcW w:w="1885" w:type="dxa"/>
          </w:tcPr>
          <w:p w14:paraId="742FCCE1" w14:textId="77777777" w:rsidR="00CC6B6B" w:rsidRDefault="00000000">
            <w:pPr>
              <w:pStyle w:val="Compact"/>
              <w:jc w:val="center"/>
            </w:pPr>
            <w:r>
              <w:t>70</w:t>
            </w:r>
          </w:p>
        </w:tc>
      </w:tr>
      <w:tr w:rsidR="00CC6B6B" w14:paraId="50A89AE0" w14:textId="77777777">
        <w:tc>
          <w:tcPr>
            <w:tcW w:w="1131" w:type="dxa"/>
          </w:tcPr>
          <w:p w14:paraId="1F968BD3" w14:textId="77777777" w:rsidR="00CC6B6B" w:rsidRDefault="00000000">
            <w:pPr>
              <w:pStyle w:val="Compact"/>
              <w:jc w:val="center"/>
            </w:pPr>
            <w:r>
              <w:t>3</w:t>
            </w:r>
          </w:p>
        </w:tc>
        <w:tc>
          <w:tcPr>
            <w:tcW w:w="1508" w:type="dxa"/>
          </w:tcPr>
          <w:p w14:paraId="6D7ECE5A" w14:textId="77777777" w:rsidR="00CC6B6B" w:rsidRDefault="00000000">
            <w:pPr>
              <w:pStyle w:val="Compact"/>
            </w:pPr>
            <w:r>
              <w:t>Створення методу виявлення недостовірних новин на основі LLM (Розділ 5)</w:t>
            </w:r>
          </w:p>
        </w:tc>
        <w:tc>
          <w:tcPr>
            <w:tcW w:w="1508" w:type="dxa"/>
          </w:tcPr>
          <w:p w14:paraId="34BF5572" w14:textId="77777777" w:rsidR="00CC6B6B" w:rsidRDefault="00000000">
            <w:pPr>
              <w:pStyle w:val="Compact"/>
            </w:pPr>
            <w:r>
              <w:rPr>
                <w:b/>
                <w:bCs/>
              </w:rPr>
              <w:t>Метод</w:t>
            </w:r>
            <w:r>
              <w:t xml:space="preserve"> виявлення фейкових новин через ментальну апроксимацію; </w:t>
            </w:r>
            <w:r>
              <w:rPr>
                <w:b/>
                <w:bCs/>
              </w:rPr>
              <w:t>процедура</w:t>
            </w:r>
            <w:r>
              <w:t xml:space="preserve"> обчислення інтерпретованих лінгвістичних ознак у поєднанні з ембеддингами LLM</w:t>
            </w:r>
          </w:p>
        </w:tc>
        <w:tc>
          <w:tcPr>
            <w:tcW w:w="1885" w:type="dxa"/>
          </w:tcPr>
          <w:p w14:paraId="2B3DCEE8" w14:textId="77777777" w:rsidR="00CC6B6B" w:rsidRDefault="00000000">
            <w:pPr>
              <w:pStyle w:val="Compact"/>
              <w:jc w:val="center"/>
            </w:pPr>
            <w:r>
              <w:t>Розділ звіту</w:t>
            </w:r>
          </w:p>
        </w:tc>
        <w:tc>
          <w:tcPr>
            <w:tcW w:w="1885" w:type="dxa"/>
          </w:tcPr>
          <w:p w14:paraId="7D37619C" w14:textId="77777777" w:rsidR="00CC6B6B" w:rsidRDefault="00000000">
            <w:pPr>
              <w:pStyle w:val="Compact"/>
              <w:jc w:val="center"/>
            </w:pPr>
            <w:r>
              <w:t>70</w:t>
            </w:r>
          </w:p>
        </w:tc>
      </w:tr>
      <w:tr w:rsidR="00CC6B6B" w14:paraId="25B15055" w14:textId="77777777">
        <w:tc>
          <w:tcPr>
            <w:tcW w:w="1131" w:type="dxa"/>
          </w:tcPr>
          <w:p w14:paraId="6F4A714B" w14:textId="77777777" w:rsidR="00CC6B6B" w:rsidRDefault="00000000">
            <w:pPr>
              <w:pStyle w:val="Compact"/>
              <w:jc w:val="center"/>
            </w:pPr>
            <w:r>
              <w:t>4</w:t>
            </w:r>
          </w:p>
        </w:tc>
        <w:tc>
          <w:tcPr>
            <w:tcW w:w="1508" w:type="dxa"/>
          </w:tcPr>
          <w:p w14:paraId="15E935FF" w14:textId="77777777" w:rsidR="00CC6B6B" w:rsidRDefault="00000000">
            <w:pPr>
              <w:pStyle w:val="Compact"/>
            </w:pPr>
            <w:r>
              <w:t>Проєктування інтегрованої інтелектуальної інформаційної технології (Розділ 6)</w:t>
            </w:r>
          </w:p>
        </w:tc>
        <w:tc>
          <w:tcPr>
            <w:tcW w:w="1508" w:type="dxa"/>
          </w:tcPr>
          <w:p w14:paraId="2EC932E8" w14:textId="77777777" w:rsidR="00CC6B6B" w:rsidRDefault="00000000">
            <w:pPr>
              <w:pStyle w:val="Compact"/>
            </w:pPr>
            <w:r>
              <w:rPr>
                <w:b/>
                <w:bCs/>
              </w:rPr>
              <w:t>Об’єктно-орієнтована модель</w:t>
            </w:r>
            <w:r>
              <w:t xml:space="preserve"> системи та </w:t>
            </w:r>
            <w:r>
              <w:rPr>
                <w:b/>
                <w:bCs/>
              </w:rPr>
              <w:t>схема даних</w:t>
            </w:r>
            <w:r>
              <w:t xml:space="preserve">; </w:t>
            </w:r>
            <w:r>
              <w:rPr>
                <w:b/>
                <w:bCs/>
              </w:rPr>
              <w:t>архітектура</w:t>
            </w:r>
            <w:r>
              <w:t xml:space="preserve"> програмного комплексу для уніфікованого синтезу пояснень у різних доменах</w:t>
            </w:r>
          </w:p>
        </w:tc>
        <w:tc>
          <w:tcPr>
            <w:tcW w:w="1885" w:type="dxa"/>
          </w:tcPr>
          <w:p w14:paraId="77B2BBC1" w14:textId="77777777" w:rsidR="00CC6B6B" w:rsidRDefault="00000000">
            <w:pPr>
              <w:pStyle w:val="Compact"/>
              <w:jc w:val="center"/>
            </w:pPr>
            <w:r>
              <w:t>Технічний опис, розділ звіту</w:t>
            </w:r>
          </w:p>
        </w:tc>
        <w:tc>
          <w:tcPr>
            <w:tcW w:w="1885" w:type="dxa"/>
          </w:tcPr>
          <w:p w14:paraId="1ED9D446" w14:textId="77777777" w:rsidR="00CC6B6B" w:rsidRDefault="00000000">
            <w:pPr>
              <w:pStyle w:val="Compact"/>
              <w:jc w:val="center"/>
            </w:pPr>
            <w:r>
              <w:t>60</w:t>
            </w:r>
          </w:p>
        </w:tc>
      </w:tr>
      <w:tr w:rsidR="00CC6B6B" w14:paraId="05DD3F5E" w14:textId="77777777">
        <w:tc>
          <w:tcPr>
            <w:tcW w:w="1131" w:type="dxa"/>
          </w:tcPr>
          <w:p w14:paraId="1E638A9F" w14:textId="77777777" w:rsidR="00CC6B6B" w:rsidRDefault="00000000">
            <w:pPr>
              <w:pStyle w:val="Compact"/>
              <w:jc w:val="center"/>
            </w:pPr>
            <w:r>
              <w:t>5</w:t>
            </w:r>
          </w:p>
        </w:tc>
        <w:tc>
          <w:tcPr>
            <w:tcW w:w="1508" w:type="dxa"/>
          </w:tcPr>
          <w:p w14:paraId="6BC9C303" w14:textId="77777777" w:rsidR="00CC6B6B" w:rsidRDefault="00000000">
            <w:pPr>
              <w:pStyle w:val="Compact"/>
            </w:pPr>
            <w:r>
              <w:t xml:space="preserve">Експериментальне дослідження стабільності </w:t>
            </w:r>
            <w:r>
              <w:lastRenderedPageBreak/>
              <w:t>та чутливості розроблених методів (Розділ 7)</w:t>
            </w:r>
          </w:p>
        </w:tc>
        <w:tc>
          <w:tcPr>
            <w:tcW w:w="1508" w:type="dxa"/>
          </w:tcPr>
          <w:p w14:paraId="364B2E58" w14:textId="77777777" w:rsidR="00CC6B6B" w:rsidRDefault="00000000">
            <w:pPr>
              <w:pStyle w:val="Compact"/>
            </w:pPr>
            <w:r>
              <w:rPr>
                <w:b/>
                <w:bCs/>
              </w:rPr>
              <w:lastRenderedPageBreak/>
              <w:t>Кількісні залежності</w:t>
            </w:r>
            <w:r>
              <w:t xml:space="preserve"> між збуреннями </w:t>
            </w:r>
            <w:r>
              <w:lastRenderedPageBreak/>
              <w:t>вхідних даних та стабільністю пояснень; результати абляційного аналізу компонентів методу</w:t>
            </w:r>
          </w:p>
        </w:tc>
        <w:tc>
          <w:tcPr>
            <w:tcW w:w="1885" w:type="dxa"/>
          </w:tcPr>
          <w:p w14:paraId="7D3DC14E" w14:textId="77777777" w:rsidR="00CC6B6B" w:rsidRDefault="00000000">
            <w:pPr>
              <w:pStyle w:val="Compact"/>
              <w:jc w:val="center"/>
            </w:pPr>
            <w:r>
              <w:lastRenderedPageBreak/>
              <w:t>Протокол випробувань</w:t>
            </w:r>
          </w:p>
        </w:tc>
        <w:tc>
          <w:tcPr>
            <w:tcW w:w="1885" w:type="dxa"/>
          </w:tcPr>
          <w:p w14:paraId="452DB749" w14:textId="77777777" w:rsidR="00CC6B6B" w:rsidRDefault="00000000">
            <w:pPr>
              <w:pStyle w:val="Compact"/>
              <w:jc w:val="center"/>
            </w:pPr>
            <w:r>
              <w:t>65</w:t>
            </w:r>
          </w:p>
        </w:tc>
      </w:tr>
      <w:tr w:rsidR="00CC6B6B" w14:paraId="691981DF" w14:textId="77777777">
        <w:tc>
          <w:tcPr>
            <w:tcW w:w="1131" w:type="dxa"/>
          </w:tcPr>
          <w:p w14:paraId="13D4B671" w14:textId="77777777" w:rsidR="00CC6B6B" w:rsidRDefault="00000000">
            <w:pPr>
              <w:pStyle w:val="Compact"/>
              <w:jc w:val="center"/>
            </w:pPr>
            <w:r>
              <w:t>6</w:t>
            </w:r>
          </w:p>
        </w:tc>
        <w:tc>
          <w:tcPr>
            <w:tcW w:w="1508" w:type="dxa"/>
          </w:tcPr>
          <w:p w14:paraId="6267D6DA" w14:textId="77777777" w:rsidR="00CC6B6B" w:rsidRDefault="00000000">
            <w:pPr>
              <w:pStyle w:val="Compact"/>
            </w:pPr>
            <w:r>
              <w:t>Валідація результатів із залученням профільних експертів (лікарів, редакторів)</w:t>
            </w:r>
          </w:p>
        </w:tc>
        <w:tc>
          <w:tcPr>
            <w:tcW w:w="1508" w:type="dxa"/>
          </w:tcPr>
          <w:p w14:paraId="44AA662D" w14:textId="77777777" w:rsidR="00CC6B6B" w:rsidRDefault="00000000">
            <w:pPr>
              <w:pStyle w:val="Compact"/>
            </w:pPr>
            <w:r>
              <w:rPr>
                <w:b/>
                <w:bCs/>
              </w:rPr>
              <w:t>Коефіцієнти узгодженості</w:t>
            </w:r>
            <w:r>
              <w:t xml:space="preserve"> (Каппа) між автоматичними поясненнями та експертними висновками; </w:t>
            </w:r>
            <w:r>
              <w:rPr>
                <w:b/>
                <w:bCs/>
              </w:rPr>
              <w:t>метрики</w:t>
            </w:r>
            <w:r>
              <w:t xml:space="preserve"> довіри та корисності</w:t>
            </w:r>
          </w:p>
        </w:tc>
        <w:tc>
          <w:tcPr>
            <w:tcW w:w="1885" w:type="dxa"/>
          </w:tcPr>
          <w:p w14:paraId="581EA549" w14:textId="77777777" w:rsidR="00CC6B6B" w:rsidRDefault="00000000">
            <w:pPr>
              <w:pStyle w:val="Compact"/>
              <w:jc w:val="center"/>
            </w:pPr>
            <w:r>
              <w:t>Розділ звіту, рукопис статті</w:t>
            </w:r>
          </w:p>
        </w:tc>
        <w:tc>
          <w:tcPr>
            <w:tcW w:w="1885" w:type="dxa"/>
          </w:tcPr>
          <w:p w14:paraId="2AB7D2AA" w14:textId="77777777" w:rsidR="00CC6B6B" w:rsidRDefault="00000000">
            <w:pPr>
              <w:pStyle w:val="Compact"/>
              <w:jc w:val="center"/>
            </w:pPr>
            <w:r>
              <w:t>65</w:t>
            </w:r>
          </w:p>
        </w:tc>
      </w:tr>
      <w:tr w:rsidR="00CC6B6B" w14:paraId="046BD6F9" w14:textId="77777777">
        <w:tc>
          <w:tcPr>
            <w:tcW w:w="1131" w:type="dxa"/>
          </w:tcPr>
          <w:p w14:paraId="1298381C" w14:textId="77777777" w:rsidR="00CC6B6B" w:rsidRDefault="00CC6B6B">
            <w:pPr>
              <w:pStyle w:val="Compact"/>
            </w:pPr>
          </w:p>
        </w:tc>
        <w:tc>
          <w:tcPr>
            <w:tcW w:w="1508" w:type="dxa"/>
          </w:tcPr>
          <w:p w14:paraId="74AD3374" w14:textId="77777777" w:rsidR="00CC6B6B" w:rsidRDefault="00000000">
            <w:pPr>
              <w:pStyle w:val="Compact"/>
            </w:pPr>
            <w:r>
              <w:rPr>
                <w:b/>
                <w:bCs/>
              </w:rPr>
              <w:t>Всього годин:</w:t>
            </w:r>
          </w:p>
        </w:tc>
        <w:tc>
          <w:tcPr>
            <w:tcW w:w="1508" w:type="dxa"/>
          </w:tcPr>
          <w:p w14:paraId="339BEC91" w14:textId="77777777" w:rsidR="00CC6B6B" w:rsidRDefault="00CC6B6B">
            <w:pPr>
              <w:pStyle w:val="Compact"/>
            </w:pPr>
          </w:p>
        </w:tc>
        <w:tc>
          <w:tcPr>
            <w:tcW w:w="1885" w:type="dxa"/>
          </w:tcPr>
          <w:p w14:paraId="7FCF413A" w14:textId="77777777" w:rsidR="00CC6B6B" w:rsidRDefault="00CC6B6B">
            <w:pPr>
              <w:pStyle w:val="Compact"/>
            </w:pPr>
          </w:p>
        </w:tc>
        <w:tc>
          <w:tcPr>
            <w:tcW w:w="1885" w:type="dxa"/>
          </w:tcPr>
          <w:p w14:paraId="4D064402" w14:textId="77777777" w:rsidR="00CC6B6B" w:rsidRDefault="00000000">
            <w:pPr>
              <w:pStyle w:val="Compact"/>
              <w:jc w:val="center"/>
            </w:pPr>
            <w:r>
              <w:rPr>
                <w:b/>
                <w:bCs/>
              </w:rPr>
              <w:t>400</w:t>
            </w:r>
          </w:p>
        </w:tc>
      </w:tr>
    </w:tbl>
    <w:p w14:paraId="3822C48E" w14:textId="77777777" w:rsidR="00CC6B6B" w:rsidRDefault="00000000">
      <w:r>
        <w:pict w14:anchorId="18B32D03">
          <v:rect id="_x0000_i1025" style="width:0;height:1.5pt" o:hralign="center" o:hrstd="t" o:hr="t"/>
        </w:pict>
      </w:r>
    </w:p>
    <w:p w14:paraId="28DB5AF9" w14:textId="77777777" w:rsidR="00CC6B6B" w:rsidRDefault="00000000">
      <w:pPr>
        <w:pStyle w:val="Heading3"/>
      </w:pPr>
      <w:bookmarkStart w:id="1" w:name="Xb9f87175b67aa8b084db55fe1fbae139f9030ab"/>
      <w:bookmarkEnd w:id="0"/>
      <w:r>
        <w:t>Таблиця 2. Інші види наукової роботи (100 годин)</w:t>
      </w:r>
    </w:p>
    <w:tbl>
      <w:tblPr>
        <w:tblStyle w:val="Table"/>
        <w:tblW w:w="5000" w:type="pct"/>
        <w:tblLayout w:type="fixed"/>
        <w:tblLook w:val="0020" w:firstRow="1" w:lastRow="0" w:firstColumn="0" w:lastColumn="0" w:noHBand="0" w:noVBand="0"/>
      </w:tblPr>
      <w:tblGrid>
        <w:gridCol w:w="1689"/>
        <w:gridCol w:w="2253"/>
        <w:gridCol w:w="2817"/>
        <w:gridCol w:w="2817"/>
      </w:tblGrid>
      <w:tr w:rsidR="00CC6B6B" w14:paraId="713DE649" w14:textId="77777777" w:rsidTr="00CC6B6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1397" w:type="dxa"/>
          </w:tcPr>
          <w:p w14:paraId="023DBEB4" w14:textId="77777777" w:rsidR="00CC6B6B" w:rsidRDefault="00000000">
            <w:pPr>
              <w:pStyle w:val="Compact"/>
              <w:jc w:val="center"/>
            </w:pPr>
            <w:r>
              <w:t>№</w:t>
            </w:r>
          </w:p>
        </w:tc>
        <w:tc>
          <w:tcPr>
            <w:tcW w:w="1863" w:type="dxa"/>
          </w:tcPr>
          <w:p w14:paraId="15C9B45E" w14:textId="77777777" w:rsidR="00CC6B6B" w:rsidRDefault="00000000">
            <w:pPr>
              <w:pStyle w:val="Compact"/>
            </w:pPr>
            <w:r>
              <w:t>Інші види наукової роботи: Назва рівня конференції, олімпіади, конкурсу, виставки</w:t>
            </w:r>
          </w:p>
        </w:tc>
        <w:tc>
          <w:tcPr>
            <w:tcW w:w="2329" w:type="dxa"/>
          </w:tcPr>
          <w:p w14:paraId="76193DBC" w14:textId="77777777" w:rsidR="00CC6B6B" w:rsidRDefault="00000000">
            <w:pPr>
              <w:pStyle w:val="Compact"/>
              <w:jc w:val="center"/>
            </w:pPr>
            <w:r>
              <w:t>Кількість осіб, одиниць, штук тощо</w:t>
            </w:r>
          </w:p>
        </w:tc>
        <w:tc>
          <w:tcPr>
            <w:tcW w:w="2329" w:type="dxa"/>
          </w:tcPr>
          <w:p w14:paraId="41623FFF" w14:textId="77777777" w:rsidR="00CC6B6B" w:rsidRDefault="00000000">
            <w:pPr>
              <w:pStyle w:val="Compact"/>
              <w:jc w:val="center"/>
            </w:pPr>
            <w:r>
              <w:t>Години</w:t>
            </w:r>
          </w:p>
        </w:tc>
      </w:tr>
      <w:tr w:rsidR="00CC6B6B" w14:paraId="5800FFB6" w14:textId="77777777">
        <w:tc>
          <w:tcPr>
            <w:tcW w:w="1397" w:type="dxa"/>
          </w:tcPr>
          <w:p w14:paraId="6EB877C0" w14:textId="77777777" w:rsidR="00CC6B6B" w:rsidRDefault="00000000">
            <w:pPr>
              <w:pStyle w:val="Compact"/>
              <w:jc w:val="center"/>
            </w:pPr>
            <w:r>
              <w:t>1</w:t>
            </w:r>
          </w:p>
        </w:tc>
        <w:tc>
          <w:tcPr>
            <w:tcW w:w="1863" w:type="dxa"/>
          </w:tcPr>
          <w:p w14:paraId="35D6FD0F" w14:textId="77777777" w:rsidR="00CC6B6B" w:rsidRDefault="00000000">
            <w:pPr>
              <w:pStyle w:val="Compact"/>
            </w:pPr>
            <w:r>
              <w:t xml:space="preserve">Підготовка та подання статті до фахового </w:t>
            </w:r>
            <w:r>
              <w:lastRenderedPageBreak/>
              <w:t>міжнародного журналу (Scopus/WoS Q1-Q2) за результатами методів для ЕКГ/МРТ</w:t>
            </w:r>
          </w:p>
        </w:tc>
        <w:tc>
          <w:tcPr>
            <w:tcW w:w="2329" w:type="dxa"/>
          </w:tcPr>
          <w:p w14:paraId="13B6E91E" w14:textId="77777777" w:rsidR="00CC6B6B" w:rsidRDefault="00000000">
            <w:pPr>
              <w:pStyle w:val="Compact"/>
              <w:jc w:val="center"/>
            </w:pPr>
            <w:r>
              <w:lastRenderedPageBreak/>
              <w:t>1 стаття</w:t>
            </w:r>
          </w:p>
        </w:tc>
        <w:tc>
          <w:tcPr>
            <w:tcW w:w="2329" w:type="dxa"/>
          </w:tcPr>
          <w:p w14:paraId="6B19CE01" w14:textId="77777777" w:rsidR="00CC6B6B" w:rsidRDefault="00000000">
            <w:pPr>
              <w:pStyle w:val="Compact"/>
              <w:jc w:val="center"/>
            </w:pPr>
            <w:r>
              <w:t>30</w:t>
            </w:r>
          </w:p>
        </w:tc>
      </w:tr>
      <w:tr w:rsidR="00CC6B6B" w14:paraId="72B614AE" w14:textId="77777777">
        <w:tc>
          <w:tcPr>
            <w:tcW w:w="1397" w:type="dxa"/>
          </w:tcPr>
          <w:p w14:paraId="395ED2FE" w14:textId="77777777" w:rsidR="00CC6B6B" w:rsidRDefault="00000000">
            <w:pPr>
              <w:pStyle w:val="Compact"/>
              <w:jc w:val="center"/>
            </w:pPr>
            <w:r>
              <w:t>2</w:t>
            </w:r>
          </w:p>
        </w:tc>
        <w:tc>
          <w:tcPr>
            <w:tcW w:w="1863" w:type="dxa"/>
          </w:tcPr>
          <w:p w14:paraId="05D12701" w14:textId="77777777" w:rsidR="00CC6B6B" w:rsidRDefault="00000000">
            <w:pPr>
              <w:pStyle w:val="Compact"/>
            </w:pPr>
            <w:r>
              <w:t>Участь у міжнародній конференції з медичної інформатики (презентація методу візуалізації рішень)</w:t>
            </w:r>
          </w:p>
        </w:tc>
        <w:tc>
          <w:tcPr>
            <w:tcW w:w="2329" w:type="dxa"/>
          </w:tcPr>
          <w:p w14:paraId="43D204D7" w14:textId="77777777" w:rsidR="00CC6B6B" w:rsidRDefault="00000000">
            <w:pPr>
              <w:pStyle w:val="Compact"/>
              <w:jc w:val="center"/>
            </w:pPr>
            <w:r>
              <w:t>1 доповідь</w:t>
            </w:r>
          </w:p>
        </w:tc>
        <w:tc>
          <w:tcPr>
            <w:tcW w:w="2329" w:type="dxa"/>
          </w:tcPr>
          <w:p w14:paraId="6B107DC6" w14:textId="77777777" w:rsidR="00CC6B6B" w:rsidRDefault="00000000">
            <w:pPr>
              <w:pStyle w:val="Compact"/>
              <w:jc w:val="center"/>
            </w:pPr>
            <w:r>
              <w:t>10</w:t>
            </w:r>
          </w:p>
        </w:tc>
      </w:tr>
      <w:tr w:rsidR="00CC6B6B" w14:paraId="1E16139E" w14:textId="77777777">
        <w:tc>
          <w:tcPr>
            <w:tcW w:w="1397" w:type="dxa"/>
          </w:tcPr>
          <w:p w14:paraId="4E444BE0" w14:textId="77777777" w:rsidR="00CC6B6B" w:rsidRDefault="00000000">
            <w:pPr>
              <w:pStyle w:val="Compact"/>
              <w:jc w:val="center"/>
            </w:pPr>
            <w:r>
              <w:t>3</w:t>
            </w:r>
          </w:p>
        </w:tc>
        <w:tc>
          <w:tcPr>
            <w:tcW w:w="1863" w:type="dxa"/>
          </w:tcPr>
          <w:p w14:paraId="2D1FA32C" w14:textId="77777777" w:rsidR="00CC6B6B" w:rsidRDefault="00000000">
            <w:pPr>
              <w:pStyle w:val="Compact"/>
            </w:pPr>
            <w:r>
              <w:t>Підготовка статті до міжнародного видання за результатами методу виявлення фейкових новин (NLP domain)</w:t>
            </w:r>
          </w:p>
        </w:tc>
        <w:tc>
          <w:tcPr>
            <w:tcW w:w="2329" w:type="dxa"/>
          </w:tcPr>
          <w:p w14:paraId="31C39DCF" w14:textId="77777777" w:rsidR="00CC6B6B" w:rsidRDefault="00000000">
            <w:pPr>
              <w:pStyle w:val="Compact"/>
              <w:jc w:val="center"/>
            </w:pPr>
            <w:r>
              <w:t>1 стаття</w:t>
            </w:r>
          </w:p>
        </w:tc>
        <w:tc>
          <w:tcPr>
            <w:tcW w:w="2329" w:type="dxa"/>
          </w:tcPr>
          <w:p w14:paraId="3889EB56" w14:textId="77777777" w:rsidR="00CC6B6B" w:rsidRDefault="00000000">
            <w:pPr>
              <w:pStyle w:val="Compact"/>
              <w:jc w:val="center"/>
            </w:pPr>
            <w:r>
              <w:t>30</w:t>
            </w:r>
          </w:p>
        </w:tc>
      </w:tr>
      <w:tr w:rsidR="00CC6B6B" w14:paraId="6A98B7E3" w14:textId="77777777">
        <w:tc>
          <w:tcPr>
            <w:tcW w:w="1397" w:type="dxa"/>
          </w:tcPr>
          <w:p w14:paraId="4FFB51EA" w14:textId="77777777" w:rsidR="00CC6B6B" w:rsidRDefault="00000000">
            <w:pPr>
              <w:pStyle w:val="Compact"/>
              <w:jc w:val="center"/>
            </w:pPr>
            <w:r>
              <w:t>4</w:t>
            </w:r>
          </w:p>
        </w:tc>
        <w:tc>
          <w:tcPr>
            <w:tcW w:w="1863" w:type="dxa"/>
          </w:tcPr>
          <w:p w14:paraId="77825CB7" w14:textId="77777777" w:rsidR="00CC6B6B" w:rsidRDefault="00000000">
            <w:pPr>
              <w:pStyle w:val="Compact"/>
            </w:pPr>
            <w:r>
              <w:t>Апробація результатів на літньому науковому семінарі (презентація проміжних результатів аналізу чутливості)</w:t>
            </w:r>
          </w:p>
        </w:tc>
        <w:tc>
          <w:tcPr>
            <w:tcW w:w="2329" w:type="dxa"/>
          </w:tcPr>
          <w:p w14:paraId="5F2BC919" w14:textId="77777777" w:rsidR="00CC6B6B" w:rsidRDefault="00000000">
            <w:pPr>
              <w:pStyle w:val="Compact"/>
              <w:jc w:val="center"/>
            </w:pPr>
            <w:r>
              <w:t>1 презентація</w:t>
            </w:r>
          </w:p>
        </w:tc>
        <w:tc>
          <w:tcPr>
            <w:tcW w:w="2329" w:type="dxa"/>
          </w:tcPr>
          <w:p w14:paraId="2DCE9E39" w14:textId="77777777" w:rsidR="00CC6B6B" w:rsidRDefault="00000000">
            <w:pPr>
              <w:pStyle w:val="Compact"/>
              <w:jc w:val="center"/>
            </w:pPr>
            <w:r>
              <w:t>10</w:t>
            </w:r>
          </w:p>
        </w:tc>
      </w:tr>
      <w:tr w:rsidR="00CC6B6B" w14:paraId="0D4214C9" w14:textId="77777777">
        <w:tc>
          <w:tcPr>
            <w:tcW w:w="1397" w:type="dxa"/>
          </w:tcPr>
          <w:p w14:paraId="7FD36EBB" w14:textId="77777777" w:rsidR="00CC6B6B" w:rsidRDefault="00000000">
            <w:pPr>
              <w:pStyle w:val="Compact"/>
              <w:jc w:val="center"/>
            </w:pPr>
            <w:r>
              <w:t>5</w:t>
            </w:r>
          </w:p>
        </w:tc>
        <w:tc>
          <w:tcPr>
            <w:tcW w:w="1863" w:type="dxa"/>
          </w:tcPr>
          <w:p w14:paraId="6D4BF205" w14:textId="77777777" w:rsidR="00CC6B6B" w:rsidRDefault="00000000">
            <w:pPr>
              <w:pStyle w:val="Compact"/>
            </w:pPr>
            <w:r>
              <w:t xml:space="preserve">Підготовка та подання розширених тез на конференцію з обробки </w:t>
            </w:r>
            <w:r>
              <w:lastRenderedPageBreak/>
              <w:t>природної мови (Computational Linguistics)</w:t>
            </w:r>
          </w:p>
        </w:tc>
        <w:tc>
          <w:tcPr>
            <w:tcW w:w="2329" w:type="dxa"/>
          </w:tcPr>
          <w:p w14:paraId="15908DD9" w14:textId="77777777" w:rsidR="00CC6B6B" w:rsidRDefault="00000000">
            <w:pPr>
              <w:pStyle w:val="Compact"/>
              <w:jc w:val="center"/>
            </w:pPr>
            <w:r>
              <w:lastRenderedPageBreak/>
              <w:t>1 тези доповіді</w:t>
            </w:r>
          </w:p>
        </w:tc>
        <w:tc>
          <w:tcPr>
            <w:tcW w:w="2329" w:type="dxa"/>
          </w:tcPr>
          <w:p w14:paraId="659E8430" w14:textId="77777777" w:rsidR="00CC6B6B" w:rsidRDefault="00000000">
            <w:pPr>
              <w:pStyle w:val="Compact"/>
              <w:jc w:val="center"/>
            </w:pPr>
            <w:r>
              <w:t>15</w:t>
            </w:r>
          </w:p>
        </w:tc>
      </w:tr>
      <w:tr w:rsidR="00CC6B6B" w14:paraId="4ED74FC1" w14:textId="77777777">
        <w:tc>
          <w:tcPr>
            <w:tcW w:w="1397" w:type="dxa"/>
          </w:tcPr>
          <w:p w14:paraId="3B241359" w14:textId="77777777" w:rsidR="00CC6B6B" w:rsidRDefault="00000000">
            <w:pPr>
              <w:pStyle w:val="Compact"/>
              <w:jc w:val="center"/>
            </w:pPr>
            <w:r>
              <w:t>6</w:t>
            </w:r>
          </w:p>
        </w:tc>
        <w:tc>
          <w:tcPr>
            <w:tcW w:w="1863" w:type="dxa"/>
          </w:tcPr>
          <w:p w14:paraId="72071D3D" w14:textId="77777777" w:rsidR="00CC6B6B" w:rsidRDefault="00000000">
            <w:pPr>
              <w:pStyle w:val="Compact"/>
            </w:pPr>
            <w:r>
              <w:t>Презентація консолідованих результатів етапу на кафедральному науковому семінарі</w:t>
            </w:r>
          </w:p>
        </w:tc>
        <w:tc>
          <w:tcPr>
            <w:tcW w:w="2329" w:type="dxa"/>
          </w:tcPr>
          <w:p w14:paraId="15F99A2F" w14:textId="77777777" w:rsidR="00CC6B6B" w:rsidRDefault="00000000">
            <w:pPr>
              <w:pStyle w:val="Compact"/>
              <w:jc w:val="center"/>
            </w:pPr>
            <w:r>
              <w:t>1 звітна доповідь</w:t>
            </w:r>
          </w:p>
        </w:tc>
        <w:tc>
          <w:tcPr>
            <w:tcW w:w="2329" w:type="dxa"/>
          </w:tcPr>
          <w:p w14:paraId="239CBBA4" w14:textId="77777777" w:rsidR="00CC6B6B" w:rsidRDefault="00000000">
            <w:pPr>
              <w:pStyle w:val="Compact"/>
              <w:jc w:val="center"/>
            </w:pPr>
            <w:r>
              <w:t>5</w:t>
            </w:r>
          </w:p>
        </w:tc>
      </w:tr>
      <w:tr w:rsidR="00CC6B6B" w14:paraId="32D5CCBF" w14:textId="77777777">
        <w:tc>
          <w:tcPr>
            <w:tcW w:w="1397" w:type="dxa"/>
          </w:tcPr>
          <w:p w14:paraId="351B7C66" w14:textId="77777777" w:rsidR="00CC6B6B" w:rsidRDefault="00CC6B6B">
            <w:pPr>
              <w:pStyle w:val="Compact"/>
            </w:pPr>
          </w:p>
        </w:tc>
        <w:tc>
          <w:tcPr>
            <w:tcW w:w="1863" w:type="dxa"/>
          </w:tcPr>
          <w:p w14:paraId="7A80345C" w14:textId="77777777" w:rsidR="00CC6B6B" w:rsidRDefault="00000000">
            <w:pPr>
              <w:pStyle w:val="Compact"/>
            </w:pPr>
            <w:r>
              <w:rPr>
                <w:b/>
                <w:bCs/>
              </w:rPr>
              <w:t>Всього годин:</w:t>
            </w:r>
          </w:p>
        </w:tc>
        <w:tc>
          <w:tcPr>
            <w:tcW w:w="2329" w:type="dxa"/>
          </w:tcPr>
          <w:p w14:paraId="2365AF6D" w14:textId="77777777" w:rsidR="00CC6B6B" w:rsidRDefault="00CC6B6B">
            <w:pPr>
              <w:pStyle w:val="Compact"/>
            </w:pPr>
          </w:p>
        </w:tc>
        <w:tc>
          <w:tcPr>
            <w:tcW w:w="2329" w:type="dxa"/>
          </w:tcPr>
          <w:p w14:paraId="0F07A1C5" w14:textId="77777777" w:rsidR="00CC6B6B" w:rsidRDefault="00000000">
            <w:pPr>
              <w:pStyle w:val="Compact"/>
              <w:jc w:val="center"/>
            </w:pPr>
            <w:r>
              <w:rPr>
                <w:b/>
                <w:bCs/>
              </w:rPr>
              <w:t>100</w:t>
            </w:r>
          </w:p>
        </w:tc>
      </w:tr>
    </w:tbl>
    <w:p w14:paraId="4F1C8E7B" w14:textId="77777777" w:rsidR="00CC6B6B" w:rsidRDefault="00000000">
      <w:r>
        <w:pict w14:anchorId="2CD28616">
          <v:rect id="_x0000_i1026" style="width:0;height:1.5pt" o:hralign="center" o:hrstd="t" o:hr="t"/>
        </w:pict>
      </w:r>
    </w:p>
    <w:p w14:paraId="1592EF62" w14:textId="77777777" w:rsidR="00CC6B6B" w:rsidRDefault="00000000">
      <w:pPr>
        <w:pStyle w:val="Heading3"/>
      </w:pPr>
      <w:bookmarkStart w:id="2" w:name="підсумкова-інформація-для-формату-pdf"/>
      <w:bookmarkEnd w:id="1"/>
      <w:r>
        <w:t>Підсумкова інформація (для формату PDF):</w:t>
      </w:r>
    </w:p>
    <w:p w14:paraId="40F64F41" w14:textId="77777777" w:rsidR="00CC6B6B" w:rsidRDefault="00000000">
      <w:pPr>
        <w:pStyle w:val="Compact"/>
        <w:numPr>
          <w:ilvl w:val="0"/>
          <w:numId w:val="2"/>
        </w:numPr>
      </w:pPr>
      <w:r>
        <w:rPr>
          <w:b/>
          <w:bCs/>
        </w:rPr>
        <w:t>Тема етапу 2026 р.:</w:t>
      </w:r>
      <w:r>
        <w:t xml:space="preserve"> Синтез та експериментальне дослідження методів інтерпретації рішень у задачах медичної діагностики та текстової аналітики.</w:t>
      </w:r>
    </w:p>
    <w:p w14:paraId="444B437C" w14:textId="77777777" w:rsidR="00CC6B6B" w:rsidRDefault="00000000">
      <w:pPr>
        <w:pStyle w:val="Compact"/>
        <w:numPr>
          <w:ilvl w:val="0"/>
          <w:numId w:val="2"/>
        </w:numPr>
      </w:pPr>
      <w:r>
        <w:rPr>
          <w:b/>
          <w:bCs/>
        </w:rPr>
        <w:t>Всього годин (Таблиця 1):</w:t>
      </w:r>
      <w:r>
        <w:t xml:space="preserve"> 400</w:t>
      </w:r>
    </w:p>
    <w:p w14:paraId="1668C1D8" w14:textId="77777777" w:rsidR="00CC6B6B" w:rsidRDefault="00000000">
      <w:pPr>
        <w:pStyle w:val="Compact"/>
        <w:numPr>
          <w:ilvl w:val="0"/>
          <w:numId w:val="2"/>
        </w:numPr>
      </w:pPr>
      <w:r>
        <w:rPr>
          <w:b/>
          <w:bCs/>
        </w:rPr>
        <w:t>Всього годин (Таблиця 2):</w:t>
      </w:r>
      <w:r>
        <w:t xml:space="preserve"> 100</w:t>
      </w:r>
    </w:p>
    <w:p w14:paraId="4BE12E1F" w14:textId="77777777" w:rsidR="00CC6B6B" w:rsidRDefault="00000000">
      <w:pPr>
        <w:pStyle w:val="Compact"/>
        <w:numPr>
          <w:ilvl w:val="0"/>
          <w:numId w:val="2"/>
        </w:numPr>
      </w:pPr>
      <w:r>
        <w:rPr>
          <w:b/>
          <w:bCs/>
        </w:rPr>
        <w:t>Разом годин:</w:t>
      </w:r>
      <w:r>
        <w:t xml:space="preserve"> 500</w:t>
      </w:r>
      <w:bookmarkEnd w:id="2"/>
    </w:p>
    <w:sectPr w:rsidR="00CC6B6B">
      <w:footnotePr>
        <w:numRestart w:val="eachSect"/>
      </w:footnotePr>
      <w:pgSz w:w="12240" w:h="15840"/>
      <w:pgMar w:top="1440" w:right="1440" w:bottom="1440" w:left="144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roman"/>
    <w:notTrueType/>
    <w:pitch w:val="default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A990"/>
    <w:multiLevelType w:val="multilevel"/>
    <w:tmpl w:val="7E0E47DE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1" w15:restartNumberingAfterBreak="0">
    <w:nsid w:val="0000A991"/>
    <w:multiLevelType w:val="multilevel"/>
    <w:tmpl w:val="E2C2DC70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" w16cid:durableId="767971058">
    <w:abstractNumId w:val="0"/>
  </w:num>
  <w:num w:numId="2" w16cid:durableId="1200781030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70"/>
  <w:embedSystemFonts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footnotePr>
    <w:numRestart w:val="eachSect"/>
  </w:footnotePr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CC6B6B"/>
    <w:rsid w:val="002C238D"/>
    <w:rsid w:val="007656B5"/>
    <w:rsid w:val="00CC6B6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CCAFC40"/>
  <w15:docId w15:val="{E4F1F207-B88A-488D-BBDA-E7CEECBD7BC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lang w:val="en-US" w:eastAsia="zh-CN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qFormat/>
    <w:pPr>
      <w:spacing w:before="180" w:after="180"/>
    </w:pPr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link w:val="TitleChar"/>
    <w:uiPriority w:val="10"/>
    <w:qFormat/>
    <w:rsid w:val="00A10FD9"/>
    <w:pPr>
      <w:spacing w:after="80"/>
      <w:contextualSpacing/>
      <w:jc w:val="center"/>
    </w:pPr>
    <w:rPr>
      <w:rFonts w:asciiTheme="majorHAnsi" w:eastAsiaTheme="majorEastAsia" w:hAnsiTheme="majorHAnsi" w:cstheme="majorBidi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10FD9"/>
    <w:rPr>
      <w:rFonts w:asciiTheme="majorHAnsi" w:eastAsiaTheme="majorEastAsia" w:hAnsiTheme="majorHAnsi" w:cstheme="majorBidi"/>
      <w:sz w:val="56"/>
      <w:szCs w:val="56"/>
    </w:rPr>
  </w:style>
  <w:style w:type="paragraph" w:styleId="Subtitle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type="paragraph" w:styleId="Date">
    <w:name w:val="Date"/>
    <w:basedOn w:val="Title"/>
    <w:next w:val="BodyText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qFormat/>
  </w:style>
  <w:style w:type="character" w:customStyle="1" w:styleId="Heading1Char">
    <w:name w:val="Heading 1 Char"/>
    <w:basedOn w:val="DefaultParagraphFont"/>
    <w:link w:val="Heading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left="480" w:right="480"/>
    </w:pPr>
  </w:style>
  <w:style w:type="paragraph" w:styleId="FootnoteText">
    <w:name w:val="footnote text"/>
    <w:basedOn w:val="Normal"/>
    <w:uiPriority w:val="9"/>
    <w:unhideWhenUsed/>
    <w:qFormat/>
  </w:style>
  <w:style w:type="paragraph" w:customStyle="1" w:styleId="FootnoteBlockText">
    <w:name w:val="Footnote Block Text"/>
    <w:basedOn w:val="FootnoteText"/>
    <w:next w:val="FootnoteText"/>
    <w:uiPriority w:val="9"/>
    <w:unhideWhenUsed/>
    <w:qFormat/>
    <w:pPr>
      <w:spacing w:before="100" w:after="100"/>
      <w:ind w:left="480" w:right="480"/>
    </w:pPr>
  </w:style>
  <w:style w:type="table" w:customStyle="1" w:styleId="Table">
    <w:name w:val="Table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/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CaptionChar"/>
    <w:pPr>
      <w:spacing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CaptionChar">
    <w:name w:val="Caption Char"/>
    <w:basedOn w:val="DefaultParagraphFont"/>
    <w:link w:val="Caption"/>
  </w:style>
  <w:style w:type="character" w:customStyle="1" w:styleId="VerbatimChar">
    <w:name w:val="Verbatim Char"/>
    <w:basedOn w:val="CaptionChar"/>
    <w:link w:val="SourceCode"/>
    <w:rPr>
      <w:rFonts w:ascii="Consolas" w:hAnsi="Consolas"/>
      <w:sz w:val="22"/>
    </w:rPr>
  </w:style>
  <w:style w:type="character" w:customStyle="1" w:styleId="SectionNumber">
    <w:name w:val="Section Number"/>
    <w:basedOn w:val="CaptionChar"/>
  </w:style>
  <w:style w:type="character" w:styleId="FootnoteReference">
    <w:name w:val="footnote reference"/>
    <w:basedOn w:val="CaptionChar"/>
    <w:rPr>
      <w:vertAlign w:val="superscript"/>
    </w:rPr>
  </w:style>
  <w:style w:type="character" w:styleId="Hyperlink">
    <w:name w:val="Hyperlink"/>
    <w:basedOn w:val="CaptionChar"/>
    <w:rPr>
      <w:color w:val="156082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</w:style>
  <w:style w:type="paragraph" w:customStyle="1" w:styleId="SourceCode">
    <w:name w:val="Source Code"/>
    <w:basedOn w:val="Normal"/>
    <w:link w:val="VerbatimChar"/>
    <w:pPr>
      <w:wordWrap w:val="0"/>
    </w:pPr>
  </w:style>
  <w:style w:type="character" w:customStyle="1" w:styleId="KeywordTok">
    <w:name w:val="KeywordTok"/>
    <w:basedOn w:val="VerbatimChar"/>
    <w:rPr>
      <w:rFonts w:ascii="Consolas" w:hAnsi="Consolas"/>
      <w:b/>
      <w:color w:val="007020"/>
      <w:sz w:val="22"/>
    </w:rPr>
  </w:style>
  <w:style w:type="character" w:customStyle="1" w:styleId="DataTypeTok">
    <w:name w:val="DataTypeTok"/>
    <w:basedOn w:val="VerbatimChar"/>
    <w:rPr>
      <w:rFonts w:ascii="Consolas" w:hAnsi="Consolas"/>
      <w:color w:val="902000"/>
      <w:sz w:val="22"/>
    </w:rPr>
  </w:style>
  <w:style w:type="character" w:customStyle="1" w:styleId="DecValTok">
    <w:name w:val="DecValTok"/>
    <w:basedOn w:val="VerbatimChar"/>
    <w:rPr>
      <w:rFonts w:ascii="Consolas" w:hAnsi="Consolas"/>
      <w:color w:val="40A070"/>
      <w:sz w:val="22"/>
    </w:rPr>
  </w:style>
  <w:style w:type="character" w:customStyle="1" w:styleId="BaseNTok">
    <w:name w:val="BaseNTok"/>
    <w:basedOn w:val="VerbatimChar"/>
    <w:rPr>
      <w:rFonts w:ascii="Consolas" w:hAnsi="Consolas"/>
      <w:color w:val="40A070"/>
      <w:sz w:val="22"/>
    </w:rPr>
  </w:style>
  <w:style w:type="character" w:customStyle="1" w:styleId="FloatTok">
    <w:name w:val="FloatTok"/>
    <w:basedOn w:val="VerbatimChar"/>
    <w:rPr>
      <w:rFonts w:ascii="Consolas" w:hAnsi="Consolas"/>
      <w:color w:val="40A070"/>
      <w:sz w:val="22"/>
    </w:rPr>
  </w:style>
  <w:style w:type="character" w:customStyle="1" w:styleId="ConstantTok">
    <w:name w:val="ConstantTok"/>
    <w:basedOn w:val="VerbatimChar"/>
    <w:rPr>
      <w:rFonts w:ascii="Consolas" w:hAnsi="Consolas"/>
      <w:color w:val="880000"/>
      <w:sz w:val="22"/>
    </w:rPr>
  </w:style>
  <w:style w:type="character" w:customStyle="1" w:styleId="CharTok">
    <w:name w:val="CharTok"/>
    <w:basedOn w:val="VerbatimChar"/>
    <w:rPr>
      <w:rFonts w:ascii="Consolas" w:hAnsi="Consolas"/>
      <w:color w:val="4070A0"/>
      <w:sz w:val="22"/>
    </w:rPr>
  </w:style>
  <w:style w:type="character" w:customStyle="1" w:styleId="SpecialCharTok">
    <w:name w:val="SpecialCharTok"/>
    <w:basedOn w:val="VerbatimChar"/>
    <w:rPr>
      <w:rFonts w:ascii="Consolas" w:hAnsi="Consolas"/>
      <w:color w:val="4070A0"/>
      <w:sz w:val="22"/>
    </w:rPr>
  </w:style>
  <w:style w:type="character" w:customStyle="1" w:styleId="StringTok">
    <w:name w:val="StringTok"/>
    <w:basedOn w:val="VerbatimChar"/>
    <w:rPr>
      <w:rFonts w:ascii="Consolas" w:hAnsi="Consolas"/>
      <w:color w:val="4070A0"/>
      <w:sz w:val="22"/>
    </w:rPr>
  </w:style>
  <w:style w:type="character" w:customStyle="1" w:styleId="VerbatimStringTok">
    <w:name w:val="VerbatimStringTok"/>
    <w:basedOn w:val="VerbatimChar"/>
    <w:rPr>
      <w:rFonts w:ascii="Consolas" w:hAnsi="Consolas"/>
      <w:color w:val="4070A0"/>
      <w:sz w:val="22"/>
    </w:rPr>
  </w:style>
  <w:style w:type="character" w:customStyle="1" w:styleId="SpecialStringTok">
    <w:name w:val="SpecialStringTok"/>
    <w:basedOn w:val="VerbatimChar"/>
    <w:rPr>
      <w:rFonts w:ascii="Consolas" w:hAnsi="Consolas"/>
      <w:color w:val="BB6688"/>
      <w:sz w:val="22"/>
    </w:rPr>
  </w:style>
  <w:style w:type="character" w:customStyle="1" w:styleId="ImportTok">
    <w:name w:val="ImportTok"/>
    <w:basedOn w:val="VerbatimChar"/>
    <w:rPr>
      <w:rFonts w:ascii="Consolas" w:hAnsi="Consolas"/>
      <w:b/>
      <w:color w:val="008000"/>
      <w:sz w:val="22"/>
    </w:rPr>
  </w:style>
  <w:style w:type="character" w:customStyle="1" w:styleId="CommentTok">
    <w:name w:val="CommentTok"/>
    <w:basedOn w:val="VerbatimChar"/>
    <w:rPr>
      <w:rFonts w:ascii="Consolas" w:hAnsi="Consolas"/>
      <w:i/>
      <w:color w:val="60A0B0"/>
      <w:sz w:val="22"/>
    </w:rPr>
  </w:style>
  <w:style w:type="character" w:customStyle="1" w:styleId="DocumentationTok">
    <w:name w:val="DocumentationTok"/>
    <w:basedOn w:val="VerbatimChar"/>
    <w:rPr>
      <w:rFonts w:ascii="Consolas" w:hAnsi="Consolas"/>
      <w:i/>
      <w:color w:val="BA2121"/>
      <w:sz w:val="22"/>
    </w:rPr>
  </w:style>
  <w:style w:type="character" w:customStyle="1" w:styleId="AnnotationTok">
    <w:name w:val="Annot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CommentVarTok">
    <w:name w:val="CommentVar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OtherTok">
    <w:name w:val="OtherTok"/>
    <w:basedOn w:val="VerbatimChar"/>
    <w:rPr>
      <w:rFonts w:ascii="Consolas" w:hAnsi="Consolas"/>
      <w:color w:val="007020"/>
      <w:sz w:val="22"/>
    </w:rPr>
  </w:style>
  <w:style w:type="character" w:customStyle="1" w:styleId="FunctionTok">
    <w:name w:val="FunctionTok"/>
    <w:basedOn w:val="VerbatimChar"/>
    <w:rPr>
      <w:rFonts w:ascii="Consolas" w:hAnsi="Consolas"/>
      <w:color w:val="06287E"/>
      <w:sz w:val="22"/>
    </w:rPr>
  </w:style>
  <w:style w:type="character" w:customStyle="1" w:styleId="VariableTok">
    <w:name w:val="VariableTok"/>
    <w:basedOn w:val="VerbatimChar"/>
    <w:rPr>
      <w:rFonts w:ascii="Consolas" w:hAnsi="Consolas"/>
      <w:color w:val="19177C"/>
      <w:sz w:val="22"/>
    </w:rPr>
  </w:style>
  <w:style w:type="character" w:customStyle="1" w:styleId="ControlFlowTok">
    <w:name w:val="ControlFlowTok"/>
    <w:basedOn w:val="VerbatimChar"/>
    <w:rPr>
      <w:rFonts w:ascii="Consolas" w:hAnsi="Consolas"/>
      <w:b/>
      <w:color w:val="007020"/>
      <w:sz w:val="22"/>
    </w:rPr>
  </w:style>
  <w:style w:type="character" w:customStyle="1" w:styleId="OperatorTok">
    <w:name w:val="OperatorTok"/>
    <w:basedOn w:val="VerbatimChar"/>
    <w:rPr>
      <w:rFonts w:ascii="Consolas" w:hAnsi="Consolas"/>
      <w:color w:val="666666"/>
      <w:sz w:val="22"/>
    </w:rPr>
  </w:style>
  <w:style w:type="character" w:customStyle="1" w:styleId="BuiltInTok">
    <w:name w:val="BuiltInTok"/>
    <w:basedOn w:val="VerbatimChar"/>
    <w:rPr>
      <w:rFonts w:ascii="Consolas" w:hAnsi="Consolas"/>
      <w:color w:val="008000"/>
      <w:sz w:val="22"/>
    </w:rPr>
  </w:style>
  <w:style w:type="character" w:customStyle="1" w:styleId="ExtensionTok">
    <w:name w:val="ExtensionTok"/>
    <w:basedOn w:val="VerbatimChar"/>
    <w:rPr>
      <w:rFonts w:ascii="Consolas" w:hAnsi="Consolas"/>
      <w:sz w:val="22"/>
    </w:rPr>
  </w:style>
  <w:style w:type="character" w:customStyle="1" w:styleId="PreprocessorTok">
    <w:name w:val="PreprocessorTok"/>
    <w:basedOn w:val="VerbatimChar"/>
    <w:rPr>
      <w:rFonts w:ascii="Consolas" w:hAnsi="Consolas"/>
      <w:color w:val="BC7A00"/>
      <w:sz w:val="22"/>
    </w:rPr>
  </w:style>
  <w:style w:type="character" w:customStyle="1" w:styleId="AttributeTok">
    <w:name w:val="AttributeTok"/>
    <w:basedOn w:val="VerbatimChar"/>
    <w:rPr>
      <w:rFonts w:ascii="Consolas" w:hAnsi="Consolas"/>
      <w:color w:val="7D9029"/>
      <w:sz w:val="22"/>
    </w:rPr>
  </w:style>
  <w:style w:type="character" w:customStyle="1" w:styleId="RegionMarkerTok">
    <w:name w:val="RegionMarkerTok"/>
    <w:basedOn w:val="VerbatimChar"/>
    <w:rPr>
      <w:rFonts w:ascii="Consolas" w:hAnsi="Consolas"/>
      <w:sz w:val="22"/>
    </w:rPr>
  </w:style>
  <w:style w:type="character" w:customStyle="1" w:styleId="InformationTok">
    <w:name w:val="Inform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WarningTok">
    <w:name w:val="Warning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AlertTok">
    <w:name w:val="AlertTok"/>
    <w:basedOn w:val="VerbatimChar"/>
    <w:rPr>
      <w:rFonts w:ascii="Consolas" w:hAnsi="Consolas"/>
      <w:b/>
      <w:color w:val="FF0000"/>
      <w:sz w:val="22"/>
    </w:rPr>
  </w:style>
  <w:style w:type="character" w:customStyle="1" w:styleId="ErrorTok">
    <w:name w:val="ErrorTok"/>
    <w:basedOn w:val="VerbatimChar"/>
    <w:rPr>
      <w:rFonts w:ascii="Consolas" w:hAnsi="Consolas"/>
      <w:b/>
      <w:color w:val="FF0000"/>
      <w:sz w:val="22"/>
    </w:rPr>
  </w:style>
  <w:style w:type="character" w:customStyle="1" w:styleId="NormalTok">
    <w:name w:val="NormalTok"/>
    <w:basedOn w:val="VerbatimChar"/>
    <w:rPr>
      <w:rFonts w:ascii="Consolas" w:hAnsi="Consolas"/>
      <w:sz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Pages>5</Pages>
  <Words>487</Words>
  <Characters>2778</Characters>
  <Application>Microsoft Office Word</Application>
  <DocSecurity>0</DocSecurity>
  <Lines>23</Lines>
  <Paragraphs>6</Paragraphs>
  <ScaleCrop>false</ScaleCrop>
  <Company/>
  <LinksUpToDate>false</LinksUpToDate>
  <CharactersWithSpaces>3259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cp:lastModifiedBy>Pavlo Radiuk</cp:lastModifiedBy>
  <cp:revision>2</cp:revision>
  <dcterms:created xsi:type="dcterms:W3CDTF">2025-12-07T19:55:00Z</dcterms:created>
  <dcterms:modified xsi:type="dcterms:W3CDTF">2025-12-07T19:56:00Z</dcterms:modified>
</cp:coreProperties>
</file>