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робоча-програма-навчальної-дисципліни"/>
    <w:p>
      <w:pPr>
        <w:pStyle w:val="Heading1"/>
      </w:pPr>
      <w:r>
        <w:t xml:space="preserve">РОБОЧА ПРОГРАМА НАВЧАЛЬНОЇ ДИСЦИПЛІНИ</w:t>
      </w:r>
    </w:p>
    <w:bookmarkStart w:id="9" w:name="пояснювальна-записка"/>
    <w:p>
      <w:pPr>
        <w:pStyle w:val="Heading2"/>
      </w:pPr>
      <w:r>
        <w:t xml:space="preserve">3. Пояснювальна записка</w:t>
      </w:r>
    </w:p>
    <w:p>
      <w:pPr>
        <w:pStyle w:val="FirstParagraph"/>
      </w:pPr>
      <w:r>
        <w:t xml:space="preserve">Дисципліна «</w:t>
      </w:r>
      <w:r>
        <w:rPr>
          <w:b/>
          <w:bCs/>
        </w:rPr>
        <w:t xml:space="preserve">Управління проєктами в досліджені та розробці</w:t>
      </w:r>
      <w:r>
        <w:t xml:space="preserve">» є дисципліною з циклу</w:t>
      </w:r>
      <w:r>
        <w:t xml:space="preserve"> </w:t>
      </w:r>
      <w:r>
        <w:rPr>
          <w:b/>
          <w:bCs/>
        </w:rPr>
        <w:t xml:space="preserve">загальної</w:t>
      </w:r>
      <w:r>
        <w:t xml:space="preserve"> </w:t>
      </w:r>
      <w:r>
        <w:t xml:space="preserve">підготовки і займає провідне місце у підготовці здобувачів</w:t>
      </w:r>
      <w:r>
        <w:t xml:space="preserve"> </w:t>
      </w:r>
      <w:r>
        <w:rPr>
          <w:b/>
          <w:bCs/>
        </w:rPr>
        <w:t xml:space="preserve">третього (освітньо-наукового)</w:t>
      </w:r>
      <w:r>
        <w:t xml:space="preserve"> </w:t>
      </w:r>
      <w:r>
        <w:t xml:space="preserve">рівня вищої освіти,</w:t>
      </w:r>
      <w:r>
        <w:t xml:space="preserve"> </w:t>
      </w:r>
      <w:r>
        <w:rPr>
          <w:b/>
          <w:bCs/>
        </w:rPr>
        <w:t xml:space="preserve">очної (денної)</w:t>
      </w:r>
      <w:r>
        <w:t xml:space="preserve"> </w:t>
      </w:r>
      <w:r>
        <w:t xml:space="preserve">форми здобуття вищої освіти, які навчаються за освітньо-науковою програмою «</w:t>
      </w:r>
      <w:r>
        <w:rPr>
          <w:b/>
          <w:bCs/>
        </w:rPr>
        <w:t xml:space="preserve">КОМП’ЮТЕРНІ НАУКИ</w:t>
      </w:r>
      <w:r>
        <w:t xml:space="preserve">» в межах спеціальності</w:t>
      </w:r>
      <w:r>
        <w:t xml:space="preserve"> </w:t>
      </w:r>
      <w:r>
        <w:rPr>
          <w:b/>
          <w:bCs/>
        </w:rPr>
        <w:t xml:space="preserve">F3 Комп’ютерні науки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Пререквізити</w:t>
      </w:r>
      <w:r>
        <w:t xml:space="preserve"> </w:t>
      </w:r>
      <w:r>
        <w:t xml:space="preserve">– вихідна.</w:t>
      </w:r>
    </w:p>
    <w:p>
      <w:pPr>
        <w:pStyle w:val="BodyText"/>
      </w:pPr>
      <w:r>
        <w:rPr>
          <w:b/>
          <w:bCs/>
        </w:rPr>
        <w:t xml:space="preserve">Кореквізити</w:t>
      </w:r>
      <w:r>
        <w:t xml:space="preserve"> </w:t>
      </w:r>
      <w:r>
        <w:t xml:space="preserve">– Психологія, педагогіка та методика викладання у вищій школі, Моделювання та інтелектуальна обробка інформації, Педагогічна (викладацька) практика.</w:t>
      </w:r>
    </w:p>
    <w:p>
      <w:pPr>
        <w:pStyle w:val="BodyText"/>
      </w:pPr>
      <w:r>
        <w:t xml:space="preserve">Відповідно до освітньої програми дисципліна сприяє забезпеченню:</w:t>
      </w:r>
    </w:p>
    <w:p>
      <w:pPr>
        <w:pStyle w:val="BodyText"/>
      </w:pPr>
      <w:r>
        <w:rPr>
          <w:b/>
          <w:bCs/>
        </w:rPr>
        <w:t xml:space="preserve">компетентностей:</w:t>
      </w:r>
      <w:r>
        <w:t xml:space="preserve"> </w:t>
      </w:r>
      <w:r>
        <w:t xml:space="preserve">здатність продукувати нові ідеї, розв’язувати комплексні проблеми у сфері комп’ютерних наук, застосовувати методологію наукової та педагогічної діяльності, а також проводити власне наукове дослідження, результати якого мають наукову новизну, теоретичне та практичне значення (ІК); здатність до пошуку, оброблення та аналізу інформації з різних джерел (ЗК02); здатність працювати в міжнародному контексті (ЗК03); здатність розв’язувати комплексні проблеми комп’ютерних наук на основі системного наукового світогляду та загального культурного кругозору із дотриманням принципів професійної етики та академічної доброчесності (ЗК04); здатність виконувати оригінальні дослідження, досягати наукових результатів, які створюють нові знання у комп’ютерних науках та дотичних до них міждисциплінарних напрямах і можуть бути опубліковані у провідних наукових виданнях з комп’ютерних наук та суміжних галузей (ФК01); здатність ініціювати, розробляти і реалізовувати комплексні інноваційні проєкти у галузі комп’ютерних наук та дотичні до неї міждисциплінарних проєктах, демонструвати лідерство під час їх реалізації (ФК04); здатність аналізувати та оцінювати сучасний стан і тенденції розвитку комп’ютерних наук та інформаційних технологій (ФК06).</w:t>
      </w:r>
    </w:p>
    <w:p>
      <w:pPr>
        <w:pStyle w:val="BodyText"/>
      </w:pPr>
      <w:r>
        <w:rPr>
          <w:b/>
          <w:bCs/>
        </w:rPr>
        <w:t xml:space="preserve">програмних результатів навчання:</w:t>
      </w:r>
      <w:r>
        <w:t xml:space="preserve"> </w:t>
      </w:r>
      <w:r>
        <w:t xml:space="preserve">мати передові концептуальні та методологічні знання з комп’ютерних наук і на межі предметних галузей, а також дослідницькі навички, достатні для проведення наукових і прикладних досліджень на рівні останніх світових досягнень з відповідного напряму, отримання нових знань та/або здійснення інновацій (ПРН01); вільно презентувати та обговорювати з фахівцями і нефахівцями результати досліджень, наукові та прикладні проблеми комп’ютерних наук державною та іноземною мовами, оприлюднювати результати досліджень у наукових публікаціях у провідних міжнародних наукових виданнях (ПРН02); формулювати і перевіряти гіпотези; використовувати для обґрунтування висновків належні докази, зокрема, результати теоретичного аналізу, експериментальних досліджень і математичного та/або комп’ютерного моделювання, наявні літературні дані (ПРН03); розробляти та досліджувати концептуальні, математичні і комп’ютерні моделі процесів і систем, ефективно використовувати їх для отримання нових знань та/або створення інноваційних продуктів у комп’ютерних науках та дотичних міждисциплінарних напрямах (ПРН04); планувати і виконувати експериментальні та/або теоретичні дослідження з комп’ютерних наук та дотичних міждисциплінарних напрямів з використанням сучасних інструментів, критично аналізувати результати власних досліджень і результати інших дослідників у контексті усього комплексу сучасних знань щодо досліджуваної проблеми (ПРН05); розробляти та реалізовувати наукові та/або інноваційні інженерні проєкти, які дають можливість переосмислити наявне та створити нове цілісне знання та/або професійну практику і розв’язувати значущі наукові та технологічні проблеми комп’ютерної науки з дотриманням норм академічної етики і врахуванням соціальних, економічних, екологічних та правових аспектів (ПРН07).</w:t>
      </w:r>
    </w:p>
    <w:p>
      <w:pPr>
        <w:pStyle w:val="BodyText"/>
      </w:pPr>
      <w:r>
        <w:rPr>
          <w:b/>
          <w:bCs/>
        </w:rPr>
        <w:t xml:space="preserve">Мета дисципліни.</w:t>
      </w:r>
      <w:r>
        <w:t xml:space="preserve"> </w:t>
      </w:r>
      <w:r>
        <w:t xml:space="preserve">Надання майбутнім дослідникам знань та компетенцій щодо організації та управління науково-прикладними проєктами; опанування основних підходів і методів управління інноваційними проєктами.</w:t>
      </w:r>
    </w:p>
    <w:p>
      <w:pPr>
        <w:pStyle w:val="BodyText"/>
      </w:pPr>
      <w:r>
        <w:rPr>
          <w:b/>
          <w:bCs/>
        </w:rPr>
        <w:t xml:space="preserve">Предмет дисципліни.</w:t>
      </w:r>
      <w:r>
        <w:t xml:space="preserve"> </w:t>
      </w:r>
      <w:r>
        <w:t xml:space="preserve">Методи, засоби, технології та програмні засоби для управління проєктами та ризиками.</w:t>
      </w:r>
    </w:p>
    <w:p>
      <w:pPr>
        <w:pStyle w:val="BodyText"/>
      </w:pPr>
      <w:r>
        <w:rPr>
          <w:b/>
          <w:bCs/>
        </w:rPr>
        <w:t xml:space="preserve">Завдання дисципліни.</w:t>
      </w:r>
      <w:r>
        <w:t xml:space="preserve"> </w:t>
      </w:r>
      <w:r>
        <w:t xml:space="preserve">Отримання здобувачем компетенцій для прийняття участі у проєктуванні проєкту, управлінні розподілення ресурсів, методології розроблення програмного забезпечення та систем штучного інтелекту.</w:t>
      </w:r>
    </w:p>
    <w:p>
      <w:pPr>
        <w:pStyle w:val="BodyText"/>
      </w:pPr>
      <w:r>
        <w:rPr>
          <w:b/>
          <w:bCs/>
        </w:rPr>
        <w:t xml:space="preserve">Результати навчання.</w:t>
      </w:r>
      <w:r>
        <w:t xml:space="preserve"> </w:t>
      </w:r>
      <w:r>
        <w:t xml:space="preserve">Після вивчення дисципліни студент повинен: володіти теоретичними і методологічними основами управління проєктами різного виду; знати характеристику проєкту; володіти процесом управління проєктом; знати проєктні структури; знати алгоритм організації команди проєкту; вміти розробляти структуру проєкту; вміти створювати зв’язки між задачами проєкту; вміти створювати звіти, перехресні таблиці; розуміти та вміти знаходити перевантаження ресурсів та їх виправляти.</w:t>
      </w:r>
    </w:p>
    <w:bookmarkEnd w:id="9"/>
    <w:bookmarkStart w:id="10" w:name="структура-залікових-кредитів-дисципліни"/>
    <w:p>
      <w:pPr>
        <w:pStyle w:val="Heading2"/>
      </w:pPr>
      <w:r>
        <w:t xml:space="preserve">4. Структура залікових кредитів дисципліни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Назва розділу (теми)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Лекції (год.)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Практичні (год.)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СРС (год.)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1. Основи ініціації та планування R&amp;D проєктів.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2. Управління часом, обсягом та комунікаціями в проєкті.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3. Управління ризиками, якістю та життєвим циклом проєкту.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4. Виконання та оцінка R&amp;D проєкту.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56</w:t>
            </w:r>
          </w:p>
        </w:tc>
      </w:tr>
    </w:tbl>
    <w:bookmarkEnd w:id="10"/>
    <w:bookmarkStart w:id="14" w:name="програма-навчальної-дисципліни"/>
    <w:p>
      <w:pPr>
        <w:pStyle w:val="Heading2"/>
      </w:pPr>
      <w:r>
        <w:t xml:space="preserve">5. Програма навчальної дисципліни</w:t>
      </w:r>
    </w:p>
    <w:bookmarkStart w:id="11" w:name="зміст-лекційного-курсу"/>
    <w:p>
      <w:pPr>
        <w:pStyle w:val="Heading3"/>
      </w:pPr>
      <w:r>
        <w:t xml:space="preserve">5.1 Зміст лекційного курсу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Номер лекції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Перелік тем лекцій, їх анотації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Кількість годин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Перший семестр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Ініціація та ідентифікація R&amp;D проєкту.</w:t>
            </w:r>
            <w:r>
              <w:t xml:space="preserve"> </w:t>
            </w:r>
            <w:r>
              <w:t xml:space="preserve">Критерії R&amp;D діяльності. Новизна, креативність, невизначеність. Планованість та систематичність. Етап ініціації.</w:t>
            </w:r>
            <w:r>
              <w:t xml:space="preserve">Літ.: [1] с. 1-6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Процес планування та організації R&amp;D проєкту.</w:t>
            </w:r>
            <w:r>
              <w:t xml:space="preserve"> </w:t>
            </w:r>
            <w:r>
              <w:t xml:space="preserve">Цілі, визначення проєкту, команда, критерії ефективності. Суперечність між «реальними» та «найкращими» результатами.</w:t>
            </w:r>
            <w:r>
              <w:t xml:space="preserve">Літ.: [1] с.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Управління обсягом та часом проєкту.</w:t>
            </w:r>
            <w:r>
              <w:t xml:space="preserve"> </w:t>
            </w:r>
            <w:r>
              <w:t xml:space="preserve">Структура декомпозиції робіт (WBS). Діаграми Ганта. Метод критичного шляху (CPS). Прогнозування ресурсів.</w:t>
            </w:r>
            <w:r>
              <w:t xml:space="preserve">Літ.: [1] с. 16-19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Навички презентації наукових результатів.</w:t>
            </w:r>
            <w:r>
              <w:t xml:space="preserve"> </w:t>
            </w:r>
            <w:r>
              <w:t xml:space="preserve">Основи LaTeX для наукових документів. Створення презентацій за допомогою Beamer. Вставка таблиць, зображень, формул.</w:t>
            </w:r>
            <w:r>
              <w:t xml:space="preserve">Літ.: [1] с. 20-33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Стратегії управління ризиками.</w:t>
            </w:r>
            <w:r>
              <w:t xml:space="preserve"> </w:t>
            </w:r>
            <w:r>
              <w:t xml:space="preserve">Джерела ризиків. Процес управління ризиками: визначення, ідентифікація, аналіз, реагування, моніторинг. Матриця ризику та винагороди.</w:t>
            </w:r>
            <w:r>
              <w:t xml:space="preserve">Літ.: [1] с. 34-44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Управління якістю в R&amp;D проєктах.</w:t>
            </w:r>
            <w:r>
              <w:t xml:space="preserve"> </w:t>
            </w:r>
            <w:r>
              <w:t xml:space="preserve">Тривимірна модель якості: якість продукту, процесу, організації. Ієрархія якості: інспекція, контроль, забезпечення, TQM.</w:t>
            </w:r>
            <w:r>
              <w:t xml:space="preserve">Літ.: [1] с. 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Виконання та оцінка проєкту.</w:t>
            </w:r>
            <w:r>
              <w:t xml:space="preserve"> </w:t>
            </w:r>
            <w:r>
              <w:t xml:space="preserve">Критерії та фактори успішності. Причини провалів проєктів. Матриця цілей та методів. Модель узгодженості інновацій.</w:t>
            </w:r>
            <w:r>
              <w:t xml:space="preserve">Літ.: [1] с. 51-56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Життєвий цикл R&amp;D проєкту та його інтеграція.</w:t>
            </w:r>
            <w:r>
              <w:t xml:space="preserve"> </w:t>
            </w:r>
            <w:r>
              <w:t xml:space="preserve">Фази життєвого циклу проєкту. Модель</w:t>
            </w:r>
            <w:r>
              <w:t xml:space="preserve"> </w:t>
            </w:r>
            <w:r>
              <w:t xml:space="preserve">“stage-gate”</w:t>
            </w:r>
            <w:r>
              <w:t xml:space="preserve">. Життєвий цикл продукту. Об’єднаний життєвий цикл R&amp;D-проєкту.</w:t>
            </w:r>
            <w:r>
              <w:t xml:space="preserve">Літ.: [1] с. 8-15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17</w:t>
            </w:r>
          </w:p>
        </w:tc>
      </w:tr>
    </w:tbl>
    <w:bookmarkEnd w:id="11"/>
    <w:bookmarkStart w:id="12" w:name="зміст-практичних-занять"/>
    <w:p>
      <w:pPr>
        <w:pStyle w:val="Heading3"/>
      </w:pPr>
      <w:r>
        <w:t xml:space="preserve">5.2 Зміст практичних занять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Тема практичного заняття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Кількість годин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Перший семестр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1. Основи ініціації та планування R&amp;D проєктів.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Аналіз останніх наукових публікацій у обраній предметній області.</w:t>
            </w:r>
            <w:r>
              <w:t xml:space="preserve">Літ.: [2] с. 1-4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Створення структурованого плану наукової публікації.</w:t>
            </w:r>
            <w:r>
              <w:t xml:space="preserve">Літ.: [2] с. 5-8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2. Управління часом, обсягом та комунікаціями в проєкті.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Розробка ієрархічної структури робіт (WBS) для публікації статті.</w:t>
            </w:r>
            <w:r>
              <w:t xml:space="preserve">Літ.: [2] с. 9-12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Створення слайдів для презентації статті за допомогою LaTeX Beamer.</w:t>
            </w:r>
            <w:r>
              <w:t xml:space="preserve">Літ.: [2] с. 13-16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3. Управління ризиками, якістю та життєвим циклом проєкту.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Підготовка плану управління ризиками для розробки наукової статті.</w:t>
            </w:r>
            <w:r>
              <w:t xml:space="preserve">Літ.: [2] с. 17-20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Створення чекліста для перевірки структури та якості статті.</w:t>
            </w:r>
            <w:r>
              <w:t xml:space="preserve">Літ.: [2] с. 21-24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Розробка фінальної пропозиції наукового проєкту.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4. Виконання та оцінка R&amp;D проєкту.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Порівняльний аналіз інструментів управління проєктами (Jira, Trello, MS Project).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17</w:t>
            </w:r>
          </w:p>
        </w:tc>
      </w:tr>
    </w:tbl>
    <w:bookmarkEnd w:id="12"/>
    <w:bookmarkStart w:id="13" w:name="Xcd2f541b0503c3c7d7845e39ac89bbe5b32e340"/>
    <w:p>
      <w:pPr>
        <w:pStyle w:val="Heading3"/>
      </w:pPr>
      <w:r>
        <w:t xml:space="preserve">5.3 Зміст самостійної роботи здобувача вищої освіти</w:t>
      </w:r>
    </w:p>
    <w:p>
      <w:pPr>
        <w:pStyle w:val="FirstParagraph"/>
      </w:pPr>
      <w:r>
        <w:t xml:space="preserve">Самостійна робота студентів полягає у систематичному опрацюванні програмного матеріалу з відповідних джерел інформації, підготовці до практичних занять, контрольних робіт, тестування, виконанні індивідуальних завдань.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Номер тижня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Вид самостійної роботи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Кількість годин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Перший семестр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Т1, підготовка до практичних занять №1-2, виконання ІДЗ №1.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Т2, підготовка до практичних занять №3-4, виконання ІДЗ №2.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Т3, підготовка до практичних занять №5-7, виконання ІДЗ №3.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Т4, підготовка до практичних занять №8-9, виконання ІДЗ №4 та підготовка до заліку.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56</w:t>
            </w:r>
          </w:p>
        </w:tc>
      </w:tr>
    </w:tbl>
    <w:p>
      <w:pPr>
        <w:pStyle w:val="BlockText"/>
      </w:pPr>
      <w:r>
        <w:rPr>
          <w:b/>
          <w:bCs/>
        </w:rPr>
        <w:t xml:space="preserve">Примітка:</w:t>
      </w:r>
      <w:r>
        <w:t xml:space="preserve"> </w:t>
      </w:r>
      <w:r>
        <w:t xml:space="preserve">Т – тема навчальної дисципліни, ІДЗ – індивідуальне домашнє завдання.</w:t>
      </w:r>
    </w:p>
    <w:p>
      <w:pPr>
        <w:pStyle w:val="FirstParagraph"/>
      </w:pPr>
      <w:r>
        <w:rPr>
          <w:b/>
          <w:bCs/>
        </w:rPr>
        <w:t xml:space="preserve">Теми індивідуальних домашніх завдань (ІДЗ):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1.</w:t>
      </w:r>
      <w:r>
        <w:t xml:space="preserve"> </w:t>
      </w:r>
      <w:r>
        <w:t xml:space="preserve">Проведення огляду літератури та аналіз трендів за обраною темою дослідження.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2.</w:t>
      </w:r>
      <w:r>
        <w:t xml:space="preserve"> </w:t>
      </w:r>
      <w:r>
        <w:t xml:space="preserve">Розробка детального плану-графіку та WBS для написання наукової статті з використанням ProjectLibre.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3.</w:t>
      </w:r>
      <w:r>
        <w:t xml:space="preserve"> </w:t>
      </w:r>
      <w:r>
        <w:t xml:space="preserve">Створення матриці управління ризиками та плану їх пом’якшення для запропонованого дослідження.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4.</w:t>
      </w:r>
      <w:r>
        <w:t xml:space="preserve"> </w:t>
      </w:r>
      <w:r>
        <w:t xml:space="preserve">Підготовка 10-хвилинної презентації у форматі LaTeX Beamer, що узагальнює дослідницьку пропозицію.</w:t>
      </w:r>
    </w:p>
    <w:bookmarkEnd w:id="13"/>
    <w:bookmarkEnd w:id="14"/>
    <w:bookmarkStart w:id="15" w:name="технології-та-методи-навчання"/>
    <w:p>
      <w:pPr>
        <w:pStyle w:val="Heading2"/>
      </w:pPr>
      <w:r>
        <w:t xml:space="preserve">6. Технології та методи навчання</w:t>
      </w:r>
    </w:p>
    <w:p>
      <w:pPr>
        <w:pStyle w:val="FirstParagraph"/>
      </w:pPr>
      <w:r>
        <w:t xml:space="preserve">Процес навчання з дисципліни грунтується на використанні традиційних та сучасних технологій та методів навчання, зокрема: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лекції:</w:t>
      </w:r>
      <w:r>
        <w:t xml:space="preserve"> </w:t>
      </w:r>
      <w:r>
        <w:t xml:space="preserve">з використанням мультимедійних презентацій, методів візуалізації, проблемного й інтерактивного навчання;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практичні заняття:</w:t>
      </w:r>
      <w:r>
        <w:t xml:space="preserve"> </w:t>
      </w:r>
      <w:r>
        <w:t xml:space="preserve">з використанням інструктування, розв’язування ситуаційних завдань, аналізу кейсів, елементів дискусії;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самостійна робота:</w:t>
      </w:r>
      <w:r>
        <w:t xml:space="preserve"> </w:t>
      </w:r>
      <w:r>
        <w:t xml:space="preserve">опрацювання теоретичного матеріалу, виконання індивідуальних завдань, з використанням інформаційно-комп’ютерних технологій.</w:t>
      </w:r>
    </w:p>
    <w:bookmarkEnd w:id="15"/>
    <w:bookmarkStart w:id="16" w:name="методи-контролю"/>
    <w:p>
      <w:pPr>
        <w:pStyle w:val="Heading2"/>
      </w:pPr>
      <w:r>
        <w:t xml:space="preserve">7. Методи контролю</w:t>
      </w:r>
    </w:p>
    <w:p>
      <w:pPr>
        <w:pStyle w:val="FirstParagraph"/>
      </w:pPr>
      <w:r>
        <w:t xml:space="preserve">Поточний контроль здійснюється під час аудиторних</w:t>
      </w:r>
      <w:r>
        <w:t xml:space="preserve"> </w:t>
      </w:r>
      <w:r>
        <w:rPr>
          <w:b/>
          <w:bCs/>
        </w:rPr>
        <w:t xml:space="preserve">практичних</w:t>
      </w:r>
      <w:r>
        <w:t xml:space="preserve"> </w:t>
      </w:r>
      <w:r>
        <w:t xml:space="preserve">занять, а також у дні проведення контрольних заходів, встановлених робочою програмою і графіком освітнього процесу. При цьому використовуються такі методи поточного контролю: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оцінювання результатів роботи на практичних заняттях;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тестовий контроль засвоєння теоретичного матеріалу з теми;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оцінювання результатів виконання індивідуального домашнього завдання.</w:t>
      </w:r>
    </w:p>
    <w:p>
      <w:pPr>
        <w:pStyle w:val="FirstParagraph"/>
      </w:pPr>
      <w:r>
        <w:t xml:space="preserve">При виведенні підсумкової семестрової оцінки (заліку) враховуються результати поточного контролю. Студент, який набрав позитивний середньозважений бал (60 відсотків і більше від максимального балу) з усіх видів поточного контролю, отримує залік.</w:t>
      </w:r>
    </w:p>
    <w:bookmarkEnd w:id="16"/>
    <w:bookmarkStart w:id="17" w:name="політика-дисципліни"/>
    <w:p>
      <w:pPr>
        <w:pStyle w:val="Heading2"/>
      </w:pPr>
      <w:r>
        <w:t xml:space="preserve">8. Політика дисципліни</w:t>
      </w:r>
    </w:p>
    <w:p>
      <w:pPr>
        <w:pStyle w:val="FirstParagraph"/>
      </w:pPr>
      <w:r>
        <w:t xml:space="preserve">Відвідування занять є обов’язковим. Здобувачі мають дотримуватися встановлених термінів виконання всіх видів навчальної роботи. Пропущене заняття студент зобов’язаний відпрацювати у встановлений викладачем термін.</w:t>
      </w:r>
    </w:p>
    <w:p>
      <w:pPr>
        <w:pStyle w:val="BodyText"/>
      </w:pPr>
      <w:r>
        <w:t xml:space="preserve">Здобувач вищої освіти, виконуючи самостійну роботу або індивідуальну роботу, має дотримуватися політики академічної доброчесності. У разі виявлення плагіату чи іншого порушення, робота отримує незадовільну оцінку і має бути виконана повторно.</w:t>
      </w:r>
    </w:p>
    <w:p>
      <w:pPr>
        <w:pStyle w:val="BodyText"/>
      </w:pPr>
      <w:r>
        <w:t xml:space="preserve">Окремі результати навчання можуть бути зараховані на основі документів про неформальну освіту (онлайн-курси, сертифікації), якщо їх зміст відповідає програмним результатам дисципліни.</w:t>
      </w:r>
    </w:p>
    <w:bookmarkEnd w:id="17"/>
    <w:bookmarkStart w:id="18" w:name="X5f3bc87579a1c0e170f83c13b46fd67d55e3138"/>
    <w:p>
      <w:pPr>
        <w:pStyle w:val="Heading2"/>
      </w:pPr>
      <w:r>
        <w:t xml:space="preserve">9. Оцінювання результатів навчання студентів у семестрі</w:t>
      </w:r>
    </w:p>
    <w:p>
      <w:pPr>
        <w:pStyle w:val="FirstParagraph"/>
      </w:pPr>
      <w:r>
        <w:t xml:space="preserve">Оцінювання академічних досягнень здобувача вищої освіти здійснюється відповідно до «Положення про контроль і оцінювання результатів навчання здобувачів вищої освіти у ХНУ».</w:t>
      </w:r>
    </w:p>
    <w:p>
      <w:pPr>
        <w:pStyle w:val="BodyText"/>
      </w:pPr>
      <w:r>
        <w:rPr>
          <w:b/>
          <w:bCs/>
        </w:rPr>
        <w:t xml:space="preserve">Таблиця - Критерії оцінювання навчальних досягнень здобувача вищої освіти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Оцінка та рівень досягнення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Узагальнений зміст критерія оцінювання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Відмінно (високий)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глибоко і у повному обсязі опанував зміст навчального матеріалу, легко в ньому орієнтується і вміло використовує понятійний апарат; уміє пов’язувати теорію з практикою, вирішувати практичні завдання.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Добре (середній)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виявив повне засвоєння навчального матеріалу, володіє понятійним апаратом; свідомо використовує теоретичні знання для вирішення практичних задач; у змісті і формі відповіді можуть мати місце окремі неточності.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Задовільно (достатній)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виявив знання основного програмного матеріалу в обсязі, необхідному для подальшого навчання, справляється з виконанням практичних завдань. Допускає суттєві помилки у відповіді.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Незадовільно (недостатній)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виявив розрізнені, безсистемні знання, не вміє виділяти головне, допускається помилок у визначенні понять, не може використовувати знання при вирішенні практичних завдань.</w:t>
            </w:r>
          </w:p>
        </w:tc>
      </w:tr>
    </w:tbl>
    <w:p>
      <w:pPr>
        <w:pStyle w:val="BodyText"/>
      </w:pPr>
      <w:r>
        <w:rPr>
          <w:b/>
          <w:bCs/>
        </w:rPr>
        <w:t xml:space="preserve">Структурування дисципліни за видами навчальної роботи і оцінювання результатів навчання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Аудиторна робота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Самостійна робота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Контрольні заходи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Семестровий контроль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Практичні заняття (9 завдань)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Індивідуальні домашні завдання (4 завдання)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Тестовий контроль (5 тестів)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Підсумкова контрольна робота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Ваговий коефіцієнт: 0,4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Ваговий коефіцієнт: 0,3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Ваговий коефіцієнт: 0,1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Ваговий коефіцієнт: 0,2</w:t>
            </w:r>
          </w:p>
        </w:tc>
      </w:tr>
    </w:tbl>
    <w:bookmarkEnd w:id="18"/>
    <w:bookmarkStart w:id="19" w:name="X137fbd5ba89dc4f9c32942dc6088f4454a4c2e7"/>
    <w:p>
      <w:pPr>
        <w:pStyle w:val="Heading2"/>
      </w:pPr>
      <w:r>
        <w:t xml:space="preserve">10. Питання для самоконтролю результатів навчання</w:t>
      </w:r>
    </w:p>
    <w:p>
      <w:pPr>
        <w:pStyle w:val="Compact"/>
        <w:numPr>
          <w:ilvl w:val="0"/>
          <w:numId w:val="1004"/>
        </w:numPr>
      </w:pPr>
      <w:r>
        <w:t xml:space="preserve">Визначення та п’ять ключових критеріїв діяльності R&amp;D.</w:t>
      </w:r>
    </w:p>
    <w:p>
      <w:pPr>
        <w:pStyle w:val="Compact"/>
        <w:numPr>
          <w:ilvl w:val="0"/>
          <w:numId w:val="1004"/>
        </w:numPr>
      </w:pPr>
      <w:r>
        <w:t xml:space="preserve">Роль новизни та креативності у R&amp;D проєктах.</w:t>
      </w:r>
    </w:p>
    <w:p>
      <w:pPr>
        <w:pStyle w:val="Compact"/>
        <w:numPr>
          <w:ilvl w:val="0"/>
          <w:numId w:val="1004"/>
        </w:numPr>
      </w:pPr>
      <w:r>
        <w:t xml:space="preserve">Принцип невизначеності щодо кінцевого результату.</w:t>
      </w:r>
    </w:p>
    <w:p>
      <w:pPr>
        <w:pStyle w:val="Compact"/>
        <w:numPr>
          <w:ilvl w:val="0"/>
          <w:numId w:val="1004"/>
        </w:numPr>
      </w:pPr>
      <w:r>
        <w:t xml:space="preserve">Важливість плановості та систематичності в R&amp;D.</w:t>
      </w:r>
    </w:p>
    <w:p>
      <w:pPr>
        <w:pStyle w:val="Compact"/>
        <w:numPr>
          <w:ilvl w:val="0"/>
          <w:numId w:val="1004"/>
        </w:numPr>
      </w:pPr>
      <w:r>
        <w:t xml:space="preserve">Відмінності R&amp;D у розробці програмного забезпечення.</w:t>
      </w:r>
    </w:p>
    <w:p>
      <w:pPr>
        <w:pStyle w:val="Compact"/>
        <w:numPr>
          <w:ilvl w:val="0"/>
          <w:numId w:val="1004"/>
        </w:numPr>
      </w:pPr>
      <w:r>
        <w:t xml:space="preserve">Основна мета та два типи ризиків на етапі ініціації проєкту.</w:t>
      </w:r>
    </w:p>
    <w:p>
      <w:pPr>
        <w:pStyle w:val="Compact"/>
        <w:numPr>
          <w:ilvl w:val="0"/>
          <w:numId w:val="1004"/>
        </w:numPr>
      </w:pPr>
      <w:r>
        <w:t xml:space="preserve">Складові етапу ініціації: дослідження, пропозиція, аналіз стейкхолдерів.</w:t>
      </w:r>
    </w:p>
    <w:p>
      <w:pPr>
        <w:pStyle w:val="Compact"/>
        <w:numPr>
          <w:ilvl w:val="0"/>
          <w:numId w:val="1004"/>
        </w:numPr>
      </w:pPr>
      <w:r>
        <w:t xml:space="preserve">Компоненти планування R&amp;D проєкту: цілі, організація, критерії.</w:t>
      </w:r>
    </w:p>
    <w:p>
      <w:pPr>
        <w:pStyle w:val="Compact"/>
        <w:numPr>
          <w:ilvl w:val="0"/>
          <w:numId w:val="1004"/>
        </w:numPr>
      </w:pPr>
      <w:r>
        <w:t xml:space="preserve">Проблема балансу між реалістичними та амбітними цілями в R&amp;D.</w:t>
      </w:r>
    </w:p>
    <w:p>
      <w:pPr>
        <w:pStyle w:val="Compact"/>
        <w:numPr>
          <w:ilvl w:val="0"/>
          <w:numId w:val="1004"/>
        </w:numPr>
      </w:pPr>
      <w:r>
        <w:t xml:space="preserve">Поняття та фази життєвого циклу проєкту.</w:t>
      </w:r>
    </w:p>
    <w:p>
      <w:pPr>
        <w:pStyle w:val="Compact"/>
        <w:numPr>
          <w:ilvl w:val="0"/>
          <w:numId w:val="1004"/>
        </w:numPr>
      </w:pPr>
      <w:r>
        <w:t xml:space="preserve">Порівняння традиційного та R&amp;D життєвого циклу.</w:t>
      </w:r>
    </w:p>
    <w:p>
      <w:pPr>
        <w:pStyle w:val="Compact"/>
        <w:numPr>
          <w:ilvl w:val="0"/>
          <w:numId w:val="1004"/>
        </w:numPr>
      </w:pPr>
      <w:r>
        <w:t xml:space="preserve">Модель</w:t>
      </w:r>
      <w:r>
        <w:t xml:space="preserve"> </w:t>
      </w:r>
      <w:r>
        <w:t xml:space="preserve">“розширеного життєвого циклу”</w:t>
      </w:r>
      <w:r>
        <w:t xml:space="preserve"> </w:t>
      </w:r>
      <w:r>
        <w:t xml:space="preserve">та її фази.</w:t>
      </w:r>
    </w:p>
    <w:p>
      <w:pPr>
        <w:pStyle w:val="Compact"/>
        <w:numPr>
          <w:ilvl w:val="0"/>
          <w:numId w:val="1004"/>
        </w:numPr>
      </w:pPr>
      <w:r>
        <w:t xml:space="preserve">Процес</w:t>
      </w:r>
      <w:r>
        <w:t xml:space="preserve"> </w:t>
      </w:r>
      <w:r>
        <w:t xml:space="preserve">“stage-gate”</w:t>
      </w:r>
      <w:r>
        <w:t xml:space="preserve"> </w:t>
      </w:r>
      <w:r>
        <w:t xml:space="preserve">та його роль у розробці нових продуктів.</w:t>
      </w:r>
    </w:p>
    <w:p>
      <w:pPr>
        <w:pStyle w:val="Compact"/>
        <w:numPr>
          <w:ilvl w:val="0"/>
          <w:numId w:val="1004"/>
        </w:numPr>
      </w:pPr>
      <w:r>
        <w:t xml:space="preserve">Концепція</w:t>
      </w:r>
      <w:r>
        <w:t xml:space="preserve"> </w:t>
      </w:r>
      <w:r>
        <w:t xml:space="preserve">“воронки NPD”</w:t>
      </w:r>
      <w:r>
        <w:t xml:space="preserve"> </w:t>
      </w:r>
      <w:r>
        <w:t xml:space="preserve">та її етапи.</w:t>
      </w:r>
    </w:p>
    <w:p>
      <w:pPr>
        <w:pStyle w:val="Compact"/>
        <w:numPr>
          <w:ilvl w:val="0"/>
          <w:numId w:val="1004"/>
        </w:numPr>
      </w:pPr>
      <w:r>
        <w:t xml:space="preserve">Життєвий цикл продукту (запуск, зростання, зрілість, спад).</w:t>
      </w:r>
    </w:p>
    <w:p>
      <w:pPr>
        <w:pStyle w:val="Compact"/>
        <w:numPr>
          <w:ilvl w:val="0"/>
          <w:numId w:val="1004"/>
        </w:numPr>
      </w:pPr>
      <w:r>
        <w:t xml:space="preserve">Взаємозв’язок між життєвим циклом NPD та продукту.</w:t>
      </w:r>
    </w:p>
    <w:p>
      <w:pPr>
        <w:pStyle w:val="Compact"/>
        <w:numPr>
          <w:ilvl w:val="0"/>
          <w:numId w:val="1004"/>
        </w:numPr>
      </w:pPr>
      <w:r>
        <w:t xml:space="preserve">Ключові стадії об’єднаного життєвого циклу R&amp;D-проєкту.</w:t>
      </w:r>
    </w:p>
    <w:p>
      <w:pPr>
        <w:pStyle w:val="Compact"/>
        <w:numPr>
          <w:ilvl w:val="0"/>
          <w:numId w:val="1004"/>
        </w:numPr>
      </w:pPr>
      <w:r>
        <w:t xml:space="preserve">Управління обсягом проєкту та проблема</w:t>
      </w:r>
      <w:r>
        <w:t xml:space="preserve"> </w:t>
      </w:r>
      <w:r>
        <w:t xml:space="preserve">“розширення обсягу”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Структура декомпозиції робіт (WBS) як інструмент планування.</w:t>
      </w:r>
    </w:p>
    <w:p>
      <w:pPr>
        <w:pStyle w:val="Compact"/>
        <w:numPr>
          <w:ilvl w:val="0"/>
          <w:numId w:val="1004"/>
        </w:numPr>
      </w:pPr>
      <w:r>
        <w:t xml:space="preserve">Використання діаграм Ганта та методу критичного шляху (CPS).</w:t>
      </w:r>
    </w:p>
    <w:p>
      <w:pPr>
        <w:pStyle w:val="Compact"/>
        <w:numPr>
          <w:ilvl w:val="0"/>
          <w:numId w:val="1004"/>
        </w:numPr>
      </w:pPr>
      <w:r>
        <w:t xml:space="preserve">Основи роботи з LaTeX для створення наукових документів.</w:t>
      </w:r>
    </w:p>
    <w:p>
      <w:pPr>
        <w:pStyle w:val="Compact"/>
        <w:numPr>
          <w:ilvl w:val="0"/>
          <w:numId w:val="1004"/>
        </w:numPr>
      </w:pPr>
      <w:r>
        <w:t xml:space="preserve">Структура документа LaTeX: преамбула, тіло документа.</w:t>
      </w:r>
    </w:p>
    <w:p>
      <w:pPr>
        <w:pStyle w:val="Compact"/>
        <w:numPr>
          <w:ilvl w:val="0"/>
          <w:numId w:val="1004"/>
        </w:numPr>
      </w:pPr>
      <w:r>
        <w:t xml:space="preserve">Використання пакетів для розширення функціоналу LaTeX.</w:t>
      </w:r>
    </w:p>
    <w:p>
      <w:pPr>
        <w:pStyle w:val="Compact"/>
        <w:numPr>
          <w:ilvl w:val="0"/>
          <w:numId w:val="1004"/>
        </w:numPr>
      </w:pPr>
      <w:r>
        <w:t xml:space="preserve">Створення презентацій за допомогою класу Beamer.</w:t>
      </w:r>
    </w:p>
    <w:p>
      <w:pPr>
        <w:pStyle w:val="Compact"/>
        <w:numPr>
          <w:ilvl w:val="0"/>
          <w:numId w:val="1004"/>
        </w:numPr>
      </w:pPr>
      <w:r>
        <w:t xml:space="preserve">Вставка таблиць, зображень та математичних формул у LaTeX.</w:t>
      </w:r>
    </w:p>
    <w:p>
      <w:pPr>
        <w:pStyle w:val="Compact"/>
        <w:numPr>
          <w:ilvl w:val="0"/>
          <w:numId w:val="1004"/>
        </w:numPr>
      </w:pPr>
      <w:r>
        <w:t xml:space="preserve">Поняття ризику відповідно до стандарту ISO 31000.</w:t>
      </w:r>
    </w:p>
    <w:p>
      <w:pPr>
        <w:pStyle w:val="Compact"/>
        <w:numPr>
          <w:ilvl w:val="0"/>
          <w:numId w:val="1004"/>
        </w:numPr>
      </w:pPr>
      <w:r>
        <w:t xml:space="preserve">Три основні джерела ризиків: відомі невідомі, невідомі відомі, невідомі невідомі.</w:t>
      </w:r>
    </w:p>
    <w:p>
      <w:pPr>
        <w:pStyle w:val="Compact"/>
        <w:numPr>
          <w:ilvl w:val="0"/>
          <w:numId w:val="1004"/>
        </w:numPr>
      </w:pPr>
      <w:r>
        <w:t xml:space="preserve">П’ять етапів процесу управління ризиками.</w:t>
      </w:r>
    </w:p>
    <w:p>
      <w:pPr>
        <w:pStyle w:val="Compact"/>
        <w:numPr>
          <w:ilvl w:val="0"/>
          <w:numId w:val="1004"/>
        </w:numPr>
      </w:pPr>
      <w:r>
        <w:t xml:space="preserve">Техніки ідентифікації ризиків (SWOT, інтерв’ю, чек-листи).</w:t>
      </w:r>
    </w:p>
    <w:p>
      <w:pPr>
        <w:pStyle w:val="Compact"/>
        <w:numPr>
          <w:ilvl w:val="0"/>
          <w:numId w:val="1004"/>
        </w:numPr>
      </w:pPr>
      <w:r>
        <w:t xml:space="preserve">Якісний аналіз ризиків за допомогою матриці ймовірності та впливу.</w:t>
      </w:r>
    </w:p>
    <w:p>
      <w:pPr>
        <w:pStyle w:val="Compact"/>
        <w:numPr>
          <w:ilvl w:val="0"/>
          <w:numId w:val="1004"/>
        </w:numPr>
      </w:pPr>
      <w:r>
        <w:t xml:space="preserve">Кількісний аналіз ризиків та метод FMEA.</w:t>
      </w:r>
    </w:p>
    <w:p>
      <w:pPr>
        <w:pStyle w:val="Compact"/>
        <w:numPr>
          <w:ilvl w:val="0"/>
          <w:numId w:val="1004"/>
        </w:numPr>
      </w:pPr>
      <w:r>
        <w:t xml:space="preserve">Чотири основні стратегії реагування на ризики.</w:t>
      </w:r>
    </w:p>
    <w:p>
      <w:pPr>
        <w:pStyle w:val="Compact"/>
        <w:numPr>
          <w:ilvl w:val="0"/>
          <w:numId w:val="1004"/>
        </w:numPr>
      </w:pPr>
      <w:r>
        <w:t xml:space="preserve">Специфіка управління ризиками в R&amp;D проєктах.</w:t>
      </w:r>
    </w:p>
    <w:p>
      <w:pPr>
        <w:pStyle w:val="Compact"/>
        <w:numPr>
          <w:ilvl w:val="0"/>
          <w:numId w:val="1004"/>
        </w:numPr>
      </w:pPr>
      <w:r>
        <w:t xml:space="preserve">Концептуальна модель R&amp;D ризиків: комерційні, технічні, регуляторні, організаційні.</w:t>
      </w:r>
    </w:p>
    <w:p>
      <w:pPr>
        <w:pStyle w:val="Compact"/>
        <w:numPr>
          <w:ilvl w:val="0"/>
          <w:numId w:val="1004"/>
        </w:numPr>
      </w:pPr>
      <w:r>
        <w:t xml:space="preserve">Матриця ризику та винагороди для аналізу портфеля проєктів.</w:t>
      </w:r>
    </w:p>
    <w:p>
      <w:pPr>
        <w:pStyle w:val="Compact"/>
        <w:numPr>
          <w:ilvl w:val="0"/>
          <w:numId w:val="1004"/>
        </w:numPr>
      </w:pPr>
      <w:r>
        <w:t xml:space="preserve">Чотири квадранти матриці:</w:t>
      </w:r>
      <w:r>
        <w:t xml:space="preserve"> </w:t>
      </w:r>
      <w:r>
        <w:t xml:space="preserve">“Перлини”</w:t>
      </w:r>
      <w:r>
        <w:t xml:space="preserve">,</w:t>
      </w:r>
      <w:r>
        <w:t xml:space="preserve"> </w:t>
      </w:r>
      <w:r>
        <w:t xml:space="preserve">“Хліб і масло”</w:t>
      </w:r>
      <w:r>
        <w:t xml:space="preserve">,</w:t>
      </w:r>
      <w:r>
        <w:t xml:space="preserve"> </w:t>
      </w:r>
      <w:r>
        <w:t xml:space="preserve">“Устриці”</w:t>
      </w:r>
      <w:r>
        <w:t xml:space="preserve">,</w:t>
      </w:r>
      <w:r>
        <w:t xml:space="preserve"> </w:t>
      </w:r>
      <w:r>
        <w:t xml:space="preserve">“Білі слони”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Базовий та вищий рівні якості в управлінні проєктами.</w:t>
      </w:r>
    </w:p>
    <w:p>
      <w:pPr>
        <w:pStyle w:val="Compact"/>
        <w:numPr>
          <w:ilvl w:val="0"/>
          <w:numId w:val="1004"/>
        </w:numPr>
      </w:pPr>
      <w:r>
        <w:t xml:space="preserve">Тривимірна модель якості: якість продукту, процесу та організації.</w:t>
      </w:r>
    </w:p>
    <w:p>
      <w:pPr>
        <w:pStyle w:val="Compact"/>
        <w:numPr>
          <w:ilvl w:val="0"/>
          <w:numId w:val="1004"/>
        </w:numPr>
      </w:pPr>
      <w:r>
        <w:t xml:space="preserve">Основні виміри якості організації (залученість керівництва, управління знаннями).</w:t>
      </w:r>
    </w:p>
    <w:p>
      <w:pPr>
        <w:pStyle w:val="Compact"/>
        <w:numPr>
          <w:ilvl w:val="0"/>
          <w:numId w:val="1004"/>
        </w:numPr>
      </w:pPr>
      <w:r>
        <w:t xml:space="preserve">Ієрархія методів управління якістю: інспекція, контроль, забезпечення.</w:t>
      </w:r>
    </w:p>
    <w:p>
      <w:pPr>
        <w:pStyle w:val="Compact"/>
        <w:numPr>
          <w:ilvl w:val="0"/>
          <w:numId w:val="1004"/>
        </w:numPr>
      </w:pPr>
      <w:r>
        <w:t xml:space="preserve">Концепція загального управління якістю (TQM).</w:t>
      </w:r>
    </w:p>
    <w:p>
      <w:pPr>
        <w:pStyle w:val="Compact"/>
        <w:numPr>
          <w:ilvl w:val="0"/>
          <w:numId w:val="1004"/>
        </w:numPr>
      </w:pPr>
      <w:r>
        <w:t xml:space="preserve">Вартість якості: вартість контролю та вартість відмов.</w:t>
      </w:r>
    </w:p>
    <w:p>
      <w:pPr>
        <w:pStyle w:val="Compact"/>
        <w:numPr>
          <w:ilvl w:val="0"/>
          <w:numId w:val="1004"/>
        </w:numPr>
      </w:pPr>
      <w:r>
        <w:t xml:space="preserve">Критерії та фактори успішності проєкту.</w:t>
      </w:r>
    </w:p>
    <w:p>
      <w:pPr>
        <w:pStyle w:val="Compact"/>
        <w:numPr>
          <w:ilvl w:val="0"/>
          <w:numId w:val="1004"/>
        </w:numPr>
      </w:pPr>
      <w:r>
        <w:t xml:space="preserve">Основні причини провалів проєктів.</w:t>
      </w:r>
    </w:p>
    <w:p>
      <w:pPr>
        <w:pStyle w:val="Compact"/>
        <w:numPr>
          <w:ilvl w:val="0"/>
          <w:numId w:val="1004"/>
        </w:numPr>
      </w:pPr>
      <w:r>
        <w:t xml:space="preserve">Взаємозв’язок якості та причин провалів проєктів.</w:t>
      </w:r>
    </w:p>
    <w:p>
      <w:pPr>
        <w:pStyle w:val="Compact"/>
        <w:numPr>
          <w:ilvl w:val="0"/>
          <w:numId w:val="1004"/>
        </w:numPr>
      </w:pPr>
      <w:r>
        <w:t xml:space="preserve">Матриця</w:t>
      </w:r>
      <w:r>
        <w:t xml:space="preserve"> </w:t>
      </w:r>
      <w:r>
        <w:t xml:space="preserve">“цілей і методів”</w:t>
      </w:r>
      <w:r>
        <w:t xml:space="preserve"> </w:t>
      </w:r>
      <w:r>
        <w:t xml:space="preserve">Тернера і Кокрейна.</w:t>
      </w:r>
    </w:p>
    <w:p>
      <w:pPr>
        <w:pStyle w:val="Compact"/>
        <w:numPr>
          <w:ilvl w:val="0"/>
          <w:numId w:val="1004"/>
        </w:numPr>
      </w:pPr>
      <w:r>
        <w:t xml:space="preserve">Чотири типи проєктів за матрицею.</w:t>
      </w:r>
    </w:p>
    <w:p>
      <w:pPr>
        <w:pStyle w:val="Compact"/>
        <w:numPr>
          <w:ilvl w:val="0"/>
          <w:numId w:val="1004"/>
        </w:numPr>
      </w:pPr>
      <w:r>
        <w:t xml:space="preserve">Модель</w:t>
      </w:r>
      <w:r>
        <w:t xml:space="preserve"> </w:t>
      </w:r>
      <w:r>
        <w:t xml:space="preserve">“узгодженості”</w:t>
      </w:r>
      <w:r>
        <w:t xml:space="preserve"> </w:t>
      </w:r>
      <w:r>
        <w:t xml:space="preserve">інновацій Тушмана та О’Райлі.</w:t>
      </w:r>
    </w:p>
    <w:p>
      <w:pPr>
        <w:pStyle w:val="Compact"/>
        <w:numPr>
          <w:ilvl w:val="0"/>
          <w:numId w:val="1004"/>
        </w:numPr>
      </w:pPr>
      <w:r>
        <w:t xml:space="preserve">Три виміри вимог до успіху проєкту.</w:t>
      </w:r>
    </w:p>
    <w:p>
      <w:pPr>
        <w:pStyle w:val="Compact"/>
        <w:numPr>
          <w:ilvl w:val="0"/>
          <w:numId w:val="1004"/>
        </w:numPr>
      </w:pPr>
      <w:r>
        <w:t xml:space="preserve">Роль спін-аутів в управлінні R&amp;D-проєктами.</w:t>
      </w:r>
    </w:p>
    <w:bookmarkEnd w:id="19"/>
    <w:bookmarkStart w:id="20" w:name="навчально-методичне-забезпечення"/>
    <w:p>
      <w:pPr>
        <w:pStyle w:val="Heading2"/>
      </w:pPr>
      <w:r>
        <w:t xml:space="preserve">11. Навчально-методичне забезпечення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Project Management in Research and Development: Lecture notes</w:t>
      </w:r>
      <w:r>
        <w:t xml:space="preserve"> </w:t>
      </w:r>
      <w:r>
        <w:t xml:space="preserve">/ P. Radiuk. – Khmelnytskyi: KhNU, 2024. – 56 p.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Project Management in Research and Development: Practical Assignments</w:t>
      </w:r>
      <w:r>
        <w:t xml:space="preserve"> </w:t>
      </w:r>
      <w:r>
        <w:t xml:space="preserve">/ P. Radiuk, L. Vozniuk. – Khmelnytskyi: KhNU, 2024. – 24 p.</w:t>
      </w:r>
    </w:p>
    <w:p>
      <w:pPr>
        <w:pStyle w:val="Compact"/>
        <w:numPr>
          <w:ilvl w:val="0"/>
          <w:numId w:val="1005"/>
        </w:numPr>
      </w:pPr>
      <w:r>
        <w:t xml:space="preserve">Міца О.В., Лавер В.О.</w:t>
      </w:r>
      <w:r>
        <w:t xml:space="preserve"> </w:t>
      </w:r>
      <w:r>
        <w:rPr>
          <w:b/>
          <w:bCs/>
        </w:rPr>
        <w:t xml:space="preserve">Системний аналіз : навч.-метод. посіб. для студентів денної та заочної форм навчання за спеціальністю 122 Комп’ютерні науки.</w:t>
      </w:r>
      <w:r>
        <w:t xml:space="preserve"> </w:t>
      </w:r>
      <w:r>
        <w:t xml:space="preserve">Ужгород : вид-во ПП «АУТДОР - ШАРК», 2021. 63 c.</w:t>
      </w:r>
    </w:p>
    <w:bookmarkEnd w:id="20"/>
    <w:bookmarkStart w:id="21" w:name="Xc14ec374926785a34203bf75783057f5344a501"/>
    <w:p>
      <w:pPr>
        <w:pStyle w:val="Heading2"/>
      </w:pPr>
      <w:r>
        <w:t xml:space="preserve">12. Матеріально-технічне та програмне забезпечення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Апаратне забезпечення:</w:t>
      </w:r>
      <w:r>
        <w:t xml:space="preserve"> </w:t>
      </w:r>
      <w:r>
        <w:t xml:space="preserve">ПК, проєктор, доступ до мережі Інтернет.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Програмне забезпечення:</w:t>
      </w:r>
      <w:r>
        <w:t xml:space="preserve"> </w:t>
      </w:r>
      <w:r>
        <w:t xml:space="preserve">Microsoft Office (або аналоги), браузер, Project Libre, Microsoft Project, Jira, TexStudio (або інший LaTeX редактор).</w:t>
      </w:r>
    </w:p>
    <w:bookmarkEnd w:id="21"/>
    <w:bookmarkStart w:id="22" w:name="рекомендована-література"/>
    <w:p>
      <w:pPr>
        <w:pStyle w:val="Heading2"/>
      </w:pPr>
      <w:r>
        <w:t xml:space="preserve">13. Рекомендована література</w:t>
      </w:r>
    </w:p>
    <w:p>
      <w:pPr>
        <w:pStyle w:val="FirstParagraph"/>
      </w:pPr>
      <w:r>
        <w:rPr>
          <w:b/>
          <w:bCs/>
        </w:rPr>
        <w:t xml:space="preserve">Основна</w:t>
      </w:r>
    </w:p>
    <w:p>
      <w:pPr>
        <w:pStyle w:val="Compact"/>
        <w:numPr>
          <w:ilvl w:val="0"/>
          <w:numId w:val="1007"/>
        </w:numPr>
      </w:pPr>
      <w:r>
        <w:t xml:space="preserve">Kerzner H.</w:t>
      </w:r>
      <w:r>
        <w:t xml:space="preserve"> </w:t>
      </w:r>
      <w:r>
        <w:rPr>
          <w:b/>
          <w:bCs/>
        </w:rPr>
        <w:t xml:space="preserve">Innovation Project Management: Methods, Case Studies, and Tools for Managing Innovation Projects.</w:t>
      </w:r>
      <w:r>
        <w:t xml:space="preserve"> </w:t>
      </w:r>
      <w:r>
        <w:t xml:space="preserve">2nd ed. Hoboken, NJ, USA : John Wiley &amp; Sons, Inc., 2023. 624 p.</w:t>
      </w:r>
    </w:p>
    <w:p>
      <w:pPr>
        <w:pStyle w:val="Compact"/>
        <w:numPr>
          <w:ilvl w:val="0"/>
          <w:numId w:val="1007"/>
        </w:numPr>
      </w:pPr>
      <w:r>
        <w:t xml:space="preserve">Badiru A.B.</w:t>
      </w:r>
      <w:r>
        <w:t xml:space="preserve"> </w:t>
      </w:r>
      <w:r>
        <w:rPr>
          <w:b/>
          <w:bCs/>
        </w:rPr>
        <w:t xml:space="preserve">Project Management for Scholarly Researchers: Systems, Innovation, and Technologies.</w:t>
      </w:r>
      <w:r>
        <w:t xml:space="preserve"> </w:t>
      </w:r>
      <w:r>
        <w:t xml:space="preserve">Boca Raton, FL, USA : CRC Press, LLC, 2023. 348 p.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The standard for project management and a guide to the project management body of knowledge (PMBOK guide):</w:t>
      </w:r>
      <w:r>
        <w:t xml:space="preserve"> </w:t>
      </w:r>
      <w:r>
        <w:t xml:space="preserve">7th ed. Project Management Institute, Inc., PE, 2021. 329 р.</w:t>
      </w:r>
    </w:p>
    <w:p>
      <w:pPr>
        <w:pStyle w:val="Compact"/>
        <w:numPr>
          <w:ilvl w:val="0"/>
          <w:numId w:val="1007"/>
        </w:numPr>
      </w:pPr>
      <w:r>
        <w:t xml:space="preserve">Savarit E.</w:t>
      </w:r>
      <w:r>
        <w:t xml:space="preserve"> </w:t>
      </w:r>
      <w:r>
        <w:rPr>
          <w:b/>
          <w:bCs/>
        </w:rPr>
        <w:t xml:space="preserve">Practical user research: Everything you need to know to integrate user research to your product development.</w:t>
      </w:r>
      <w:r>
        <w:t xml:space="preserve"> </w:t>
      </w:r>
      <w:r>
        <w:t xml:space="preserve">Apress Berkeley, CA, 2020. 274 р.</w:t>
      </w:r>
    </w:p>
    <w:p>
      <w:pPr>
        <w:pStyle w:val="Compact"/>
        <w:numPr>
          <w:ilvl w:val="0"/>
          <w:numId w:val="1007"/>
        </w:numPr>
      </w:pPr>
      <w:r>
        <w:t xml:space="preserve">Keengwe J., Tran Y.</w:t>
      </w:r>
      <w:r>
        <w:t xml:space="preserve"> </w:t>
      </w:r>
      <w:r>
        <w:rPr>
          <w:b/>
          <w:bCs/>
        </w:rPr>
        <w:t xml:space="preserve">Handbook of Research on Equity in Computer Science in P-16 Education.</w:t>
      </w:r>
      <w:r>
        <w:t xml:space="preserve"> </w:t>
      </w:r>
      <w:r>
        <w:t xml:space="preserve">Hershey, PE, USA : IGI Global, 2020. 354 р.</w:t>
      </w:r>
    </w:p>
    <w:p>
      <w:pPr>
        <w:pStyle w:val="FirstParagraph"/>
      </w:pPr>
      <w:r>
        <w:rPr>
          <w:b/>
          <w:bCs/>
        </w:rPr>
        <w:t xml:space="preserve">Додаткова</w:t>
      </w:r>
    </w:p>
    <w:p>
      <w:pPr>
        <w:pStyle w:val="Compact"/>
        <w:numPr>
          <w:ilvl w:val="0"/>
          <w:numId w:val="1008"/>
        </w:numPr>
      </w:pPr>
      <w:r>
        <w:t xml:space="preserve">Melnychenko O., Scislo L., Savenko O., Sachenko A., Radiuk P.</w:t>
      </w:r>
      <w:r>
        <w:t xml:space="preserve"> </w:t>
      </w:r>
      <w:r>
        <w:rPr>
          <w:b/>
          <w:bCs/>
        </w:rPr>
        <w:t xml:space="preserve">Intelligent integrated system for fruit detection using multi–UAV imaging and deep learning.</w:t>
      </w:r>
      <w:r>
        <w:t xml:space="preserve"> </w:t>
      </w:r>
      <w:r>
        <w:t xml:space="preserve">Sensors. 2024. Vol. 24. No. 6. P. 1913.</w:t>
      </w:r>
    </w:p>
    <w:p>
      <w:pPr>
        <w:pStyle w:val="Compact"/>
        <w:numPr>
          <w:ilvl w:val="0"/>
          <w:numId w:val="1008"/>
        </w:numPr>
      </w:pPr>
      <w:r>
        <w:t xml:space="preserve">Li R., Nakano A.</w:t>
      </w:r>
      <w:r>
        <w:t xml:space="preserve"> </w:t>
      </w:r>
      <w:r>
        <w:rPr>
          <w:b/>
          <w:bCs/>
        </w:rPr>
        <w:t xml:space="preserve">Simulation with Python: Develop simulation and modeling in natural sciences, engineering, and social sciences.</w:t>
      </w:r>
      <w:r>
        <w:t xml:space="preserve"> </w:t>
      </w:r>
      <w:r>
        <w:t xml:space="preserve">[Online] / CA: Apress Berkeley, 2022. 175 p.</w:t>
      </w:r>
    </w:p>
    <w:p>
      <w:pPr>
        <w:pStyle w:val="Compact"/>
        <w:numPr>
          <w:ilvl w:val="0"/>
          <w:numId w:val="1008"/>
        </w:numPr>
      </w:pPr>
      <w:r>
        <w:t xml:space="preserve">Kalyta O., Krak Iu., Barmak O., Wojcik W., Radiuk P.</w:t>
      </w:r>
      <w:r>
        <w:t xml:space="preserve"> </w:t>
      </w:r>
      <w:r>
        <w:rPr>
          <w:b/>
          <w:bCs/>
        </w:rPr>
        <w:t xml:space="preserve">Method of facial geometric feature representation for information security systems.</w:t>
      </w:r>
      <w:r>
        <w:t xml:space="preserve"> </w:t>
      </w:r>
      <w:r>
        <w:t xml:space="preserve">The 3rd International Workshop on Intelligent Information Technologies &amp; Systems of Information Security (IntelITSIS-2022) : CEUR-Workshop Proceedings. Vol. 3156. Aachen, 2022. P. 319–328.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Сучасний менеджмент: моделі, стратегії, технології :</w:t>
      </w:r>
      <w:r>
        <w:t xml:space="preserve"> </w:t>
      </w:r>
      <w:r>
        <w:t xml:space="preserve">матеріали XXI Всеукр. щоріч. студент. наук.-практ. конф. за міжнарод. участю. 23 квіт. 2020 р. Одеса : ОРІДУ НАДУ, 2020. 642 c.</w:t>
      </w:r>
    </w:p>
    <w:bookmarkEnd w:id="22"/>
    <w:bookmarkStart w:id="23" w:name="інформаційні-ресурси"/>
    <w:p>
      <w:pPr>
        <w:pStyle w:val="Heading2"/>
      </w:pPr>
      <w:r>
        <w:t xml:space="preserve">14. Інформаційні ресурси</w:t>
      </w:r>
    </w:p>
    <w:p>
      <w:pPr>
        <w:pStyle w:val="Compact"/>
        <w:numPr>
          <w:ilvl w:val="0"/>
          <w:numId w:val="1009"/>
        </w:numPr>
      </w:pPr>
      <w:r>
        <w:t xml:space="preserve">Модульне середовище для навчання:</w:t>
      </w:r>
      <w:r>
        <w:t xml:space="preserve"> </w:t>
      </w:r>
      <w:r>
        <w:rPr>
          <w:rStyle w:val="VerbatimChar"/>
        </w:rPr>
        <w:t xml:space="preserve">https://msn.khnu.km.ua/</w:t>
      </w:r>
    </w:p>
    <w:p>
      <w:pPr>
        <w:pStyle w:val="Compact"/>
        <w:numPr>
          <w:ilvl w:val="0"/>
          <w:numId w:val="1009"/>
        </w:numPr>
      </w:pPr>
      <w:r>
        <w:t xml:space="preserve">Електронна бібліотека університету:</w:t>
      </w:r>
      <w:r>
        <w:t xml:space="preserve"> </w:t>
      </w:r>
      <w:r>
        <w:rPr>
          <w:rStyle w:val="VerbatimChar"/>
        </w:rPr>
        <w:t xml:space="preserve">http://lib.khmnu.edu.ua/</w:t>
      </w:r>
    </w:p>
    <w:p>
      <w:pPr>
        <w:pStyle w:val="Compact"/>
        <w:numPr>
          <w:ilvl w:val="0"/>
          <w:numId w:val="1009"/>
        </w:numPr>
      </w:pPr>
      <w:r>
        <w:t xml:space="preserve">Репозитарій ХНУ:</w:t>
      </w:r>
      <w:r>
        <w:t xml:space="preserve"> </w:t>
      </w:r>
      <w:r>
        <w:rPr>
          <w:rStyle w:val="VerbatimChar"/>
        </w:rPr>
        <w:t xml:space="preserve">https://elar.khmnu.edu.ua/</w:t>
      </w:r>
    </w:p>
    <w:p>
      <w:r>
        <w:pict>
          <v:rect style="width:0;height:1.5pt" o:hralign="center" o:hrstd="t" o:hr="t"/>
        </w:pict>
      </w:r>
    </w:p>
    <w:bookmarkEnd w:id="23"/>
    <w:bookmarkStart w:id="24" w:name="X6d8914f6962f6239fd9ef2f2c612009dcc5d0f2"/>
    <w:p>
      <w:pPr>
        <w:pStyle w:val="Heading2"/>
      </w:pPr>
      <w:r>
        <w:t xml:space="preserve">УПРАВЛІННЯ ПРОЄКТАМИ В ДОСЛІДЖЕНІ ТА РОЗРОБЦІ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Тип дисципліни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Обов’язкова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Рівень вищої освіти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Третій (освітньо-науковий)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Мова викладання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Українська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Семестр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Перший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Кількість призначених кредитів ЄКТС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Форми здобуття освіти, для яких викладається дисципліна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Очна (денна)</w:t>
            </w:r>
          </w:p>
        </w:tc>
      </w:tr>
    </w:tbl>
    <w:p>
      <w:pPr>
        <w:pStyle w:val="BodyText"/>
      </w:pPr>
      <w:r>
        <w:rPr>
          <w:b/>
          <w:bCs/>
        </w:rPr>
        <w:t xml:space="preserve">Результати навчання.</w:t>
      </w:r>
      <w:r>
        <w:t xml:space="preserve"> </w:t>
      </w:r>
      <w:r>
        <w:t xml:space="preserve">Після вивчення дисципліни студент повинен: володіти теоретичними і методологічними основами управління проєктами різного виду; знати характеристику проєкту; володіти процесом управління проєктом; знати проєктні структури; знати алгоритм організації команди проєкту; вміти розробляти структуру проєкту; вміти створювати зв’язки між задачами проєкту; вміти створювати звіти, перехресні таблиці; розуміти та вміти знаходити перевантаження ресурсів та їх виправляти.</w:t>
      </w:r>
    </w:p>
    <w:p>
      <w:pPr>
        <w:pStyle w:val="BodyText"/>
      </w:pPr>
      <w:r>
        <w:rPr>
          <w:b/>
          <w:bCs/>
        </w:rPr>
        <w:t xml:space="preserve">Зміст навчальної дисципліни.</w:t>
      </w:r>
      <w:r>
        <w:t xml:space="preserve"> </w:t>
      </w:r>
      <w:r>
        <w:t xml:space="preserve">Ініціація та планування R&amp;D проєктів; Управління часом, обсягом та комунікаціями; Управління ризиками, якістю та життєвим циклом; Виконання та оцінка R&amp;D проєкту.</w:t>
      </w:r>
    </w:p>
    <w:p>
      <w:pPr>
        <w:pStyle w:val="BodyText"/>
      </w:pPr>
      <w:r>
        <w:rPr>
          <w:b/>
          <w:bCs/>
        </w:rPr>
        <w:t xml:space="preserve">Пререквізити:</w:t>
      </w:r>
      <w:r>
        <w:t xml:space="preserve"> </w:t>
      </w:r>
      <w:r>
        <w:t xml:space="preserve">вихідна.</w:t>
      </w:r>
    </w:p>
    <w:p>
      <w:pPr>
        <w:pStyle w:val="BodyText"/>
      </w:pPr>
      <w:r>
        <w:rPr>
          <w:b/>
          <w:bCs/>
        </w:rPr>
        <w:t xml:space="preserve">Кореквізити:</w:t>
      </w:r>
      <w:r>
        <w:t xml:space="preserve"> </w:t>
      </w:r>
      <w:r>
        <w:t xml:space="preserve">Психологія, педагогіка та методика викладання у вищій школі, Моделювання та інтелектуальна обробка інформації, Педагогічна (викладацька) практика.</w:t>
      </w:r>
    </w:p>
    <w:p>
      <w:pPr>
        <w:pStyle w:val="BodyText"/>
      </w:pPr>
      <w:r>
        <w:rPr>
          <w:b/>
          <w:bCs/>
        </w:rPr>
        <w:t xml:space="preserve">Запланована навчальна діяльність:</w:t>
      </w:r>
      <w:r>
        <w:t xml:space="preserve"> </w:t>
      </w:r>
      <w:r>
        <w:t xml:space="preserve">Мінімальний обсяг навчальних занять в одному кредиті ЄКТС навчальної дисципліни для третього (освітньо-наукового) рівня вищої освіти за денною формою здобуття освіти становить 8 годин на 1 кредит ЄКТС.</w:t>
      </w:r>
    </w:p>
    <w:p>
      <w:pPr>
        <w:pStyle w:val="BodyText"/>
      </w:pPr>
      <w:r>
        <w:rPr>
          <w:b/>
          <w:bCs/>
        </w:rPr>
        <w:t xml:space="preserve">Форми (методи) навчання:</w:t>
      </w:r>
      <w:r>
        <w:t xml:space="preserve"> </w:t>
      </w:r>
      <w:r>
        <w:t xml:space="preserve">лекції (з використанням мультимедійних презентацій, методів візуалізації); практичні заняття (з використанням інструктування, аналізу кейсів); самостійна робота (опрацювання теоретичного матеріалу, виконання індивідуальних завдань).</w:t>
      </w:r>
    </w:p>
    <w:p>
      <w:pPr>
        <w:pStyle w:val="BodyText"/>
      </w:pPr>
      <w:r>
        <w:rPr>
          <w:b/>
          <w:bCs/>
        </w:rPr>
        <w:t xml:space="preserve">Форми оцінювання результатів навчання:</w:t>
      </w:r>
      <w:r>
        <w:t xml:space="preserve"> </w:t>
      </w:r>
      <w:r>
        <w:t xml:space="preserve">оцінювання практичних завдань; виконання індивідуальних домашніх завдань; тестування; підсумкова контрольна робота.</w:t>
      </w:r>
    </w:p>
    <w:p>
      <w:pPr>
        <w:pStyle w:val="BodyText"/>
      </w:pPr>
      <w:r>
        <w:rPr>
          <w:b/>
          <w:bCs/>
        </w:rPr>
        <w:t xml:space="preserve">Вид семестрового контролю:</w:t>
      </w:r>
      <w:r>
        <w:t xml:space="preserve"> </w:t>
      </w:r>
      <w:r>
        <w:t xml:space="preserve">залік – 1 семестр.</w:t>
      </w:r>
    </w:p>
    <w:p>
      <w:pPr>
        <w:pStyle w:val="BodyText"/>
      </w:pPr>
      <w:r>
        <w:rPr>
          <w:b/>
          <w:bCs/>
        </w:rPr>
        <w:t xml:space="preserve">Навчальні ресурси:</w:t>
      </w:r>
    </w:p>
    <w:p>
      <w:pPr>
        <w:pStyle w:val="Compact"/>
        <w:numPr>
          <w:ilvl w:val="0"/>
          <w:numId w:val="1010"/>
        </w:numPr>
      </w:pPr>
      <w:r>
        <w:t xml:space="preserve">Kerzner H.</w:t>
      </w:r>
      <w:r>
        <w:t xml:space="preserve"> </w:t>
      </w:r>
      <w:r>
        <w:rPr>
          <w:b/>
          <w:bCs/>
        </w:rPr>
        <w:t xml:space="preserve">Innovation Project Management: Methods, Case Studies, and Tools for Managing Innovation Projects.</w:t>
      </w:r>
      <w:r>
        <w:t xml:space="preserve"> </w:t>
      </w:r>
      <w:r>
        <w:t xml:space="preserve">2nd ed. John Wiley &amp; Sons, Inc., 2023. 624 p.</w:t>
      </w:r>
    </w:p>
    <w:p>
      <w:pPr>
        <w:pStyle w:val="Compact"/>
        <w:numPr>
          <w:ilvl w:val="0"/>
          <w:numId w:val="1010"/>
        </w:numPr>
      </w:pPr>
      <w:r>
        <w:t xml:space="preserve">Badiru A.B.</w:t>
      </w:r>
      <w:r>
        <w:t xml:space="preserve"> </w:t>
      </w:r>
      <w:r>
        <w:rPr>
          <w:b/>
          <w:bCs/>
        </w:rPr>
        <w:t xml:space="preserve">Project Management for Scholarly Researchers: Systems, Innovation, and Technologies.</w:t>
      </w:r>
      <w:r>
        <w:t xml:space="preserve"> </w:t>
      </w:r>
      <w:r>
        <w:t xml:space="preserve">CRC Press, LLC, 2023. 348 p.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The standard for project management and a guide to the project management body of knowledge (PMBOK guide):</w:t>
      </w:r>
      <w:r>
        <w:t xml:space="preserve"> </w:t>
      </w:r>
      <w:r>
        <w:t xml:space="preserve">7th ed. Project Management Institute, Inc., 2021. 329 р.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Модульне середовище для навчання.</w:t>
      </w:r>
      <w:r>
        <w:t xml:space="preserve"> </w:t>
      </w:r>
      <w:r>
        <w:t xml:space="preserve">Доступ до ресурсу:</w:t>
      </w:r>
      <w:r>
        <w:t xml:space="preserve"> </w:t>
      </w:r>
      <w:r>
        <w:rPr>
          <w:rStyle w:val="VerbatimChar"/>
        </w:rPr>
        <w:t xml:space="preserve">https://msn.khmnu.km.ua/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Електронна бібліотека університету.</w:t>
      </w:r>
      <w:r>
        <w:t xml:space="preserve"> </w:t>
      </w:r>
      <w:r>
        <w:t xml:space="preserve">Доступ до ресурсу:</w:t>
      </w:r>
      <w:r>
        <w:t xml:space="preserve"> </w:t>
      </w:r>
      <w:r>
        <w:rPr>
          <w:rStyle w:val="VerbatimChar"/>
        </w:rPr>
        <w:t xml:space="preserve">http://lib.khmnu.edu.ua/</w:t>
      </w:r>
    </w:p>
    <w:p>
      <w:pPr>
        <w:pStyle w:val="FirstParagraph"/>
      </w:pPr>
      <w:r>
        <w:rPr>
          <w:b/>
          <w:bCs/>
        </w:rPr>
        <w:t xml:space="preserve">Викладачі:</w:t>
      </w:r>
      <w:r>
        <w:t xml:space="preserve"> </w:t>
      </w:r>
      <w:r>
        <w:t xml:space="preserve">доктор філософії, старший викладач кафедри комп’ютерних наук Павло РАДЮК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2025-09-18T13:57:25Z</dcterms:created>
  <dcterms:modified xsi:type="dcterms:W3CDTF">2025-09-18T13:57:25Z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