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робоча-програма-навчальної-дисципліни"/>
    <w:p>
      <w:pPr>
        <w:pStyle w:val="Heading1"/>
      </w:pPr>
      <w:r>
        <w:t xml:space="preserve">РОБОЧА ПРОГРАМА НАВЧАЛЬНОЇ ДИСЦИПЛІНИ</w:t>
      </w:r>
    </w:p>
    <w:p>
      <w:pPr>
        <w:pStyle w:val="FirstParagraph"/>
      </w:pPr>
      <w:r>
        <w:rPr>
          <w:b/>
          <w:bCs/>
        </w:rPr>
        <w:t xml:space="preserve">Моделювання систем та системний аналіз</w:t>
      </w:r>
      <w:r>
        <w:br/>
      </w:r>
      <w:r>
        <w:t xml:space="preserve">Спеціальність:</w:t>
      </w:r>
      <w:r>
        <w:t xml:space="preserve"> </w:t>
      </w:r>
      <w:r>
        <w:rPr>
          <w:b/>
          <w:bCs/>
        </w:rPr>
        <w:t xml:space="preserve">122 Комп’ютерні науки</w:t>
      </w:r>
      <w:r>
        <w:br/>
      </w:r>
      <w:r>
        <w:t xml:space="preserve">Освітня програма:</w:t>
      </w:r>
      <w:r>
        <w:t xml:space="preserve"> </w:t>
      </w:r>
      <w:r>
        <w:rPr>
          <w:b/>
          <w:bCs/>
        </w:rPr>
        <w:t xml:space="preserve">Комп’ютерні науки</w:t>
      </w:r>
      <w:r>
        <w:t xml:space="preserve"> </w:t>
      </w:r>
      <w:r>
        <w:t xml:space="preserve">(обов’язковий компонент) —</w:t>
      </w:r>
      <w:r>
        <w:t xml:space="preserve"> </w:t>
      </w:r>
      <w:r>
        <w:rPr>
          <w:b/>
          <w:bCs/>
        </w:rPr>
        <w:t xml:space="preserve">ОПП.12</w:t>
      </w:r>
      <w:r>
        <w:t xml:space="preserve">. :contentReference</w:t>
      </w:r>
      <w:r>
        <w:t xml:space="preserve">oaicite:0</w:t>
      </w:r>
    </w:p>
    <w:p>
      <w:pPr>
        <w:pStyle w:val="BodyText"/>
      </w:pPr>
      <w:r>
        <w:t xml:space="preserve">Курс/семестр:</w:t>
      </w:r>
      <w:r>
        <w:t xml:space="preserve"> </w:t>
      </w:r>
      <w:r>
        <w:rPr>
          <w:b/>
          <w:bCs/>
        </w:rPr>
        <w:t xml:space="preserve">2 курс, 3 семестр</w:t>
      </w:r>
      <w:r>
        <w:t xml:space="preserve">. Обсяг:</w:t>
      </w:r>
      <w:r>
        <w:t xml:space="preserve"> </w:t>
      </w:r>
      <w:r>
        <w:rPr>
          <w:b/>
          <w:bCs/>
        </w:rPr>
        <w:t xml:space="preserve">5 кредитів ЄКТС (150 год.)</w:t>
      </w:r>
      <w:r>
        <w:t xml:space="preserve">: лекції —</w:t>
      </w:r>
      <w:r>
        <w:t xml:space="preserve"> </w:t>
      </w:r>
      <w:r>
        <w:rPr>
          <w:b/>
          <w:bCs/>
        </w:rPr>
        <w:t xml:space="preserve">34 год.</w:t>
      </w:r>
      <w:r>
        <w:t xml:space="preserve">, лабораторні —</w:t>
      </w:r>
      <w:r>
        <w:t xml:space="preserve"> </w:t>
      </w:r>
      <w:r>
        <w:rPr>
          <w:b/>
          <w:bCs/>
        </w:rPr>
        <w:t xml:space="preserve">34 год.</w:t>
      </w:r>
      <w:r>
        <w:t xml:space="preserve">, самостійна робота —</w:t>
      </w:r>
      <w:r>
        <w:t xml:space="preserve"> </w:t>
      </w:r>
      <w:r>
        <w:rPr>
          <w:b/>
          <w:bCs/>
        </w:rPr>
        <w:t xml:space="preserve">82 год.</w:t>
      </w:r>
      <w:r>
        <w:t xml:space="preserve">;</w:t>
      </w:r>
      <w:r>
        <w:t xml:space="preserve"> </w:t>
      </w:r>
      <w:r>
        <w:rPr>
          <w:b/>
          <w:bCs/>
        </w:rPr>
        <w:t xml:space="preserve">форма контролю — іспит</w:t>
      </w:r>
      <w:r>
        <w:t xml:space="preserve">. :contentReference</w:t>
      </w:r>
      <w:r>
        <w:t xml:space="preserve">oaicite:1</w:t>
      </w:r>
    </w:p>
    <w:p>
      <w:r>
        <w:pict>
          <v:rect style="width:0;height:1.5pt" o:hralign="center" o:hrstd="t" o:hr="t"/>
        </w:pict>
      </w:r>
    </w:p>
    <w:bookmarkStart w:id="9" w:name="пояснювальна-записка"/>
    <w:p>
      <w:pPr>
        <w:pStyle w:val="Heading2"/>
      </w:pPr>
      <w:r>
        <w:t xml:space="preserve">3. Пояснювальна записка</w:t>
      </w:r>
    </w:p>
    <w:p>
      <w:pPr>
        <w:pStyle w:val="FirstParagraph"/>
      </w:pPr>
      <w:r>
        <w:t xml:space="preserve">Дисципліна «</w:t>
      </w:r>
      <w:r>
        <w:rPr>
          <w:b/>
          <w:bCs/>
        </w:rPr>
        <w:t xml:space="preserve">Моделювання систем та системний аналіз</w:t>
      </w:r>
      <w:r>
        <w:t xml:space="preserve">» є дисципліною</w:t>
      </w:r>
      <w:r>
        <w:t xml:space="preserve"> </w:t>
      </w:r>
      <w:r>
        <w:rPr>
          <w:b/>
          <w:bCs/>
        </w:rPr>
        <w:t xml:space="preserve">професійної підготовки</w:t>
      </w:r>
      <w:r>
        <w:t xml:space="preserve"> </w:t>
      </w:r>
      <w:r>
        <w:t xml:space="preserve">здобувачів</w:t>
      </w:r>
      <w:r>
        <w:t xml:space="preserve"> </w:t>
      </w:r>
      <w:r>
        <w:rPr>
          <w:b/>
          <w:bCs/>
        </w:rPr>
        <w:t xml:space="preserve">першого (бакалаврського)</w:t>
      </w:r>
      <w:r>
        <w:t xml:space="preserve"> </w:t>
      </w:r>
      <w:r>
        <w:t xml:space="preserve">рівня вищої освіти,</w:t>
      </w:r>
      <w:r>
        <w:t xml:space="preserve"> </w:t>
      </w:r>
      <w:r>
        <w:rPr>
          <w:b/>
          <w:bCs/>
        </w:rPr>
        <w:t xml:space="preserve">очної (денної)</w:t>
      </w:r>
      <w:r>
        <w:t xml:space="preserve"> </w:t>
      </w:r>
      <w:r>
        <w:t xml:space="preserve">форми здобуття освіти, які навчаються за освітньо‑професійною програмою «</w:t>
      </w:r>
      <w:r>
        <w:rPr>
          <w:b/>
          <w:bCs/>
        </w:rPr>
        <w:t xml:space="preserve">Комп’ютерні науки</w:t>
      </w:r>
      <w:r>
        <w:t xml:space="preserve">» в межах спеціальності</w:t>
      </w:r>
      <w:r>
        <w:t xml:space="preserve"> </w:t>
      </w:r>
      <w:r>
        <w:rPr>
          <w:b/>
          <w:bCs/>
        </w:rPr>
        <w:t xml:space="preserve">122 «Комп’ютерні науки»</w:t>
      </w:r>
      <w:r>
        <w:t xml:space="preserve">. Компонент має шифр</w:t>
      </w:r>
      <w:r>
        <w:t xml:space="preserve"> </w:t>
      </w:r>
      <w:r>
        <w:rPr>
          <w:b/>
          <w:bCs/>
        </w:rPr>
        <w:t xml:space="preserve">ОПП.12</w:t>
      </w:r>
      <w:r>
        <w:t xml:space="preserve"> </w:t>
      </w:r>
      <w:r>
        <w:t xml:space="preserve">і викладається у</w:t>
      </w:r>
      <w:r>
        <w:t xml:space="preserve"> </w:t>
      </w:r>
      <w:r>
        <w:rPr>
          <w:b/>
          <w:bCs/>
        </w:rPr>
        <w:t xml:space="preserve">3 семестрі</w:t>
      </w:r>
      <w:r>
        <w:t xml:space="preserve">. :contentReference</w:t>
      </w:r>
      <w:r>
        <w:t xml:space="preserve">oaicite:2</w:t>
      </w:r>
    </w:p>
    <w:p>
      <w:pPr>
        <w:pStyle w:val="BodyText"/>
      </w:pPr>
      <w:r>
        <w:rPr>
          <w:b/>
          <w:bCs/>
        </w:rPr>
        <w:t xml:space="preserve">Пререквізити</w:t>
      </w:r>
      <w:r>
        <w:t xml:space="preserve"> </w:t>
      </w:r>
      <w:r>
        <w:t xml:space="preserve">– Вища математика; Дискретна математика; Теорія ймовірностей та математична статистика; Алгоритмізація та програмування. (Згідно з переліком обов’язкових компонент і їх логічною послідовністю.) :contentReference</w:t>
      </w:r>
      <w:r>
        <w:t xml:space="preserve">oaicite:3</w:t>
      </w:r>
    </w:p>
    <w:p>
      <w:pPr>
        <w:pStyle w:val="BodyText"/>
      </w:pPr>
      <w:r>
        <w:rPr>
          <w:b/>
          <w:bCs/>
        </w:rPr>
        <w:t xml:space="preserve">Кореквізити</w:t>
      </w:r>
      <w:r>
        <w:t xml:space="preserve"> </w:t>
      </w:r>
      <w:r>
        <w:t xml:space="preserve">– Теорія алгоритмів; Інтелектуальний аналіз даних; Об’єктно‑орієнтоване проєктування (логічні зв’язки компонент у 2–3 семестрах). :contentReference</w:t>
      </w:r>
      <w:r>
        <w:t xml:space="preserve">oaicite:4</w:t>
      </w:r>
    </w:p>
    <w:p>
      <w:pPr>
        <w:pStyle w:val="BodyText"/>
      </w:pPr>
      <w:r>
        <w:t xml:space="preserve">Відповідно до освітньої програми дисципліна сприяє забезпеченню:</w:t>
      </w:r>
    </w:p>
    <w:p>
      <w:pPr>
        <w:pStyle w:val="BodyText"/>
      </w:pPr>
      <w:r>
        <w:rPr>
          <w:b/>
          <w:bCs/>
        </w:rPr>
        <w:t xml:space="preserve">компетентностей:</w:t>
      </w:r>
      <w:r>
        <w:t xml:space="preserve"> </w:t>
      </w:r>
      <w:r>
        <w:t xml:space="preserve">інтегральна компетентність ІК; загальні компетентності, зокрема</w:t>
      </w:r>
      <w:r>
        <w:t xml:space="preserve"> </w:t>
      </w:r>
      <w:r>
        <w:rPr>
          <w:b/>
          <w:bCs/>
        </w:rPr>
        <w:t xml:space="preserve">ЗК01</w:t>
      </w:r>
      <w:r>
        <w:t xml:space="preserve"> </w:t>
      </w:r>
      <w:r>
        <w:t xml:space="preserve">(абстрактне мислення, аналіз і синтез) та пов’язані; фахові компетентності</w:t>
      </w:r>
      <w:r>
        <w:t xml:space="preserve"> </w:t>
      </w:r>
      <w:r>
        <w:rPr>
          <w:b/>
          <w:bCs/>
        </w:rPr>
        <w:t xml:space="preserve">ФК04</w:t>
      </w:r>
      <w:r>
        <w:t xml:space="preserve"> </w:t>
      </w:r>
      <w:r>
        <w:t xml:space="preserve">(математичне моделювання),</w:t>
      </w:r>
      <w:r>
        <w:t xml:space="preserve"> </w:t>
      </w:r>
      <w:r>
        <w:rPr>
          <w:b/>
          <w:bCs/>
        </w:rPr>
        <w:t xml:space="preserve">ФК06</w:t>
      </w:r>
      <w:r>
        <w:t xml:space="preserve"> </w:t>
      </w:r>
      <w:r>
        <w:t xml:space="preserve">(системне мислення, методологія системного аналізу),</w:t>
      </w:r>
      <w:r>
        <w:t xml:space="preserve"> </w:t>
      </w:r>
      <w:r>
        <w:rPr>
          <w:b/>
          <w:bCs/>
        </w:rPr>
        <w:t xml:space="preserve">ФК07</w:t>
      </w:r>
      <w:r>
        <w:t xml:space="preserve"> </w:t>
      </w:r>
      <w:r>
        <w:t xml:space="preserve">(методологія і технологія моделювання, обчислювальні експерименти). :contentReference</w:t>
      </w:r>
      <w:r>
        <w:t xml:space="preserve">oaicite:5</w:t>
      </w:r>
      <w:r>
        <w:t xml:space="preserve"> </w:t>
      </w:r>
      <w:r>
        <w:t xml:space="preserve">:contentReference</w:t>
      </w:r>
      <w:r>
        <w:t xml:space="preserve">oaicite:6</w:t>
      </w:r>
    </w:p>
    <w:p>
      <w:pPr>
        <w:pStyle w:val="BodyText"/>
      </w:pPr>
      <w:r>
        <w:rPr>
          <w:b/>
          <w:bCs/>
        </w:rPr>
        <w:t xml:space="preserve">програмних результатів навчання:</w:t>
      </w:r>
      <w:r>
        <w:t xml:space="preserve"> </w:t>
      </w:r>
      <w:r>
        <w:rPr>
          <w:b/>
          <w:bCs/>
        </w:rPr>
        <w:t xml:space="preserve">ПРН07</w:t>
      </w:r>
      <w:r>
        <w:t xml:space="preserve"> </w:t>
      </w:r>
      <w:r>
        <w:t xml:space="preserve">(моделювання організаційно‑технічних систем, методи дослідження операцій та оптимізації),</w:t>
      </w:r>
      <w:r>
        <w:t xml:space="preserve"> </w:t>
      </w:r>
      <w:r>
        <w:rPr>
          <w:b/>
          <w:bCs/>
        </w:rPr>
        <w:t xml:space="preserve">ПРН08</w:t>
      </w:r>
      <w:r>
        <w:t xml:space="preserve"> </w:t>
      </w:r>
      <w:r>
        <w:t xml:space="preserve">(методологія системного аналізу для аналізу, прогнозування, управління і проєктування динамічних процесів). :contentReference</w:t>
      </w:r>
      <w:r>
        <w:t xml:space="preserve">oaicite:7</w:t>
      </w:r>
    </w:p>
    <w:p>
      <w:pPr>
        <w:pStyle w:val="BodyText"/>
      </w:pPr>
      <w:r>
        <w:rPr>
          <w:b/>
          <w:bCs/>
        </w:rPr>
        <w:t xml:space="preserve">Мета дисципліни.</w:t>
      </w:r>
      <w:r>
        <w:t xml:space="preserve"> </w:t>
      </w:r>
      <w:r>
        <w:t xml:space="preserve">Формування фундаментальних знань про принципи моделювання та проєктування систем, методи системного аналізу, набуття практичних навичок побудови й дослідження моделей із використанням сучасних інструментальних засобів. :contentReference</w:t>
      </w:r>
      <w:r>
        <w:t xml:space="preserve">oaicite:8</w:t>
      </w:r>
    </w:p>
    <w:p>
      <w:pPr>
        <w:pStyle w:val="BodyText"/>
      </w:pPr>
      <w:r>
        <w:rPr>
          <w:b/>
          <w:bCs/>
        </w:rPr>
        <w:t xml:space="preserve">Предмет дисципліни.</w:t>
      </w:r>
      <w:r>
        <w:t xml:space="preserve"> </w:t>
      </w:r>
      <w:r>
        <w:t xml:space="preserve">Поняття систем і моделей; класи моделей; імітаційне й імовірнісне моделювання; моделі систем масового обслуговування; програмні засоби моделювання; системний аналіз і прийняття рішень. :contentReference</w:t>
      </w:r>
      <w:r>
        <w:t xml:space="preserve">oaicite:9</w:t>
      </w:r>
    </w:p>
    <w:p>
      <w:pPr>
        <w:pStyle w:val="BodyText"/>
      </w:pPr>
      <w:r>
        <w:rPr>
          <w:b/>
          <w:bCs/>
        </w:rPr>
        <w:t xml:space="preserve">Завдання дисципліни.</w:t>
      </w:r>
      <w:r>
        <w:t xml:space="preserve"> </w:t>
      </w:r>
      <w:r>
        <w:t xml:space="preserve">Формування теоретичних знань і практичних навичок з аналізу та синтезу моделей складних систем; проведення обчислювальних експериментів; інтерпретація результатів для підтримки прийняття рішень. :contentReference</w:t>
      </w:r>
      <w:r>
        <w:t xml:space="preserve">oaicite:10</w:t>
      </w:r>
    </w:p>
    <w:p>
      <w:r>
        <w:pict>
          <v:rect style="width:0;height:1.5pt" o:hralign="center" o:hrstd="t" o:hr="t"/>
        </w:pict>
      </w:r>
    </w:p>
    <w:bookmarkEnd w:id="9"/>
    <w:bookmarkStart w:id="10" w:name="структура-залікових-кредитів-дисципліни"/>
    <w:p>
      <w:pPr>
        <w:pStyle w:val="Heading2"/>
      </w:pPr>
      <w:r>
        <w:t xml:space="preserve">4. Структура залікових кредитів дисципліни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322"/>
        <w:gridCol w:w="823"/>
        <w:gridCol w:w="1140"/>
        <w:gridCol w:w="6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Назва розділу (теми)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Лекції (год.)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Лабораторні (год.)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СРС (год.)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1. Вступ. Системи, моделі, цикл моделювання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2. Формалізація та класифікація моделей. Власивості моделей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3. Елементи імовірнісного моделювання. Стохастичні процеси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4. Моделі систем масового обслуговування (СМО)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5. Дискретно‑подійне й агентне імітаційне моделювання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6. Моделювання виробничих і комп’ютерних систем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7. Основи системного аналізу. Показники ефективності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8. Методи підтримки рішень (MAI, дерева рішень, багатокритеріальна оптимізація)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9. Узагальнення, підготовка до іспиту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(3 семестр)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82</w:t>
            </w:r>
          </w:p>
        </w:tc>
      </w:tr>
    </w:tbl>
    <w:p>
      <w:pPr>
        <w:pStyle w:val="BodyText"/>
      </w:pPr>
      <w:r>
        <w:rPr>
          <w:i/>
          <w:iCs/>
        </w:rPr>
        <w:t xml:space="preserve">Примітка: розподіл СРС деталізовано у п. 5.3; підсумковий контроль — іспит (3 семестр).</w:t>
      </w:r>
      <w:r>
        <w:t xml:space="preserve"> </w:t>
      </w:r>
      <w:r>
        <w:t xml:space="preserve">:contentReference</w:t>
      </w:r>
      <w:r>
        <w:t xml:space="preserve">oaicite:11</w:t>
      </w:r>
    </w:p>
    <w:p>
      <w:r>
        <w:pict>
          <v:rect style="width:0;height:1.5pt" o:hralign="center" o:hrstd="t" o:hr="t"/>
        </w:pict>
      </w:r>
    </w:p>
    <w:bookmarkEnd w:id="10"/>
    <w:bookmarkStart w:id="14" w:name="програма-навчальної-дисципліни"/>
    <w:p>
      <w:pPr>
        <w:pStyle w:val="Heading2"/>
      </w:pPr>
      <w:r>
        <w:t xml:space="preserve">5. Програма навчальної дисципліни</w:t>
      </w:r>
    </w:p>
    <w:bookmarkStart w:id="11" w:name="зміст-лекційного-курсу"/>
    <w:p>
      <w:pPr>
        <w:pStyle w:val="Heading3"/>
      </w:pPr>
      <w:r>
        <w:t xml:space="preserve">5.1 Зміст лекційного курсу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4"/>
        <w:gridCol w:w="7421"/>
        <w:gridCol w:w="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Номер лекції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Перелік тем лекцій (анотації)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Год.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Система та модель.</w:t>
            </w:r>
            <w:r>
              <w:t xml:space="preserve"> </w:t>
            </w:r>
            <w:r>
              <w:t xml:space="preserve">Поняття системи, цілі та межі. Модель і модель системи.</w:t>
            </w:r>
            <w:r>
              <w:t xml:space="preserve"> </w:t>
            </w:r>
            <w:r>
              <w:rPr>
                <w:b/>
                <w:bCs/>
              </w:rPr>
              <w:t xml:space="preserve">Цикл моделювання</w:t>
            </w:r>
            <w:r>
              <w:t xml:space="preserve">, етапи побудови та верифікації.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Класифікації моделей.</w:t>
            </w:r>
            <w:r>
              <w:t xml:space="preserve"> </w:t>
            </w:r>
            <w:r>
              <w:t xml:space="preserve">Детерміновані й стохастичні; дискретні й неперервні; статичні й динамічні; параметричні й структурні. Властивості, адекватність і точність.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Формалізація.</w:t>
            </w:r>
            <w:r>
              <w:t xml:space="preserve"> </w:t>
            </w:r>
            <w:r>
              <w:t xml:space="preserve">Вхідні/вихідні змінні, параметри, припущення. Критерії якості моделей, похибки моделювання.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Стохастичні елементи.</w:t>
            </w:r>
            <w:r>
              <w:t xml:space="preserve"> </w:t>
            </w:r>
            <w:r>
              <w:t xml:space="preserve">Випадкові величини, розподіли, генерація псевдовипадкових чисел для моделей.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Стохастичні процеси.</w:t>
            </w:r>
            <w:r>
              <w:t xml:space="preserve"> </w:t>
            </w:r>
            <w:r>
              <w:t xml:space="preserve">Марковські процеси, ланцюги Маркова у моделюванні.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Системи масового обслуговування.</w:t>
            </w:r>
            <w:r>
              <w:t xml:space="preserve"> </w:t>
            </w:r>
            <w:r>
              <w:t xml:space="preserve">Основні поняття, показники якості, базові СМО M/M/1, M/M/c.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Дискретно‑подійне моделювання.</w:t>
            </w:r>
            <w:r>
              <w:t xml:space="preserve"> </w:t>
            </w:r>
            <w:r>
              <w:t xml:space="preserve">Події, календар подій, черги, ресурси, траси.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Агентне моделювання.</w:t>
            </w:r>
            <w:r>
              <w:t xml:space="preserve"> </w:t>
            </w:r>
            <w:r>
              <w:t xml:space="preserve">Агенти, середовище, взаємодії; огляд інструментів.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Системна динаміка.</w:t>
            </w:r>
            <w:r>
              <w:t xml:space="preserve"> </w:t>
            </w:r>
            <w:r>
              <w:t xml:space="preserve">Потоки й рівні, діаграми причинно‑наслідкових зв’язків.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Моделювання виробничих систем.</w:t>
            </w:r>
            <w:r>
              <w:t xml:space="preserve"> </w:t>
            </w:r>
            <w:r>
              <w:t xml:space="preserve">Потоки, вузькі місця, показники ефективності.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Моделювання комп’ютерних систем.</w:t>
            </w:r>
            <w:r>
              <w:t xml:space="preserve"> </w:t>
            </w:r>
            <w:r>
              <w:t xml:space="preserve">Мережі, черги, продуктивність, сценарії навантажень.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Системний аналіз.</w:t>
            </w:r>
            <w:r>
              <w:t xml:space="preserve"> </w:t>
            </w:r>
            <w:r>
              <w:t xml:space="preserve">Поняття, етапи, декомпозиція, зацікавлені сторони, вимоги.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Показники ефективності та критерії якості.</w:t>
            </w:r>
            <w:r>
              <w:t xml:space="preserve"> </w:t>
            </w:r>
            <w:r>
              <w:t xml:space="preserve">Надійність, доступність, пропускна здатність, SLA.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Багатокритеріальне прийняття рішень.</w:t>
            </w:r>
            <w:r>
              <w:t xml:space="preserve"> </w:t>
            </w:r>
            <w:r>
              <w:t xml:space="preserve">Постановка задачі, нормування, методи компромісу.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Метод аналізу ієрархій (МАІ).</w:t>
            </w:r>
            <w:r>
              <w:t xml:space="preserve"> </w:t>
            </w:r>
            <w:r>
              <w:t xml:space="preserve">Побудова ієрархій, матриці попарних порівнянь, узгодженість.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Дерева рішень та ризики.</w:t>
            </w:r>
            <w:r>
              <w:t xml:space="preserve"> </w:t>
            </w:r>
            <w:r>
              <w:t xml:space="preserve">Ймовірнісні дерева, очікувана корисність, чутливісний аналіз.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Узагальнення і підготовка до іспиту.</w:t>
            </w:r>
            <w:r>
              <w:t xml:space="preserve"> </w:t>
            </w:r>
            <w:r>
              <w:t xml:space="preserve">Аналіз типових помилок, вимоги до звітності.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rPr>
          <w:i/>
          <w:iCs/>
        </w:rPr>
        <w:t xml:space="preserve">Примітки:</w:t>
      </w:r>
      <w:r>
        <w:t xml:space="preserve"> </w:t>
      </w:r>
      <w:r>
        <w:t xml:space="preserve">теми та послідовність узгоджені зі змістом попередньої робочої програми дисципліни. :contentReference</w:t>
      </w:r>
      <w:r>
        <w:t xml:space="preserve">oaicite:12</w:t>
      </w:r>
    </w:p>
    <w:bookmarkEnd w:id="11"/>
    <w:bookmarkStart w:id="12" w:name="зміст-лабораторних-занять"/>
    <w:p>
      <w:pPr>
        <w:pStyle w:val="Heading3"/>
      </w:pPr>
      <w:r>
        <w:t xml:space="preserve">5.2 Зміст лабораторних занять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0"/>
        <w:gridCol w:w="7414"/>
        <w:gridCol w:w="2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Тема лабораторної роботи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Год.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Вступ до інструментів моделювання.</w:t>
            </w:r>
            <w:r>
              <w:t xml:space="preserve"> </w:t>
            </w:r>
            <w:r>
              <w:t xml:space="preserve">Налаштування середовища (напр., GNU Octave / Python). Перевірка генераторів випадкових чисел.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Побудова дискретно‑подійної моделі черги.</w:t>
            </w:r>
            <w:r>
              <w:t xml:space="preserve"> </w:t>
            </w:r>
            <w:r>
              <w:t xml:space="preserve">Події, календар, ресурси, збір показників.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Моделювання СМО M/M/1 та варіантів.</w:t>
            </w:r>
            <w:r>
              <w:t xml:space="preserve"> </w:t>
            </w:r>
            <w:r>
              <w:t xml:space="preserve">Експерименти з різними інтенсивностями потоків.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Агентне моделювання простої виробничої системи.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Системна динаміка.</w:t>
            </w:r>
            <w:r>
              <w:t xml:space="preserve"> </w:t>
            </w:r>
            <w:r>
              <w:t xml:space="preserve">Реалізація моделі «запаси‑потоки», аналіз стабільності.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Моделювання комп’ютерної системи обслуговування запитів.</w:t>
            </w:r>
            <w:r>
              <w:t xml:space="preserve"> </w:t>
            </w:r>
            <w:r>
              <w:t xml:space="preserve">Профілювання та оцінка SLA.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Багатокритеріальна оптимізація та MAI.</w:t>
            </w:r>
            <w:r>
              <w:t xml:space="preserve"> </w:t>
            </w:r>
            <w:r>
              <w:t xml:space="preserve">Інструментальна реалізація, експерименти.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Статистичне опрацювання результатів моделювання.</w:t>
            </w:r>
            <w:r>
              <w:t xml:space="preserve"> </w:t>
            </w:r>
            <w:r>
              <w:t xml:space="preserve">Інтервали довіри, критерії гіпотез, підсумковий звіт.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BodyText"/>
      </w:pPr>
      <w:r>
        <w:rPr>
          <w:i/>
          <w:iCs/>
        </w:rPr>
        <w:t xml:space="preserve">Сумарно — 34 год.</w:t>
      </w:r>
      <w:r>
        <w:t xml:space="preserve"> </w:t>
      </w:r>
      <w:r>
        <w:t xml:space="preserve">(структура та тривалість узгоджені з попередньою РП). :contentReference</w:t>
      </w:r>
      <w:r>
        <w:t xml:space="preserve">oaicite:13</w:t>
      </w:r>
    </w:p>
    <w:bookmarkEnd w:id="12"/>
    <w:bookmarkStart w:id="13" w:name="Xcd2f541b0503c3c7d7845e39ac89bbe5b32e340"/>
    <w:p>
      <w:pPr>
        <w:pStyle w:val="Heading3"/>
      </w:pPr>
      <w:r>
        <w:t xml:space="preserve">5.3 Зміст самостійної роботи здобувача вищої освіти</w:t>
      </w:r>
    </w:p>
    <w:p>
      <w:pPr>
        <w:pStyle w:val="FirstParagraph"/>
      </w:pPr>
      <w:r>
        <w:t xml:space="preserve">Самостійна робота включає опрацювання теорії, підготовку до лабораторних, виконання</w:t>
      </w:r>
      <w:r>
        <w:t xml:space="preserve"> </w:t>
      </w:r>
      <w:r>
        <w:rPr>
          <w:b/>
          <w:bCs/>
        </w:rPr>
        <w:t xml:space="preserve">індивідуальних завдань (ІДЗ)</w:t>
      </w:r>
      <w:r>
        <w:t xml:space="preserve">, підготовку до підсумкового контролю.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Номер тижня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Вид самостійної роботи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Год.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Т1; підготовка до ЛР№1; ІДЗ‑1 (вибір об’єкта моделювання, формулювання мети, постановка задачі).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Т2; підготовка до ЛР№2.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Т3; підготовка до ЛР№3; конспект прикладів розподілів.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Т4; підготовка до ЛР№3; розрахунок показників СМО.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Т5; підготовка до ЛР№4; ІДЗ‑2 (проєкт дискретно‑подійної моделі).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Т5; підготовка до ЛР№4; звіт проміжного експерименту.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Т6; підготовка до ЛР№5.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Узагальнення за Т1–Т6; підготовка до контрольної роботи.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Т6; підготовка до ЛР№6; ІДЗ‑3 (модель виробничої/комп’ютерної системи).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Т7; підготовка до ЛР№6; збір і візуалізація показників ефективності.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Т7; підготовка до ЛР№7.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Т8; підготовка до ЛР№7; ІДЗ‑4 (MAI/дерево рішень для обраного кейсу).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Т8; підготовка до ЛР№8.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Т8; підготовка до ЛР№8; офор-млення звітів.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Узагальнення матеріалу; підготовка до іспиту (питання для самоконтролю).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Консультації; перевірка ІДЗ; корекція звітів.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Підготовка до іспиту.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BodyText"/>
      </w:pPr>
      <w:r>
        <w:rPr>
          <w:b/>
          <w:bCs/>
        </w:rPr>
        <w:t xml:space="preserve">Разом:</w:t>
      </w:r>
      <w:r>
        <w:t xml:space="preserve"> </w:t>
      </w:r>
      <w:r>
        <w:rPr>
          <w:b/>
          <w:bCs/>
        </w:rPr>
        <w:t xml:space="preserve">82 год.</w:t>
      </w:r>
      <w:r>
        <w:t xml:space="preserve"> </w:t>
      </w:r>
      <w:r>
        <w:t xml:space="preserve">:contentReference</w:t>
      </w:r>
      <w:r>
        <w:t xml:space="preserve">oaicite:14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технології-та-методи-навчання"/>
    <w:p>
      <w:pPr>
        <w:pStyle w:val="Heading2"/>
      </w:pPr>
      <w:r>
        <w:t xml:space="preserve">6. Технології та методи навчання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лекції:</w:t>
      </w:r>
      <w:r>
        <w:t xml:space="preserve"> </w:t>
      </w:r>
      <w:r>
        <w:t xml:space="preserve">мультимедійні презентації, візуалізація, проблемне та інтерактивне навчання;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лабораторні заняття:</w:t>
      </w:r>
      <w:r>
        <w:t xml:space="preserve"> </w:t>
      </w:r>
      <w:r>
        <w:t xml:space="preserve">інструктування, демонстрування, розв’язання прикладних задач моделювання, аналіз кейсів;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самостійна робота:</w:t>
      </w:r>
      <w:r>
        <w:t xml:space="preserve"> </w:t>
      </w:r>
      <w:r>
        <w:t xml:space="preserve">опрацювання теорії, виконання ІДЗ, підготовка до контрольних заходів із використанням інформаційно‑комунікаційних технологій та дистанційних сервісів. :contentReference</w:t>
      </w:r>
      <w:r>
        <w:t xml:space="preserve">oaicite:15</w:t>
      </w:r>
    </w:p>
    <w:p>
      <w:r>
        <w:pict>
          <v:rect style="width:0;height:1.5pt" o:hralign="center" o:hrstd="t" o:hr="t"/>
        </w:pict>
      </w:r>
    </w:p>
    <w:bookmarkEnd w:id="15"/>
    <w:bookmarkStart w:id="16" w:name="методи-контролю"/>
    <w:p>
      <w:pPr>
        <w:pStyle w:val="Heading2"/>
      </w:pPr>
      <w:r>
        <w:t xml:space="preserve">7. Методи контролю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Оцінювання результатів лабораторних занять</w:t>
      </w:r>
      <w:r>
        <w:t xml:space="preserve"> </w:t>
      </w:r>
      <w:r>
        <w:t xml:space="preserve">(якість моделі, коректність експериментів, інтерпретація результатів, оформлення звітів).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Тестовий (модульний) контроль</w:t>
      </w:r>
      <w:r>
        <w:t xml:space="preserve"> </w:t>
      </w:r>
      <w:r>
        <w:t xml:space="preserve">засвоєння теоретичних положень і методів.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Контрольна робота</w:t>
      </w:r>
      <w:r>
        <w:t xml:space="preserve"> </w:t>
      </w:r>
      <w:r>
        <w:t xml:space="preserve">(письмово: задачі на постановку, побудову та аналіз моделей).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Оцінювання ІДЗ</w:t>
      </w:r>
      <w:r>
        <w:t xml:space="preserve"> </w:t>
      </w:r>
      <w:r>
        <w:t xml:space="preserve">(самостійність, обґрунтованість рішень, якість оформлення).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Підсумковий семестровий контроль — іспит</w:t>
      </w:r>
      <w:r>
        <w:t xml:space="preserve"> </w:t>
      </w:r>
      <w:r>
        <w:t xml:space="preserve">(теорія + практичні задачі). :contentReference</w:t>
      </w:r>
      <w:r>
        <w:t xml:space="preserve">oaicite:16</w:t>
      </w:r>
    </w:p>
    <w:p>
      <w:r>
        <w:pict>
          <v:rect style="width:0;height:1.5pt" o:hralign="center" o:hrstd="t" o:hr="t"/>
        </w:pict>
      </w:r>
    </w:p>
    <w:bookmarkEnd w:id="16"/>
    <w:bookmarkStart w:id="17" w:name="політика-дисципліни"/>
    <w:p>
      <w:pPr>
        <w:pStyle w:val="Heading2"/>
      </w:pPr>
      <w:r>
        <w:t xml:space="preserve">8. Політика дисципліни</w:t>
      </w:r>
    </w:p>
    <w:p>
      <w:pPr>
        <w:pStyle w:val="FirstParagraph"/>
      </w:pPr>
      <w:r>
        <w:t xml:space="preserve">Відвідування занять є обов’язковим; дотримання термінів виконання всіх видів робіт; відпрацювання пропущених лабораторних — у строки, визначені викладачем (не пізніше ніж за два тижні до завершення теоретичних занять). Дотримання академічної доброчесності; у разі порушень роботи не зараховуються до повторного виконання. Результати неформальної освіти можуть бути визнані згідно з процедурами ХНУ. (Узгоджено зі змістом ОП та типовими положеннями університету.) :contentReference</w:t>
      </w:r>
      <w:r>
        <w:t xml:space="preserve">oaicite:17</w:t>
      </w:r>
    </w:p>
    <w:p>
      <w:r>
        <w:pict>
          <v:rect style="width:0;height:1.5pt" o:hralign="center" o:hrstd="t" o:hr="t"/>
        </w:pict>
      </w:r>
    </w:p>
    <w:bookmarkEnd w:id="17"/>
    <w:bookmarkStart w:id="18" w:name="X5f3bc87579a1c0e170f83c13b46fd67d55e3138"/>
    <w:p>
      <w:pPr>
        <w:pStyle w:val="Heading2"/>
      </w:pPr>
      <w:r>
        <w:t xml:space="preserve">9. Оцінювання результатів навчання студентів у семестрі</w:t>
      </w:r>
    </w:p>
    <w:p>
      <w:pPr>
        <w:pStyle w:val="FirstParagraph"/>
      </w:pPr>
      <w:r>
        <w:rPr>
          <w:b/>
          <w:bCs/>
        </w:rPr>
        <w:t xml:space="preserve">Таблиця — Критерії оцінювання навчальних досягнень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Рівень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Узагальнений зміст критерію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Відмінно (високий)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Глибоке, системне володіння матеріалом; уміле застосування методів моделювання й системного аналізу; аргументовані судження;</w:t>
            </w:r>
            <w:r>
              <w:t xml:space="preserve"> </w:t>
            </w:r>
            <w:r>
              <w:rPr>
                <w:b/>
                <w:bCs/>
              </w:rPr>
              <w:t xml:space="preserve">2–3 несуттєві похибки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Добре (середній)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Повне засвоєння, коректне використання понять; застосування знань до практичних задач; можливі окремі неточності;</w:t>
            </w:r>
            <w:r>
              <w:t xml:space="preserve"> </w:t>
            </w:r>
            <w:r>
              <w:rPr>
                <w:b/>
                <w:bCs/>
              </w:rPr>
              <w:t xml:space="preserve">2–3 несуттєві помилки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Задовільно (достатній)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Засвоєно основний матеріал, виконуються типові завдання; наявні</w:t>
            </w:r>
            <w:r>
              <w:t xml:space="preserve"> </w:t>
            </w:r>
            <w:r>
              <w:rPr>
                <w:b/>
                <w:bCs/>
              </w:rPr>
              <w:t xml:space="preserve">суттєві помилки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Незадовільно (недостатній)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Фрагментарні знання, помилки у визначеннях, невміння застосувати методи.</w:t>
            </w:r>
          </w:p>
        </w:tc>
      </w:tr>
    </w:tbl>
    <w:p>
      <w:pPr>
        <w:pStyle w:val="BodyText"/>
      </w:pPr>
      <w:r>
        <w:rPr>
          <w:b/>
          <w:bCs/>
        </w:rPr>
        <w:t xml:space="preserve">Структура та шкала оцінювання (сума — 100 балів)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Аудиторна робота (лабораторні)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Тестовий контроль (ТК)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Контрольна робота (КР)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ІДЗ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Іспит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Сума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9–15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9–15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6–10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12–20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24–40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60–100</w:t>
            </w:r>
            <w:r>
              <w:t xml:space="preserve">*</w:t>
            </w:r>
          </w:p>
        </w:tc>
      </w:tr>
    </w:tbl>
    <w:p>
      <w:pPr>
        <w:pStyle w:val="BodyText"/>
      </w:pPr>
      <w:r>
        <w:rPr>
          <w:i/>
          <w:iCs/>
        </w:rPr>
        <w:t xml:space="preserve">Примітка: якщо за окремий вид діяльності набрано &lt; 60 % від макс. балів — оцінювання незадовільне, необхідне повторне виконання.</w:t>
      </w:r>
      <w:r>
        <w:t xml:space="preserve"> </w:t>
      </w:r>
      <w:r>
        <w:t xml:space="preserve">(Методи та форми контролю відповідають підходам в ОП). :contentReference</w:t>
      </w:r>
      <w:r>
        <w:t xml:space="preserve">oaicite:18</w:t>
      </w:r>
    </w:p>
    <w:p>
      <w:pPr>
        <w:pStyle w:val="BodyText"/>
      </w:pPr>
      <w:r>
        <w:rPr>
          <w:b/>
          <w:bCs/>
        </w:rPr>
        <w:t xml:space="preserve">Оцінювання на лабораторних:</w:t>
      </w:r>
      <w:r>
        <w:t xml:space="preserve"> </w:t>
      </w:r>
      <w:r>
        <w:t xml:space="preserve">усне опитування, обґрунтування рішень, якість експериментів (мін. позитивний бал —</w:t>
      </w:r>
      <w:r>
        <w:t xml:space="preserve"> </w:t>
      </w:r>
      <w:r>
        <w:rPr>
          <w:b/>
          <w:bCs/>
        </w:rPr>
        <w:t xml:space="preserve">3</w:t>
      </w:r>
      <w:r>
        <w:t xml:space="preserve">, макс. —</w:t>
      </w:r>
      <w:r>
        <w:t xml:space="preserve"> </w:t>
      </w:r>
      <w:r>
        <w:rPr>
          <w:b/>
          <w:bCs/>
        </w:rPr>
        <w:t xml:space="preserve">5</w:t>
      </w:r>
      <w:r>
        <w:t xml:space="preserve"> </w:t>
      </w:r>
      <w:r>
        <w:t xml:space="preserve">за заняття).</w:t>
      </w:r>
    </w:p>
    <w:p>
      <w:pPr>
        <w:pStyle w:val="BodyText"/>
      </w:pPr>
      <w:r>
        <w:rPr>
          <w:b/>
          <w:bCs/>
        </w:rPr>
        <w:t xml:space="preserve">Оцінювання тестів:</w:t>
      </w:r>
      <w:r>
        <w:t xml:space="preserve"> </w:t>
      </w:r>
      <w:r>
        <w:t xml:space="preserve">10 завдань; 0–5 правильних — 0 балів; 6 — 3; 7–8 — 4; 9–10 — 5.</w:t>
      </w:r>
    </w:p>
    <w:p>
      <w:pPr>
        <w:pStyle w:val="BodyText"/>
      </w:pPr>
      <w:r>
        <w:rPr>
          <w:b/>
          <w:bCs/>
        </w:rPr>
        <w:t xml:space="preserve">Іспит (40 балів):</w:t>
      </w:r>
      <w:r>
        <w:t xml:space="preserve"> </w:t>
      </w:r>
      <w:r>
        <w:t xml:space="preserve">теорія (2 питання по</w:t>
      </w:r>
      <w:r>
        <w:t xml:space="preserve"> </w:t>
      </w:r>
      <w:r>
        <w:rPr>
          <w:b/>
          <w:bCs/>
        </w:rPr>
        <w:t xml:space="preserve">3–5</w:t>
      </w:r>
      <w:r>
        <w:t xml:space="preserve"> </w:t>
      </w:r>
      <w:r>
        <w:t xml:space="preserve">балів) + практичні задачі (</w:t>
      </w:r>
      <w:r>
        <w:rPr>
          <w:b/>
          <w:bCs/>
        </w:rPr>
        <w:t xml:space="preserve">18–30</w:t>
      </w:r>
      <w:r>
        <w:t xml:space="preserve"> </w:t>
      </w:r>
      <w:r>
        <w:t xml:space="preserve">балів). (Структура узгоджена з шаблоном робочих програм.) :contentReference</w:t>
      </w:r>
      <w:r>
        <w:t xml:space="preserve">oaicite:19</w:t>
      </w:r>
    </w:p>
    <w:p>
      <w:r>
        <w:pict>
          <v:rect style="width:0;height:1.5pt" o:hralign="center" o:hrstd="t" o:hr="t"/>
        </w:pict>
      </w:r>
    </w:p>
    <w:bookmarkEnd w:id="18"/>
    <w:bookmarkStart w:id="19" w:name="X137fbd5ba89dc4f9c32942dc6088f4454a4c2e7"/>
    <w:p>
      <w:pPr>
        <w:pStyle w:val="Heading2"/>
      </w:pPr>
      <w:r>
        <w:t xml:space="preserve">10. Питання для самоконтролю результатів навчання</w:t>
      </w:r>
    </w:p>
    <w:p>
      <w:pPr>
        <w:pStyle w:val="Compact"/>
        <w:numPr>
          <w:ilvl w:val="0"/>
          <w:numId w:val="1003"/>
        </w:numPr>
      </w:pPr>
      <w:r>
        <w:t xml:space="preserve">Поняття системи й моделі. Етапи та</w:t>
      </w:r>
      <w:r>
        <w:t xml:space="preserve"> </w:t>
      </w:r>
      <w:r>
        <w:rPr>
          <w:b/>
          <w:bCs/>
        </w:rPr>
        <w:t xml:space="preserve">цикл моделювання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Класи моделей: детерміновані/стохастичні, дискретні/неперервні, статичні/динамічні.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Адекватність, валідація і верифікація моделей.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Випадкова величина, основні розподіли та їх використання у моделюванні.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Генерація псевдовипадкових чисел і перевірка якості генераторів.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Марковські ланцюги та їх застосування.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Поняття та показники</w:t>
      </w:r>
      <w:r>
        <w:t xml:space="preserve"> </w:t>
      </w:r>
      <w:r>
        <w:rPr>
          <w:b/>
          <w:bCs/>
        </w:rPr>
        <w:t xml:space="preserve">СМО</w:t>
      </w:r>
      <w:r>
        <w:t xml:space="preserve">; моделі M/M/1, M/M/c.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Дискретно‑подійне моделювання: події, календар, ресурси.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Агентне моделювання: агенти, середовище, взаємодії.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Системна динаміка: потоки і рівні, Causal‑loop діаграми.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Показники ефективності моделі: надійність, доступність, SLA.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Основи</w:t>
      </w:r>
      <w:r>
        <w:t xml:space="preserve"> </w:t>
      </w:r>
      <w:r>
        <w:rPr>
          <w:b/>
          <w:bCs/>
        </w:rPr>
        <w:t xml:space="preserve">системного аналізу</w:t>
      </w:r>
      <w:r>
        <w:t xml:space="preserve">: постановка проблеми, зацікавлені сторони, критерії.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Багатокритеріальна оптимізація: нормування, ваги, компроміси.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Метод аналізу ієрархій (МАІ)</w:t>
      </w:r>
      <w:r>
        <w:t xml:space="preserve">: побудова, узгодженість.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Дерева рішень: очікувана корисність, чутливісний аналіз.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Етапи і правила оформлення звіту про моделювання. :contentReference</w:t>
      </w:r>
      <w:r>
        <w:t xml:space="preserve">oaicite:20</w:t>
      </w:r>
    </w:p>
    <w:p>
      <w:r>
        <w:pict>
          <v:rect style="width:0;height:1.5pt" o:hralign="center" o:hrstd="t" o:hr="t"/>
        </w:pict>
      </w:r>
    </w:p>
    <w:bookmarkEnd w:id="19"/>
    <w:bookmarkStart w:id="20" w:name="навчальнометодичне-забезпечення"/>
    <w:p>
      <w:pPr>
        <w:pStyle w:val="Heading2"/>
      </w:pPr>
      <w:r>
        <w:t xml:space="preserve">11. Навчально‑методичне забезпечення</w:t>
      </w:r>
    </w:p>
    <w:p>
      <w:pPr>
        <w:pStyle w:val="FirstParagraph"/>
      </w:pPr>
      <w:r>
        <w:rPr>
          <w:b/>
          <w:bCs/>
        </w:rPr>
        <w:t xml:space="preserve">Основна література</w:t>
      </w:r>
    </w:p>
    <w:p>
      <w:pPr>
        <w:pStyle w:val="Compact"/>
        <w:numPr>
          <w:ilvl w:val="0"/>
          <w:numId w:val="1004"/>
        </w:numPr>
      </w:pPr>
      <w:r>
        <w:t xml:space="preserve">Ніколюк П. К.</w:t>
      </w:r>
      <w:r>
        <w:t xml:space="preserve"> </w:t>
      </w:r>
      <w:r>
        <w:rPr>
          <w:i/>
          <w:iCs/>
        </w:rPr>
        <w:t xml:space="preserve">Моделювання систем</w:t>
      </w:r>
      <w:r>
        <w:t xml:space="preserve"> </w:t>
      </w:r>
      <w:r>
        <w:t xml:space="preserve">: навч. посіб. Вінниця: ДонНУ, 2023. 228 с. :contentReference</w:t>
      </w:r>
      <w:r>
        <w:t xml:space="preserve">oaicite:21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Настенко Є.А. та ін.</w:t>
      </w:r>
      <w:r>
        <w:t xml:space="preserve"> </w:t>
      </w:r>
      <w:r>
        <w:rPr>
          <w:i/>
          <w:iCs/>
        </w:rPr>
        <w:t xml:space="preserve">Методи моделювання складних систем і процесів</w:t>
      </w:r>
      <w:r>
        <w:t xml:space="preserve"> </w:t>
      </w:r>
      <w:r>
        <w:t xml:space="preserve">: навч. посіб. К.: КПІ ім. І. Сікорського, 2022. 144 с. (електронний доступ). :contentReference</w:t>
      </w:r>
      <w:r>
        <w:t xml:space="preserve">oaicite:22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Міца О.В., Лавер В.О.</w:t>
      </w:r>
      <w:r>
        <w:t xml:space="preserve"> </w:t>
      </w:r>
      <w:r>
        <w:rPr>
          <w:i/>
          <w:iCs/>
        </w:rPr>
        <w:t xml:space="preserve">Системний аналіз</w:t>
      </w:r>
      <w:r>
        <w:t xml:space="preserve"> </w:t>
      </w:r>
      <w:r>
        <w:t xml:space="preserve">: навч.-метод. посіб. Ужгород, 2021. 63 с. (електронний доступ). :contentReference</w:t>
      </w:r>
      <w:r>
        <w:t xml:space="preserve">oaicite:23</w:t>
      </w:r>
    </w:p>
    <w:p>
      <w:pPr>
        <w:pStyle w:val="FirstParagraph"/>
      </w:pPr>
      <w:r>
        <w:rPr>
          <w:b/>
          <w:bCs/>
        </w:rPr>
        <w:t xml:space="preserve">Додаткова література й ресурси</w:t>
      </w:r>
    </w:p>
    <w:p>
      <w:pPr>
        <w:pStyle w:val="Compact"/>
        <w:numPr>
          <w:ilvl w:val="0"/>
          <w:numId w:val="1005"/>
        </w:numPr>
      </w:pPr>
      <w:r>
        <w:t xml:space="preserve">Melnychenko O. et al. </w:t>
      </w:r>
      <w:r>
        <w:rPr>
          <w:i/>
          <w:iCs/>
        </w:rPr>
        <w:t xml:space="preserve">Intelligent integrated system for fruit detection…</w:t>
      </w:r>
      <w:r>
        <w:t xml:space="preserve"> </w:t>
      </w:r>
      <w:r>
        <w:t xml:space="preserve">Sensors, 2024. (приклад застосування ML‑моделей та експериментальних досліджень). :contentReference</w:t>
      </w:r>
      <w:r>
        <w:t xml:space="preserve">oaicite:24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GNU Octave Manual</w:t>
      </w:r>
      <w:r>
        <w:t xml:space="preserve"> </w:t>
      </w:r>
      <w:r>
        <w:t xml:space="preserve">(актуальна онлайн‑документація). :contentReference</w:t>
      </w:r>
      <w:r>
        <w:t xml:space="preserve">oaicite:25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System design cheatsheet</w:t>
      </w:r>
      <w:r>
        <w:t xml:space="preserve"> </w:t>
      </w:r>
      <w:r>
        <w:t xml:space="preserve">(конспект ідей системного проєктування). :contentReference</w:t>
      </w:r>
      <w:r>
        <w:t xml:space="preserve">oaicite:26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Модульне середовище:</w:t>
      </w:r>
      <w:r>
        <w:t xml:space="preserve"> </w:t>
      </w:r>
      <w:r>
        <w:rPr>
          <w:rStyle w:val="VerbatimChar"/>
        </w:rPr>
        <w:t xml:space="preserve">https://msn.khmnu.edu.ua/</w:t>
      </w:r>
      <w:r>
        <w:t xml:space="preserve">; Е‑бібліотека:</w:t>
      </w:r>
      <w:r>
        <w:t xml:space="preserve"> </w:t>
      </w:r>
      <w:r>
        <w:rPr>
          <w:rStyle w:val="VerbatimChar"/>
        </w:rPr>
        <w:t xml:space="preserve">http://library.khmnu.edu.ua/</w:t>
      </w:r>
      <w:r>
        <w:t xml:space="preserve">. :contentReference</w:t>
      </w:r>
      <w:r>
        <w:t xml:space="preserve">oaicite:27</w:t>
      </w:r>
    </w:p>
    <w:p>
      <w:r>
        <w:pict>
          <v:rect style="width:0;height:1.5pt" o:hralign="center" o:hrstd="t" o:hr="t"/>
        </w:pict>
      </w:r>
    </w:p>
    <w:bookmarkEnd w:id="20"/>
    <w:bookmarkStart w:id="21" w:name="Xde4ec38eac027369f4fe5bbc3984be91ef27d57"/>
    <w:p>
      <w:pPr>
        <w:pStyle w:val="Heading2"/>
      </w:pPr>
      <w:r>
        <w:t xml:space="preserve">12. Матеріально‑технічне та програмне забезпечення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Апаратне забезпечення:</w:t>
      </w:r>
      <w:r>
        <w:t xml:space="preserve"> </w:t>
      </w:r>
      <w:r>
        <w:t xml:space="preserve">ПК, мультимедійний проєктор, доступ до Інтернет.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Програмне забезпечення:</w:t>
      </w:r>
      <w:r>
        <w:t xml:space="preserve"> </w:t>
      </w:r>
      <w:r>
        <w:t xml:space="preserve">GNU Octave / Python (для імітаційних та статистичних обчислень), офісні пакети, веб‑браузер. (Набір інструментів відповідає рекомендованим ресурсам курсу.) :contentReference</w:t>
      </w:r>
      <w:r>
        <w:t xml:space="preserve">oaicite:28</w:t>
      </w:r>
    </w:p>
    <w:p>
      <w:r>
        <w:pict>
          <v:rect style="width:0;height:1.5pt" o:hralign="center" o:hrstd="t" o:hr="t"/>
        </w:pict>
      </w:r>
    </w:p>
    <w:bookmarkEnd w:id="21"/>
    <w:bookmarkStart w:id="22" w:name="рекомендована-література"/>
    <w:p>
      <w:pPr>
        <w:pStyle w:val="Heading2"/>
      </w:pPr>
      <w:r>
        <w:t xml:space="preserve">13. Рекомендована література</w:t>
      </w:r>
    </w:p>
    <w:p>
      <w:pPr>
        <w:pStyle w:val="FirstParagraph"/>
      </w:pPr>
      <w:r>
        <w:rPr>
          <w:b/>
          <w:bCs/>
        </w:rPr>
        <w:t xml:space="preserve">Основна</w:t>
      </w:r>
    </w:p>
    <w:p>
      <w:pPr>
        <w:pStyle w:val="Compact"/>
        <w:numPr>
          <w:ilvl w:val="0"/>
          <w:numId w:val="1007"/>
        </w:numPr>
      </w:pPr>
      <w:r>
        <w:t xml:space="preserve">Ніколюк П. К.</w:t>
      </w:r>
      <w:r>
        <w:t xml:space="preserve"> </w:t>
      </w:r>
      <w:r>
        <w:rPr>
          <w:i/>
          <w:iCs/>
        </w:rPr>
        <w:t xml:space="preserve">Моделювання систем</w:t>
      </w:r>
      <w:r>
        <w:t xml:space="preserve">. Вінниця: ДонНУ, 2023. 228 с. :contentReference</w:t>
      </w:r>
      <w:r>
        <w:t xml:space="preserve">oaicite:29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Настенко Є.А. та ін.</w:t>
      </w:r>
      <w:r>
        <w:t xml:space="preserve"> </w:t>
      </w:r>
      <w:r>
        <w:rPr>
          <w:i/>
          <w:iCs/>
        </w:rPr>
        <w:t xml:space="preserve">Методи моделювання складних систем і процесів</w:t>
      </w:r>
      <w:r>
        <w:t xml:space="preserve">. К.: КПІ ім. І. Сікорського, 2022. 144 с. (електронний доступ). :contentReference</w:t>
      </w:r>
      <w:r>
        <w:t xml:space="preserve">oaicite:30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Міца О.В., Лавер В.О.</w:t>
      </w:r>
      <w:r>
        <w:t xml:space="preserve"> </w:t>
      </w:r>
      <w:r>
        <w:rPr>
          <w:i/>
          <w:iCs/>
        </w:rPr>
        <w:t xml:space="preserve">Системний аналіз</w:t>
      </w:r>
      <w:r>
        <w:t xml:space="preserve">. Ужгород, 2021. 63 с. (електронний доступ). :contentReference</w:t>
      </w:r>
      <w:r>
        <w:t xml:space="preserve">oaicite:31</w:t>
      </w:r>
    </w:p>
    <w:p>
      <w:pPr>
        <w:pStyle w:val="FirstParagraph"/>
      </w:pPr>
      <w:r>
        <w:rPr>
          <w:b/>
          <w:bCs/>
        </w:rPr>
        <w:t xml:space="preserve">Додаткова</w:t>
      </w:r>
    </w:p>
    <w:p>
      <w:pPr>
        <w:pStyle w:val="Compact"/>
        <w:numPr>
          <w:ilvl w:val="0"/>
          <w:numId w:val="1008"/>
        </w:numPr>
      </w:pPr>
      <w:r>
        <w:t xml:space="preserve">Melnychenko O. та ін. Sensors, 2024 (приклад побудови та оцінювання моделей). :contentReference</w:t>
      </w:r>
      <w:r>
        <w:t xml:space="preserve">oaicite:32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GNU Octave Manual</w:t>
      </w:r>
      <w:r>
        <w:t xml:space="preserve">. :contentReference</w:t>
      </w:r>
      <w:r>
        <w:t xml:space="preserve">oaicite:33</w:t>
      </w:r>
    </w:p>
    <w:p>
      <w:r>
        <w:pict>
          <v:rect style="width:0;height:1.5pt" o:hralign="center" o:hrstd="t" o:hr="t"/>
        </w:pict>
      </w:r>
    </w:p>
    <w:bookmarkEnd w:id="22"/>
    <w:bookmarkStart w:id="23" w:name="інформаційні-ресурси"/>
    <w:p>
      <w:pPr>
        <w:pStyle w:val="Heading2"/>
      </w:pPr>
      <w:r>
        <w:t xml:space="preserve">14. Інформаційні ресурси</w:t>
      </w:r>
    </w:p>
    <w:p>
      <w:pPr>
        <w:pStyle w:val="Compact"/>
        <w:numPr>
          <w:ilvl w:val="0"/>
          <w:numId w:val="1009"/>
        </w:numPr>
      </w:pPr>
      <w:r>
        <w:t xml:space="preserve">Модульне середовище для навчання:</w:t>
      </w:r>
      <w:r>
        <w:t xml:space="preserve"> </w:t>
      </w:r>
      <w:r>
        <w:rPr>
          <w:rStyle w:val="VerbatimChar"/>
        </w:rPr>
        <w:t xml:space="preserve">https://msn.khmnu.edu.ua/course/view.php?id=[ID_КУРСУ]</w:t>
      </w:r>
      <w:r>
        <w:t xml:space="preserve">. :contentReference</w:t>
      </w:r>
      <w:r>
        <w:t xml:space="preserve">oaicite:34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Електронна бібліотека університету:</w:t>
      </w:r>
      <w:r>
        <w:t xml:space="preserve"> </w:t>
      </w:r>
      <w:r>
        <w:rPr>
          <w:rStyle w:val="VerbatimChar"/>
        </w:rPr>
        <w:t xml:space="preserve">http://library.khmnu.edu.ua/</w:t>
      </w:r>
      <w:r>
        <w:t xml:space="preserve">. :contentReference</w:t>
      </w:r>
      <w:r>
        <w:t xml:space="preserve">oaicite:35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Репозитарій ХНУ:</w:t>
      </w:r>
      <w:r>
        <w:t xml:space="preserve"> </w:t>
      </w:r>
      <w:r>
        <w:rPr>
          <w:rStyle w:val="VerbatimChar"/>
        </w:rPr>
        <w:t xml:space="preserve">https://library.khmnu.edu.ua/#</w:t>
      </w:r>
      <w:r>
        <w:t xml:space="preserve">. :contentReference</w:t>
      </w:r>
      <w:r>
        <w:t xml:space="preserve">oaicite:36</w:t>
      </w:r>
    </w:p>
    <w:p>
      <w:r>
        <w:pict>
          <v:rect style="width:0;height:1.5pt" o:hralign="center" o:hrstd="t" o:hr="t"/>
        </w:pict>
      </w:r>
    </w:p>
    <w:bookmarkEnd w:id="23"/>
    <w:bookmarkStart w:id="24" w:name="Xc6bcea38c532ae81332fe834046d2a1bd7cc8f4"/>
    <w:p>
      <w:pPr>
        <w:pStyle w:val="Heading2"/>
      </w:pPr>
      <w:r>
        <w:t xml:space="preserve">МОДЕЛЮВАННЯ СИСТЕМ ТА СИСТЕМНИЙ АНАЛІЗ</w:t>
      </w:r>
      <w:r>
        <w:t xml:space="preserve"> </w:t>
      </w:r>
      <w:r>
        <w:rPr>
          <w:i/>
          <w:iCs/>
        </w:rPr>
        <w:t xml:space="preserve">(Силабус для опису дисципліни)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Тип дисципліни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Обов’язкова (ОПП.12)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Рівень вищої освіти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Перший (бакалаврський)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Мова викладання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Українська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Семестр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Третій 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Кількість кредитів ЄКТС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Форми здобуття освіти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Очна (денна)</w:t>
            </w:r>
          </w:p>
        </w:tc>
      </w:tr>
    </w:tbl>
    <w:p>
      <w:pPr>
        <w:pStyle w:val="BodyText"/>
      </w:pPr>
      <w:r>
        <w:rPr>
          <w:b/>
          <w:bCs/>
        </w:rPr>
        <w:t xml:space="preserve">Результати навчання.</w:t>
      </w:r>
      <w:r>
        <w:t xml:space="preserve"> </w:t>
      </w:r>
      <w:r>
        <w:rPr>
          <w:b/>
          <w:bCs/>
        </w:rPr>
        <w:t xml:space="preserve">Після вивчення дисципліни студент повинен уміти</w:t>
      </w:r>
      <w:r>
        <w:t xml:space="preserve">: пояснювати класи та властивості моделей; будувати дискретно‑подійні, агентні та системно‑динамічні моделі; моделювати</w:t>
      </w:r>
      <w:r>
        <w:t xml:space="preserve"> </w:t>
      </w:r>
      <w:r>
        <w:rPr>
          <w:b/>
          <w:bCs/>
        </w:rPr>
        <w:t xml:space="preserve">СМО</w:t>
      </w:r>
      <w:r>
        <w:t xml:space="preserve"> </w:t>
      </w:r>
      <w:r>
        <w:t xml:space="preserve">та оцінювати показники; планувати та проводити обчислювальні експерименти; застосовувати методи</w:t>
      </w:r>
      <w:r>
        <w:t xml:space="preserve"> </w:t>
      </w:r>
      <w:r>
        <w:rPr>
          <w:b/>
          <w:bCs/>
        </w:rPr>
        <w:t xml:space="preserve">системного аналізу</w:t>
      </w:r>
      <w:r>
        <w:t xml:space="preserve"> </w:t>
      </w:r>
      <w:r>
        <w:t xml:space="preserve">і</w:t>
      </w:r>
      <w:r>
        <w:t xml:space="preserve"> </w:t>
      </w:r>
      <w:r>
        <w:rPr>
          <w:b/>
          <w:bCs/>
        </w:rPr>
        <w:t xml:space="preserve">багатокритеріального прийняття рішень</w:t>
      </w:r>
      <w:r>
        <w:t xml:space="preserve"> </w:t>
      </w:r>
      <w:r>
        <w:t xml:space="preserve">для підтримки рішень; інтерпретувати результати з урахуванням невизначеності й ризиків (відповідність</w:t>
      </w:r>
      <w:r>
        <w:t xml:space="preserve"> </w:t>
      </w:r>
      <w:r>
        <w:rPr>
          <w:b/>
          <w:bCs/>
        </w:rPr>
        <w:t xml:space="preserve">ПРН07, ПРН08</w:t>
      </w:r>
      <w:r>
        <w:t xml:space="preserve">). :contentReference</w:t>
      </w:r>
      <w:r>
        <w:t xml:space="preserve">oaicite:37</w:t>
      </w:r>
    </w:p>
    <w:p>
      <w:pPr>
        <w:pStyle w:val="BodyText"/>
      </w:pPr>
      <w:r>
        <w:rPr>
          <w:b/>
          <w:bCs/>
        </w:rPr>
        <w:t xml:space="preserve">Зміст навчальної дисципліни.</w:t>
      </w:r>
      <w:r>
        <w:t xml:space="preserve"> </w:t>
      </w:r>
      <w:r>
        <w:rPr>
          <w:b/>
          <w:bCs/>
        </w:rPr>
        <w:t xml:space="preserve">Вступ до моделювання; класи й властивості моделей; імовірнісне й імітаційне моделювання; моделі СМО; моделювання виробничих та комп’ютерних систем; основи системного аналізу; багатокритеріальні методи підтримки рішень.</w:t>
      </w:r>
      <w:r>
        <w:t xml:space="preserve"> </w:t>
      </w:r>
      <w:r>
        <w:t xml:space="preserve">:contentReference</w:t>
      </w:r>
      <w:r>
        <w:t xml:space="preserve">oaicite:38</w:t>
      </w:r>
    </w:p>
    <w:p>
      <w:pPr>
        <w:pStyle w:val="BodyText"/>
      </w:pPr>
      <w:r>
        <w:rPr>
          <w:b/>
          <w:bCs/>
        </w:rPr>
        <w:t xml:space="preserve">Пререквізити:</w:t>
      </w:r>
      <w:r>
        <w:t xml:space="preserve"> </w:t>
      </w:r>
      <w:r>
        <w:rPr>
          <w:b/>
          <w:bCs/>
        </w:rPr>
        <w:t xml:space="preserve">Вища математика; Дискретна математика; Теорія ймовірностей та математична статистика; Алгоритмізація та програмування.</w:t>
      </w:r>
      <w:r>
        <w:t xml:space="preserve"> </w:t>
      </w:r>
      <w:r>
        <w:t xml:space="preserve">:contentReference</w:t>
      </w:r>
      <w:r>
        <w:t xml:space="preserve">oaicite:39</w:t>
      </w:r>
    </w:p>
    <w:p>
      <w:pPr>
        <w:pStyle w:val="BodyText"/>
      </w:pPr>
      <w:r>
        <w:rPr>
          <w:b/>
          <w:bCs/>
        </w:rPr>
        <w:t xml:space="preserve">Кореквізити:</w:t>
      </w:r>
      <w:r>
        <w:t xml:space="preserve"> </w:t>
      </w:r>
      <w:r>
        <w:rPr>
          <w:b/>
          <w:bCs/>
        </w:rPr>
        <w:t xml:space="preserve">Теорія алгоритмів; Інтелектуальний аналіз даних; Об’єктно‑орієнтоване проєктування.</w:t>
      </w:r>
      <w:r>
        <w:t xml:space="preserve"> </w:t>
      </w:r>
      <w:r>
        <w:t xml:space="preserve">:contentReference</w:t>
      </w:r>
      <w:r>
        <w:t xml:space="preserve">oaicite:40</w:t>
      </w:r>
    </w:p>
    <w:p>
      <w:pPr>
        <w:pStyle w:val="BodyText"/>
      </w:pPr>
      <w:r>
        <w:rPr>
          <w:b/>
          <w:bCs/>
        </w:rPr>
        <w:t xml:space="preserve">Запланована навчальна діяльність:</w:t>
      </w:r>
      <w:r>
        <w:t xml:space="preserve"> </w:t>
      </w:r>
      <w:r>
        <w:rPr>
          <w:b/>
          <w:bCs/>
        </w:rPr>
        <w:t xml:space="preserve">Лекції — 34 год.; лабораторні — 34 год.; СРС — 82 год.; разом — 150 год.</w:t>
      </w:r>
      <w:r>
        <w:t xml:space="preserve"> </w:t>
      </w:r>
      <w:r>
        <w:t xml:space="preserve">:contentReference</w:t>
      </w:r>
      <w:r>
        <w:t xml:space="preserve">oaicite:41</w:t>
      </w:r>
    </w:p>
    <w:p>
      <w:pPr>
        <w:pStyle w:val="BodyText"/>
      </w:pPr>
      <w:r>
        <w:rPr>
          <w:b/>
          <w:bCs/>
        </w:rPr>
        <w:t xml:space="preserve">Форми (методи) навчання:</w:t>
      </w:r>
      <w:r>
        <w:t xml:space="preserve"> </w:t>
      </w:r>
      <w:r>
        <w:rPr>
          <w:b/>
          <w:bCs/>
        </w:rPr>
        <w:t xml:space="preserve">лекції</w:t>
      </w:r>
      <w:r>
        <w:t xml:space="preserve"> </w:t>
      </w:r>
      <w:r>
        <w:t xml:space="preserve">(візуалізація, проблемне й інтерактивне навчання);</w:t>
      </w:r>
      <w:r>
        <w:t xml:space="preserve"> </w:t>
      </w:r>
      <w:r>
        <w:rPr>
          <w:b/>
          <w:bCs/>
        </w:rPr>
        <w:t xml:space="preserve">лабораторні</w:t>
      </w:r>
      <w:r>
        <w:t xml:space="preserve"> </w:t>
      </w:r>
      <w:r>
        <w:t xml:space="preserve">(інструктування, демонстрування, аналіз кейсів);</w:t>
      </w:r>
      <w:r>
        <w:t xml:space="preserve"> </w:t>
      </w:r>
      <w:r>
        <w:rPr>
          <w:b/>
          <w:bCs/>
        </w:rPr>
        <w:t xml:space="preserve">самостійна робота</w:t>
      </w:r>
      <w:r>
        <w:t xml:space="preserve"> </w:t>
      </w:r>
      <w:r>
        <w:t xml:space="preserve">(теорія, ІДЗ, підсумковий контроль). :contentReference</w:t>
      </w:r>
      <w:r>
        <w:t xml:space="preserve">oaicite:42</w:t>
      </w:r>
    </w:p>
    <w:p>
      <w:pPr>
        <w:pStyle w:val="BodyText"/>
      </w:pPr>
      <w:r>
        <w:rPr>
          <w:b/>
          <w:bCs/>
        </w:rPr>
        <w:t xml:space="preserve">Форми оцінювання результатів навчання:</w:t>
      </w:r>
      <w:r>
        <w:t xml:space="preserve"> </w:t>
      </w:r>
      <w:r>
        <w:rPr>
          <w:b/>
          <w:bCs/>
        </w:rPr>
        <w:t xml:space="preserve">захист лабораторних робіт; тестування; контрольна робота; іспит.</w:t>
      </w:r>
      <w:r>
        <w:t xml:space="preserve"> </w:t>
      </w:r>
      <w:r>
        <w:t xml:space="preserve">:contentReference</w:t>
      </w:r>
      <w:r>
        <w:t xml:space="preserve">oaicite:43</w:t>
      </w:r>
    </w:p>
    <w:p>
      <w:pPr>
        <w:pStyle w:val="BodyText"/>
      </w:pPr>
      <w:r>
        <w:rPr>
          <w:b/>
          <w:bCs/>
        </w:rPr>
        <w:t xml:space="preserve">Вид семестрового контролю:</w:t>
      </w:r>
      <w:r>
        <w:t xml:space="preserve"> </w:t>
      </w:r>
      <w:r>
        <w:rPr>
          <w:b/>
          <w:bCs/>
        </w:rPr>
        <w:t xml:space="preserve">іспит — 3 семестр.</w:t>
      </w:r>
      <w:r>
        <w:t xml:space="preserve"> </w:t>
      </w:r>
      <w:r>
        <w:t xml:space="preserve">:contentReference</w:t>
      </w:r>
      <w:r>
        <w:t xml:space="preserve">oaicite:44</w:t>
      </w:r>
    </w:p>
    <w:p>
      <w:pPr>
        <w:pStyle w:val="BodyText"/>
      </w:pPr>
      <w:r>
        <w:rPr>
          <w:b/>
          <w:bCs/>
        </w:rPr>
        <w:t xml:space="preserve">Навчальні ресурси:</w:t>
      </w:r>
      <w:r>
        <w:br/>
      </w:r>
      <w:r>
        <w:t xml:space="preserve">1) Ніколюк П. К.</w:t>
      </w:r>
      <w:r>
        <w:t xml:space="preserve"> </w:t>
      </w:r>
      <w:r>
        <w:rPr>
          <w:i/>
          <w:iCs/>
        </w:rPr>
        <w:t xml:space="preserve">Моделювання систем</w:t>
      </w:r>
      <w:r>
        <w:t xml:space="preserve">, 2023; 2) Настенко Є.А. та ін.</w:t>
      </w:r>
      <w:r>
        <w:t xml:space="preserve"> </w:t>
      </w:r>
      <w:r>
        <w:rPr>
          <w:i/>
          <w:iCs/>
        </w:rPr>
        <w:t xml:space="preserve">Методи моделювання складних систем і процесів</w:t>
      </w:r>
      <w:r>
        <w:t xml:space="preserve">, 2022; 3) Міца О.В., Лавер В.О.</w:t>
      </w:r>
      <w:r>
        <w:t xml:space="preserve"> </w:t>
      </w:r>
      <w:r>
        <w:rPr>
          <w:i/>
          <w:iCs/>
        </w:rPr>
        <w:t xml:space="preserve">Системний аналіз</w:t>
      </w:r>
      <w:r>
        <w:t xml:space="preserve">, 2021; 4) Модульне середовище ХНУ; 5) Е‑бібліотека університету. :contentReference</w:t>
      </w:r>
      <w:r>
        <w:t xml:space="preserve">oaicite:45</w:t>
      </w:r>
    </w:p>
    <w:p>
      <w:pPr>
        <w:pStyle w:val="BodyText"/>
      </w:pPr>
      <w:r>
        <w:rPr>
          <w:b/>
          <w:bCs/>
        </w:rPr>
        <w:t xml:space="preserve">Викладачі:</w:t>
      </w:r>
      <w:r>
        <w:t xml:space="preserve"> </w:t>
      </w:r>
      <w:r>
        <w:rPr>
          <w:b/>
          <w:bCs/>
        </w:rPr>
        <w:t xml:space="preserve">доктор філософії, ст. викл. Павло Радюк; доц., к.ф.-м.н. Віталій Міхалевський; асистент Леонід Вознюк.</w:t>
      </w:r>
      <w:r>
        <w:t xml:space="preserve"> </w:t>
      </w:r>
      <w:r>
        <w:t xml:space="preserve">:contentReference</w:t>
      </w:r>
      <w:r>
        <w:t xml:space="preserve">oaicite:46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2025-08-08T10:40:07Z</dcterms:created>
  <dcterms:modified xsi:type="dcterms:W3CDTF">2025-08-08T10:40:07Z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