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робоча-програма-навчальної-дисципліни"/>
    <w:p>
      <w:pPr>
        <w:pStyle w:val="Heading1"/>
      </w:pPr>
      <w:r>
        <w:t xml:space="preserve">РОБОЧА ПРОГРАМА НАВЧАЛЬНОЇ ДИСЦИПЛІНИ</w:t>
      </w:r>
    </w:p>
    <w:bookmarkStart w:id="9" w:name="пояснювальна-записка"/>
    <w:p>
      <w:pPr>
        <w:pStyle w:val="Heading2"/>
      </w:pPr>
      <w:r>
        <w:t xml:space="preserve">3. Пояснювальна записка</w:t>
      </w:r>
    </w:p>
    <w:p>
      <w:pPr>
        <w:pStyle w:val="FirstParagraph"/>
      </w:pPr>
      <w:r>
        <w:t xml:space="preserve">Дисципліна «</w:t>
      </w:r>
      <w:r>
        <w:rPr>
          <w:b/>
          <w:bCs/>
        </w:rPr>
        <w:t xml:space="preserve">Дослідження операцій та основи теорії прийняття рішень</w:t>
      </w:r>
      <w:r>
        <w:t xml:space="preserve">» є однією із дисциплін</w:t>
      </w:r>
      <w:r>
        <w:t xml:space="preserve"> </w:t>
      </w:r>
      <w:r>
        <w:rPr>
          <w:b/>
          <w:bCs/>
        </w:rPr>
        <w:t xml:space="preserve">загальної</w:t>
      </w:r>
      <w:r>
        <w:t xml:space="preserve"> </w:t>
      </w:r>
      <w:r>
        <w:t xml:space="preserve">підготовки і займає провідне місце у підготовці здобувачів</w:t>
      </w:r>
      <w:r>
        <w:t xml:space="preserve"> </w:t>
      </w:r>
      <w:r>
        <w:rPr>
          <w:b/>
          <w:bCs/>
        </w:rPr>
        <w:t xml:space="preserve">першого (бакалаврського)</w:t>
      </w:r>
      <w:r>
        <w:t xml:space="preserve"> </w:t>
      </w:r>
      <w:r>
        <w:t xml:space="preserve">рівня вищої освіти,</w:t>
      </w:r>
      <w:r>
        <w:t xml:space="preserve"> </w:t>
      </w:r>
      <w:r>
        <w:rPr>
          <w:b/>
          <w:bCs/>
        </w:rPr>
        <w:t xml:space="preserve">очної (денної)</w:t>
      </w:r>
      <w:r>
        <w:t xml:space="preserve"> </w:t>
      </w:r>
      <w:r>
        <w:t xml:space="preserve">форми здобуття вищої освіти, які навчаються за освітньо-професійною програмою «</w:t>
      </w:r>
      <w:r>
        <w:rPr>
          <w:b/>
          <w:bCs/>
        </w:rPr>
        <w:t xml:space="preserve">Комп’ютерні науки</w:t>
      </w:r>
      <w:r>
        <w:t xml:space="preserve">» в межах спеціальності</w:t>
      </w:r>
      <w:r>
        <w:t xml:space="preserve"> </w:t>
      </w:r>
      <w:r>
        <w:rPr>
          <w:b/>
          <w:bCs/>
        </w:rPr>
        <w:t xml:space="preserve">F3 «Комп’ютерні науки»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Пререквізити</w:t>
      </w:r>
      <w:r>
        <w:t xml:space="preserve"> </w:t>
      </w:r>
      <w:r>
        <w:t xml:space="preserve">– Вища математика (ОЗП.01), Дискретна математика (ОЗП.02).</w:t>
      </w:r>
    </w:p>
    <w:p>
      <w:pPr>
        <w:pStyle w:val="BodyText"/>
      </w:pPr>
      <w:r>
        <w:rPr>
          <w:b/>
          <w:bCs/>
        </w:rPr>
        <w:t xml:space="preserve">Постреквізити</w:t>
      </w:r>
      <w:r>
        <w:t xml:space="preserve"> </w:t>
      </w:r>
      <w:r>
        <w:t xml:space="preserve">– Теорія алгоритмів (ОЗП.08), Методи та системи штучного інтелекту (ОФП.01), Інтелектуальний аналіз даних (ОФП.05), Технології захисту інформації та кібербезпека (ОФП.12), Системне та мережеве програмне забезпечення (ОФП.14), Кваліфікаційна робота (ОФП.18).</w:t>
      </w:r>
    </w:p>
    <w:p>
      <w:pPr>
        <w:pStyle w:val="BodyText"/>
      </w:pPr>
      <w:r>
        <w:t xml:space="preserve">Відповідно до освітньої програми дисципліна сприяє забезпеченню:</w:t>
      </w:r>
    </w:p>
    <w:p>
      <w:pPr>
        <w:pStyle w:val="BodyText"/>
      </w:pPr>
      <w:r>
        <w:rPr>
          <w:b/>
          <w:bCs/>
        </w:rPr>
        <w:t xml:space="preserve">компетентностей:</w:t>
      </w:r>
      <w:r>
        <w:t xml:space="preserve"> </w:t>
      </w:r>
      <w:r>
        <w:t xml:space="preserve">здатність розв’язувати складні спеціалізовані задачі та практичні проблеми у галузі комп’ютерних наук або у процесі навчання, що передбачає застосування теорій та методів інформаційних технологій і характеризується комплексністю та невизначеністю умов (ІК); здатність до абстрактного мислення, аналізу та синтезу (ЗК 01); здатність застосовувати знання у практичних ситуаціях (ЗК 02); здатність до пошуку, оброблення та аналізу інформації з різних джерел (ЗК 07); здатність приймати обґрунтовані рішення (ЗК 11); здатність до логічного мислення, побудови логічних висновків, використання формальних мов і моделей алгоритмічних обчислень, проєктування, розроблення й аналізу алгоритмів, оцінювання їх ефективності та складності, розв’язності та нерозв’язності алгоритмічних проблем для адекватного моделювання предметних областей і створення програмних та інформаційних систем (ФК 03); здатність здійснювати формалізований опис задач дослідження операцій в організаційно-технічних і соціально-економічних системах різного призначення, визначати їх оптимальні розв’язки, будувати моделі оптимального управління з урахуванням змін економічної ситуації, оптимізувати процеси управління в системах різного призначення та рівня ієрархії (ФК 05); здатність до системного мислення, застосування методології системного аналізу для дослідження складних проблем різної природи, методів формалізації та розв’язування системних задач, що мають суперечливі цілі, невизначеності та ризики (ФК 06).</w:t>
      </w:r>
    </w:p>
    <w:p>
      <w:pPr>
        <w:pStyle w:val="BodyText"/>
      </w:pPr>
      <w:r>
        <w:rPr>
          <w:b/>
          <w:bCs/>
        </w:rPr>
        <w:t xml:space="preserve">програмних результатів навчання:</w:t>
      </w:r>
      <w:r>
        <w:t xml:space="preserve"> </w:t>
      </w:r>
      <w:r>
        <w:t xml:space="preserve">проєктувати, розробляти та аналізувати алгоритми розв’язання обчислювальних та логічних задач, оцінювати ефективність та складність алгоритмів на основі застосування формальних моделей алгоритмів та обчислюваних функцій (ПРН 05); розуміти принципи моделювання організаційно-технічних систем і операцій; використовувати методи дослідження операцій, розв’язання одно- та багатокритеріальних оптимізаційних задач лінійного, цілочислового, нелінійного, стохастичного програмування (ПРН 07); застосовувати знання методології та CASE-засобів проєктування складних систем, методів структурного аналізу систем, об’єктно-орієнтованої методології проєктування при розробці і дослідженні функціональних моделей організаційно-економічних і виробничо-технічних систем (ПРН 14); розуміти концепцію інформаційної безпеки, принципи безпечного проєктування програмного забезпечення, забезпечувати безпеку комп’ютерних мереж в умовах неповноти та невизначеності вихідних даних (ПРН 15); виконувати паралельні та розподілені обчислення, застосовувати чисельні методи та алгоритми для паралельних структур, мови паралельного програмування при розробці та експлуатації паралельного та розподіленого програмного забезпечення (ПРН 16).</w:t>
      </w:r>
    </w:p>
    <w:p>
      <w:pPr>
        <w:pStyle w:val="BodyText"/>
      </w:pPr>
      <w:r>
        <w:rPr>
          <w:b/>
          <w:bCs/>
        </w:rPr>
        <w:t xml:space="preserve">Мета дисципліни.</w:t>
      </w:r>
      <w:r>
        <w:t xml:space="preserve"> </w:t>
      </w:r>
      <w:r>
        <w:t xml:space="preserve">Вивчення студентами математичних моделей дослідження операцій та теорії прийняття рішень, що дозволить вміти створювати, аналізувати і використовувати їх з метою прогнозування і оптимізації процесів, пов’язаних з різними сферами людської діяльності.</w:t>
      </w:r>
    </w:p>
    <w:p>
      <w:pPr>
        <w:pStyle w:val="BodyText"/>
      </w:pPr>
      <w:r>
        <w:rPr>
          <w:b/>
          <w:bCs/>
        </w:rPr>
        <w:t xml:space="preserve">Предмет дисципліни.</w:t>
      </w:r>
      <w:r>
        <w:t xml:space="preserve"> </w:t>
      </w:r>
      <w:r>
        <w:t xml:space="preserve">Математичні методи дослідження операцій та теорії прийняття рішень.</w:t>
      </w:r>
    </w:p>
    <w:p>
      <w:pPr>
        <w:pStyle w:val="BodyText"/>
      </w:pPr>
      <w:r>
        <w:rPr>
          <w:b/>
          <w:bCs/>
        </w:rPr>
        <w:t xml:space="preserve">Завдання дисципліни.</w:t>
      </w:r>
      <w:r>
        <w:t xml:space="preserve"> </w:t>
      </w:r>
      <w:r>
        <w:t xml:space="preserve">Формування у студентів професійних якостей спеціалістів, що володіють основною ідеєю, поняттями та методами дослідження операцій та вміють створювати, аналізувати і використовувати математичні моделі задач дослідження операцій з метою прогнозування і оптимізації процесів.</w:t>
      </w:r>
    </w:p>
    <w:p>
      <w:pPr>
        <w:pStyle w:val="BodyText"/>
      </w:pPr>
      <w:r>
        <w:rPr>
          <w:b/>
          <w:bCs/>
        </w:rPr>
        <w:t xml:space="preserve">Результати навчання.</w:t>
      </w:r>
      <w:r>
        <w:t xml:space="preserve"> </w:t>
      </w:r>
      <w:r>
        <w:t xml:space="preserve">Студент, який успішно завершив вивчення дисципліни, повинен: вміло використовувати понятійний апарат; вміти створювати, аналізувати і використовувати математичні моделі задач дослідження операцій з метою прогнозування і оптимізації процесів, пов’язаних з різними сферами людської діяльності; практично використовувати дослідження операцій в науці, виробництві, управлінні, сфері обслуговування, будівництві тощо. Володіти основною ідеєю, поняттями та методами дослідження операцій.</w:t>
      </w:r>
    </w:p>
    <w:bookmarkEnd w:id="9"/>
    <w:bookmarkStart w:id="10" w:name="структура-залікових-кредитів-дисципліни"/>
    <w:p>
      <w:pPr>
        <w:pStyle w:val="Heading2"/>
      </w:pPr>
      <w:r>
        <w:t xml:space="preserve">4. Структура залікових кредитів дисципліни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Назва розділу (теми)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Лекції (год.)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Лабораторні (год.)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СРС (год.)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1. Основи дослідження операцій та моделі лінійного програмування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2. Спеціалізовані задачі лінійного та цілочислового програмування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3. Динамічне програмування та прийняття рішень на графах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4. Прийняття рішень в умовах невизначеності та теорія ігор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Разом за семестр: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78</w:t>
            </w:r>
          </w:p>
        </w:tc>
      </w:tr>
    </w:tbl>
    <w:bookmarkEnd w:id="10"/>
    <w:bookmarkStart w:id="14" w:name="програма-навчальної-дисципліни"/>
    <w:p>
      <w:pPr>
        <w:pStyle w:val="Heading2"/>
      </w:pPr>
      <w:r>
        <w:t xml:space="preserve">5. Програма навчальної дисципліни</w:t>
      </w:r>
    </w:p>
    <w:bookmarkStart w:id="11" w:name="зміст-лекційного-курсу"/>
    <w:p>
      <w:pPr>
        <w:pStyle w:val="Heading3"/>
      </w:pPr>
      <w:r>
        <w:t xml:space="preserve">5.1 Зміст лекційного курсу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Номер лекції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Перелік тем лекцій, їх анотації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Кількість годин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Другий семестр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1. Основи дослідження операцій та моделі лінійного програмування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Вступ до дослідження операцій та моделювання задач лінійного програмування.</w:t>
            </w:r>
            <w:r>
              <w:t xml:space="preserve"> </w:t>
            </w:r>
            <w:r>
              <w:t xml:space="preserve">Історія, предмет та методологія дослідження операцій. Класифікація задач. Етапи розв’язання. Постановка задачі лінійного програмування (ЗЛП), її форми. Приклади економічних та технічних задач, що зводяться до ЗЛП. Графічний метод розв’язання ЗЛП.</w:t>
            </w:r>
            <w:r>
              <w:t xml:space="preserve">Літ.: [1], розділ 1, 3; [2], розділ 3, 4; [3], розділ 1, 2.1; [5], розділ 1, 2.1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Симплекс-метод та теорія двоїстості.</w:t>
            </w:r>
            <w:r>
              <w:t xml:space="preserve"> </w:t>
            </w:r>
            <w:r>
              <w:t xml:space="preserve">Алгоритм симплекс-методу. Поняття опорного плану, базису. М-метод для знаходження початкового розв’язку. Побудова двоїстої задачі. Основні теореми двоїстості та їх економічна інтерпретація. Аналіз чутливості оптимального рішення до зміни параметрів моделі.</w:t>
            </w:r>
            <w:r>
              <w:t xml:space="preserve">Літ.: [2], розділ 4; [3], розділ 3, 4; [5], розділ 3, 4; [6], розділ 4.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2. Спеціалізовані задачі лінійного та цілочислового програмування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Транспортна задача лінійного програмування.</w:t>
            </w:r>
            <w:r>
              <w:t xml:space="preserve"> </w:t>
            </w:r>
            <w:r>
              <w:t xml:space="preserve">Математична модель транспортної задачі (ТЗ). Відкрита та закрита ТЗ. Методи знаходження початкового опорного плану: метод північно-західного кута, метод мінімального елемента. Метод потенціалів для оптимізації розв’язку.</w:t>
            </w:r>
            <w:r>
              <w:t xml:space="preserve">Літ.: [2], розділ 5; [3], розділ 5; [7], розділ 2, 3.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Цілочислове лінійне програмування.</w:t>
            </w:r>
            <w:r>
              <w:t xml:space="preserve"> </w:t>
            </w:r>
            <w:r>
              <w:t xml:space="preserve">Постановка задачі цілочислового програмування (ЗЦЛП). Метод Гоморі (метод відсічень). Метод гілок та меж для розв’язання ЗЦЛП. Приклади застосування: задача комівояжера, задача про призначення.</w:t>
            </w:r>
            <w:r>
              <w:t xml:space="preserve">Літ.: [3], розділ 6; [5], розділ 5.2, 5.3; [7], розділ 3.1, 3.2.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3. Динамічне програмування та прийняття рішень на графах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Динамічне програмування.</w:t>
            </w:r>
            <w:r>
              <w:t xml:space="preserve"> </w:t>
            </w:r>
            <w:r>
              <w:t xml:space="preserve">Принцип оптимальності Беллмана як основа методу. Рекурентні співвідношення. Пряма та обернена прогонка. Розв’язання задач про розподіл ресурсів, заміну обладнання, вибір оптимального маршруту.</w:t>
            </w:r>
            <w:r>
              <w:t xml:space="preserve">Літ.: [3], розділ 7; [6], розділ 7; [8], розділ 1, 2.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Прийняття рішень на графах: мережеві моделі та алгоритми.</w:t>
            </w:r>
            <w:r>
              <w:t xml:space="preserve"> </w:t>
            </w:r>
            <w:r>
              <w:t xml:space="preserve">Основні поняття теорії графів. Задача про найкоротший шлях (алгоритм Дейкстри). Задача про максимальний потік (алгоритм Форда-Фалкерсона). Задача про мінімальне остове дерево (алгоритми Прима, Краскала).</w:t>
            </w:r>
            <w:r>
              <w:t xml:space="preserve">Літ.: [6], розділ 8; [7], розділ 4; [9], розділ 2.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4. Прийняття рішень в умовах невизначеності та теорія ігор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Прийняття рішень в умовах невизначеності та ризику.</w:t>
            </w:r>
            <w:r>
              <w:t xml:space="preserve"> </w:t>
            </w:r>
            <w:r>
              <w:t xml:space="preserve">Класифікація умов прийняття рішень. Критерії для умов невизначеності: Вальда (максимінний), максимаксний, Гурвіца, Севіджа (мінімаксного ризику), Лапласа. Побудова та аналіз дерева рішень.</w:t>
            </w:r>
            <w:r>
              <w:t xml:space="preserve">Літ.: [1], розділ 2; [4], розділ 3; [5], розділ 6.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Основи теорії ігор.</w:t>
            </w:r>
            <w:r>
              <w:t xml:space="preserve"> </w:t>
            </w:r>
            <w:r>
              <w:t xml:space="preserve">Класифікація ігор. Матричні (антагоністичні) ігри з нульовою сумою. Поняття сідлової точки, ціни гри. Чисті та змішані стратегії. Графічний метод розв’язання ігор 2xN та Mx2. Зведення матричної гри до задачі лінійного програмування.</w:t>
            </w:r>
            <w:r>
              <w:t xml:space="preserve">Літ.: [3] с. 348-351; [7] с. 31-37.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Разом за семестр: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36</w:t>
            </w:r>
          </w:p>
        </w:tc>
      </w:tr>
    </w:tbl>
    <w:bookmarkEnd w:id="11"/>
    <w:bookmarkStart w:id="12" w:name="зміст-лабораторних-занять"/>
    <w:p>
      <w:pPr>
        <w:pStyle w:val="Heading3"/>
      </w:pPr>
      <w:r>
        <w:t xml:space="preserve">5.2 Зміст лабораторних занять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 п/п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Тема лабораторного заняття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Кількість годин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Другий семестр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Лабораторна робота № 1. Моделювання задач лінійного програмування та їх графічне розв’язання.</w:t>
            </w:r>
            <w:r>
              <w:t xml:space="preserve">Літ.: [3] с. 49-53, 80-105; [5] с. 6-21, 38-45.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Лабораторна робота № 2. Розв’язування задач лінійного програмування симплекс-методом.</w:t>
            </w:r>
            <w:r>
              <w:t xml:space="preserve">Літ.: [3] с. 142-166; [5] c. 63-70.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Лабораторна робота № 3. Розв’язування двоїстої задачі та аналіз чутливості.</w:t>
            </w:r>
            <w:r>
              <w:t xml:space="preserve">Літ.: [3] с. 179-185; [5] с. 83-86.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Лабораторна робота № 4. Розв’язування транспортної задачі лінійного програмування.</w:t>
            </w:r>
            <w:r>
              <w:t xml:space="preserve">Літ.: [3] с. 212-220; [7] с. 5-9.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Лабораторна робота № 5. Розв’язування задач цілочислового лінійного програмування.</w:t>
            </w:r>
            <w:r>
              <w:t xml:space="preserve">Літ.: [3] с. 251-263; [7] с. 10-16.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Лабораторна робота № 6. Застосування динамічного програмування для задачі розподілу капітальних вкладень.</w:t>
            </w:r>
            <w:r>
              <w:t xml:space="preserve">Літ.: [3] с. 291-301; [7] с. 17-25.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Лабораторна робота № 7. Алгоритми на графах: пошук найкоротшого шляху.</w:t>
            </w:r>
            <w:r>
              <w:t xml:space="preserve">Літ.: [3] с. 315-321; [7] c. 26-30.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Лабораторна робота № 8. Моделювання та прийняття рішень в умовах невизначеності.</w:t>
            </w:r>
            <w:r>
              <w:t xml:space="preserve">Літ.: [1] розділ 2.1; [4] розділ 3.3; [5] розділ 6.1.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Лабораторна робота № 9. Розв’язування матричних ігор та пошук оптимальних стратегій.</w:t>
            </w:r>
            <w:r>
              <w:t xml:space="preserve">Літ.: [3] с. 348-351; [7] с. 31-37.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Разом за семестр: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36</w:t>
            </w:r>
          </w:p>
        </w:tc>
      </w:tr>
    </w:tbl>
    <w:bookmarkEnd w:id="12"/>
    <w:bookmarkStart w:id="13" w:name="Xcd2f541b0503c3c7d7845e39ac89bbe5b32e340"/>
    <w:p>
      <w:pPr>
        <w:pStyle w:val="Heading3"/>
      </w:pPr>
      <w:r>
        <w:t xml:space="preserve">5.3 Зміст самостійної роботи здобувача вищої освіти</w:t>
      </w:r>
    </w:p>
    <w:p>
      <w:pPr>
        <w:pStyle w:val="FirstParagraph"/>
      </w:pPr>
      <w:r>
        <w:t xml:space="preserve">Самостійна робота студентів полягає у систематичному опрацюванні програмного матеріалу, підготовці до лабораторних занять, виконанні індивідуальних завдань та підготовці до контрольних заходів.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Номер тижня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Вид самостійної роботи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Кількість годин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Другий семестр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теоретичного матеріалу з Т1, підготовка до лабораторної роботи №1.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теоретичного матеріалу з Т1, підготовка до лабораторної роботи №2, виконання ІДЗ №1.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теоретичного матеріалу з Т2, підготовка до лабораторних робіт №3-4, виконання ІДЗ №1.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теоретичного матеріалу з Т2, підготовка до лабораторної роботи №5, підготовка до ТК з тем 1-2.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теоретичного матеріалу з Т3, підготовка до лабораторної роботи №6, виконання ІДЗ №2.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теоретичного матеріалу з Т3, підготовка до лабораторної роботи №7, виконання ІДЗ №2.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теоретичного матеріалу з Т3, підготовка до ІДЗ №3.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14-15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теоретичного матеріалу з Т4, підготовка до лабораторної роботи №8, виконання ІДЗ №3.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теоретичного матеріалу з Т4, підготовка до лабораторної роботи №9, виконання ІДЗ №4, підготовка до підсумкового контролю.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Разом за семестр: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78</w:t>
            </w:r>
          </w:p>
        </w:tc>
      </w:tr>
    </w:tbl>
    <w:p>
      <w:pPr>
        <w:pStyle w:val="BlockText"/>
      </w:pPr>
      <w:r>
        <w:rPr>
          <w:b/>
          <w:bCs/>
        </w:rPr>
        <w:t xml:space="preserve">Примітка:</w:t>
      </w:r>
      <w:r>
        <w:t xml:space="preserve"> </w:t>
      </w:r>
      <w:r>
        <w:t xml:space="preserve">Т – тема навчальної дисципліни, ТК – тестовий контроль, ІДЗ – індивідуальне домашнє завдання.</w:t>
      </w:r>
    </w:p>
    <w:p>
      <w:pPr>
        <w:pStyle w:val="FirstParagraph"/>
      </w:pPr>
      <w:r>
        <w:t xml:space="preserve">На самостійне опрацювання виносяться такі індивідуальні завдання (ІДЗ):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ІДЗ 1.</w:t>
      </w:r>
      <w:r>
        <w:t xml:space="preserve"> </w:t>
      </w:r>
      <w:r>
        <w:t xml:space="preserve">Моделювання та розв’язання задач лінійного програмування.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ІДЗ 2.</w:t>
      </w:r>
      <w:r>
        <w:t xml:space="preserve"> </w:t>
      </w:r>
      <w:r>
        <w:t xml:space="preserve">Розв’язання транспортних та цілочислових задач програмування.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ІДЗ 3.</w:t>
      </w:r>
      <w:r>
        <w:t xml:space="preserve"> </w:t>
      </w:r>
      <w:r>
        <w:t xml:space="preserve">Застосування методів динамічного програмування та алгоритмів на графах.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ІДЗ 4.</w:t>
      </w:r>
      <w:r>
        <w:t xml:space="preserve"> </w:t>
      </w:r>
      <w:r>
        <w:t xml:space="preserve">Аналіз стратегій прийняття рішень в умовах невизначеності та конфлікту.</w:t>
      </w:r>
    </w:p>
    <w:bookmarkEnd w:id="13"/>
    <w:bookmarkEnd w:id="14"/>
    <w:bookmarkStart w:id="15" w:name="технології-та-методи-навчання"/>
    <w:p>
      <w:pPr>
        <w:pStyle w:val="Heading2"/>
      </w:pPr>
      <w:r>
        <w:t xml:space="preserve">6. Технології та методи навчання</w:t>
      </w:r>
    </w:p>
    <w:p>
      <w:pPr>
        <w:pStyle w:val="FirstParagraph"/>
      </w:pPr>
      <w:r>
        <w:t xml:space="preserve">Процес навчання з дисципліни ґрунтується на використанні традиційних та сучасних технологій та методів навчання, зокрема: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лекції:</w:t>
      </w:r>
      <w:r>
        <w:t xml:space="preserve"> </w:t>
      </w:r>
      <w:r>
        <w:t xml:space="preserve">з використанням мультимедійних презентацій, методів візуалізації, проблемного й інтерактивного навчання;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лабораторні заняття:</w:t>
      </w:r>
      <w:r>
        <w:t xml:space="preserve"> </w:t>
      </w:r>
      <w:r>
        <w:t xml:space="preserve">з використанням майстер-класів, інструктування, розв’язування типових і прикладних задач, аналізу кейсів;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самостійна робота:</w:t>
      </w:r>
      <w:r>
        <w:t xml:space="preserve"> </w:t>
      </w:r>
      <w:r>
        <w:t xml:space="preserve">опрацювання теоретичного матеріалу, підготовка до виконання лабораторних робіт, виконання індивідуальних завдань.</w:t>
      </w:r>
    </w:p>
    <w:bookmarkEnd w:id="15"/>
    <w:bookmarkStart w:id="16" w:name="методи-контролю"/>
    <w:p>
      <w:pPr>
        <w:pStyle w:val="Heading2"/>
      </w:pPr>
      <w:r>
        <w:t xml:space="preserve">7. Методи контролю</w:t>
      </w:r>
    </w:p>
    <w:p>
      <w:pPr>
        <w:pStyle w:val="FirstParagraph"/>
      </w:pPr>
      <w:r>
        <w:t xml:space="preserve">Поточний контроль здійснюється під час</w:t>
      </w:r>
      <w:r>
        <w:t xml:space="preserve"> </w:t>
      </w:r>
      <w:r>
        <w:rPr>
          <w:b/>
          <w:bCs/>
        </w:rPr>
        <w:t xml:space="preserve">лабораторних</w:t>
      </w:r>
      <w:r>
        <w:t xml:space="preserve"> </w:t>
      </w:r>
      <w:r>
        <w:t xml:space="preserve">занять, а також у дні проведення контрольних заходів, встановлених робочою програмою і графіком освітнього процесу. При цьому використовуються такі методи поточного контролю: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усне опитування перед допуском до лабораторних занять;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захист лабораторних робіт і формування звіту;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тестовий контроль засвоєння теоретичного та практичного матеріалу з теми;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оцінювання результатів виконання індивідуального завдання;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підсумковий контрольний захід.</w:t>
      </w:r>
    </w:p>
    <w:p>
      <w:pPr>
        <w:pStyle w:val="FirstParagraph"/>
      </w:pPr>
      <w:r>
        <w:t xml:space="preserve">При виведенні підсумкової семестрової оцінки враховуються результати як поточного контролю, так і підсумкового контрольного заходу (заліку), який проводиться з усього матеріалу дисципліни.</w:t>
      </w:r>
    </w:p>
    <w:bookmarkEnd w:id="16"/>
    <w:bookmarkStart w:id="17" w:name="політика-дисципліни"/>
    <w:p>
      <w:pPr>
        <w:pStyle w:val="Heading2"/>
      </w:pPr>
      <w:r>
        <w:t xml:space="preserve">8. Політика дисципліни</w:t>
      </w:r>
    </w:p>
    <w:p>
      <w:pPr>
        <w:pStyle w:val="FirstParagraph"/>
      </w:pPr>
      <w:r>
        <w:t xml:space="preserve">Політика навчальної дисципліни визначається системою вимог до здобувача вищої освіти. Відвідування занять є обов’язковим. Пропущене</w:t>
      </w:r>
      <w:r>
        <w:t xml:space="preserve"> </w:t>
      </w:r>
      <w:r>
        <w:rPr>
          <w:b/>
          <w:bCs/>
        </w:rPr>
        <w:t xml:space="preserve">лабораторне</w:t>
      </w:r>
      <w:r>
        <w:t xml:space="preserve"> </w:t>
      </w:r>
      <w:r>
        <w:t xml:space="preserve">заняття студент зобов’язаний відпрацювати у встановлений викладачем термін.</w:t>
      </w:r>
    </w:p>
    <w:p>
      <w:pPr>
        <w:pStyle w:val="BodyText"/>
      </w:pPr>
      <w:r>
        <w:t xml:space="preserve">Здобувачі вищої освіти мають дотримуватися встановлених термінів виконання всіх видів навчальної роботи. Захист лабораторних робіт та виконання індивідуальних завдань є обов’язковими для отримання позитивної підсумкової оцінки.</w:t>
      </w:r>
    </w:p>
    <w:p>
      <w:pPr>
        <w:pStyle w:val="BodyText"/>
      </w:pPr>
      <w:r>
        <w:t xml:space="preserve">При виконанні всіх видів робіт студент має дотримуватись положень академічної доброчесності. Використання напрацювань інших студентів, плагіат, списування є підставою для зниження оцінки чи перескладання роботи. Будь-які форми порушення академічної доброчесності</w:t>
      </w:r>
      <w:r>
        <w:t xml:space="preserve"> </w:t>
      </w:r>
      <w:r>
        <w:rPr>
          <w:b/>
          <w:bCs/>
        </w:rPr>
        <w:t xml:space="preserve">не допускаються</w:t>
      </w:r>
      <w:r>
        <w:t xml:space="preserve">.</w:t>
      </w:r>
    </w:p>
    <w:bookmarkEnd w:id="17"/>
    <w:bookmarkStart w:id="18" w:name="X5f3bc87579a1c0e170f83c13b46fd67d55e3138"/>
    <w:p>
      <w:pPr>
        <w:pStyle w:val="Heading2"/>
      </w:pPr>
      <w:r>
        <w:t xml:space="preserve">9. Оцінювання результатів навчання студентів у семестрі</w:t>
      </w:r>
    </w:p>
    <w:p>
      <w:pPr>
        <w:pStyle w:val="FirstParagraph"/>
      </w:pPr>
      <w:r>
        <w:t xml:space="preserve">Оцінювання академічних досягнень здобувача вищої освіти здійснюється відповідно до «Положення про контроль і оцінювання результатів навчання здобувачів вищої освіти у ХНУ».</w:t>
      </w:r>
    </w:p>
    <w:p>
      <w:pPr>
        <w:pStyle w:val="BodyText"/>
      </w:pPr>
      <w:r>
        <w:rPr>
          <w:b/>
          <w:bCs/>
        </w:rPr>
        <w:t xml:space="preserve">Таблиця - Критерії оцінювання навчальних досягнень здобувача вищої освіти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Оцінка та рівень досягнення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Узагальнений зміст критерія оцінювання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Відмінно (високий)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Здобувач глибоко і в повному обсязі опанував зміст навчального матеріалу, легко в ньому орієнтується, вміло використовує понятійний апарат; пов’язує теорію з практикою, вирішує практичні завдання, впевнено обґрунтовує свої судження. При відповіді допустив</w:t>
            </w:r>
            <w:r>
              <w:t xml:space="preserve"> </w:t>
            </w:r>
            <w:r>
              <w:rPr>
                <w:b/>
                <w:bCs/>
              </w:rPr>
              <w:t xml:space="preserve">дві-три несуттєві похибки.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Добре (середній)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Здобувач виявив повне засвоєння навчального матеріалу, володіє понятійним апаратом, орієнтується у вивченому матеріалі; свідомо використовує теоретичні знання для вирішення практичних задач. У змісті і формі відповіді можуть мати місце окремі неточності. Допустив</w:t>
            </w:r>
            <w:r>
              <w:t xml:space="preserve"> </w:t>
            </w:r>
            <w:r>
              <w:rPr>
                <w:b/>
                <w:bCs/>
              </w:rPr>
              <w:t xml:space="preserve">дві-три несуттєві помилки.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Задовільно (достатній)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Здобувач виявив знання основного програмного матеріалу в обсязі, необхідному для подальшого навчання та практичної діяльності, справляється з виконанням практичних завдань. Допускає неточності і</w:t>
            </w:r>
            <w:r>
              <w:t xml:space="preserve"> </w:t>
            </w:r>
            <w:r>
              <w:rPr>
                <w:b/>
                <w:bCs/>
              </w:rPr>
              <w:t xml:space="preserve">суттєві помилки</w:t>
            </w:r>
            <w:r>
              <w:t xml:space="preserve"> </w:t>
            </w:r>
            <w:r>
              <w:t xml:space="preserve">у відповіді.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Незадовільно (недостатній)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Здобувач виявив розрізнені, безсистемні знання, не вміє виділяти головне, допускає помилки у визначенні понять, хаотично і невпевнено викладає матеріал, не може використовувати знання при вирішенні практичних завдань.</w:t>
            </w:r>
          </w:p>
        </w:tc>
      </w:tr>
    </w:tbl>
    <w:p>
      <w:pPr>
        <w:pStyle w:val="BodyText"/>
      </w:pPr>
      <w:r>
        <w:rPr>
          <w:b/>
          <w:bCs/>
        </w:rPr>
        <w:t xml:space="preserve">Структурування дисципліни за видами навчальної роботи і оцінювання результатів навчання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Аудиторна робота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Контрольні заходи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Самостійна робота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Семестровий контроль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Разом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Лабораторні роботи (бали)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Тестовий контроль ТК (бали)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ІДЗ (бали)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Підсумковий захід (бали)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Сума балів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27-45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6-10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9-15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18-30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60-100</w:t>
            </w:r>
          </w:p>
        </w:tc>
      </w:tr>
    </w:tbl>
    <w:p>
      <w:pPr>
        <w:pStyle w:val="BodyText"/>
      </w:pPr>
      <w:r>
        <w:rPr>
          <w:b/>
          <w:bCs/>
        </w:rPr>
        <w:t xml:space="preserve">Оцінювання результатів тестового контролю</w:t>
      </w:r>
      <w:r>
        <w:t xml:space="preserve"> </w:t>
      </w:r>
      <w:r>
        <w:t xml:space="preserve">Тематичний тест складається з 25 завдань. Оцінювання здійснюється за чотирибальною шкалою, яка переводиться у бали для підсумкової оцінки.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Кількість правильних відповідей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17-22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23-25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Оцінка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</w:tbl>
    <w:p>
      <w:pPr>
        <w:pStyle w:val="BodyText"/>
      </w:pPr>
      <w:r>
        <w:rPr>
          <w:b/>
          <w:bCs/>
        </w:rPr>
        <w:t xml:space="preserve">Таблиця - Співвідношення інституційної шкали оцінювання і шкали оцінювання ЄКТС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Оцінка ЄКТС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Рейтингова шкала балів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Залік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90-100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Зараховано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B,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73-89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D, 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60-72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FX,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0-59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Незараховано</w:t>
            </w:r>
          </w:p>
        </w:tc>
      </w:tr>
    </w:tbl>
    <w:bookmarkEnd w:id="18"/>
    <w:bookmarkStart w:id="19" w:name="X137fbd5ba89dc4f9c32942dc6088f4454a4c2e7"/>
    <w:p>
      <w:pPr>
        <w:pStyle w:val="Heading2"/>
      </w:pPr>
      <w:r>
        <w:t xml:space="preserve">10. Питання для самоконтролю результатів навчання</w:t>
      </w:r>
    </w:p>
    <w:p>
      <w:pPr>
        <w:pStyle w:val="Compact"/>
        <w:numPr>
          <w:ilvl w:val="0"/>
          <w:numId w:val="1004"/>
        </w:numPr>
      </w:pPr>
      <w:r>
        <w:t xml:space="preserve">Сутність та етапи дослідження операцій.</w:t>
      </w:r>
    </w:p>
    <w:p>
      <w:pPr>
        <w:pStyle w:val="Compact"/>
        <w:numPr>
          <w:ilvl w:val="0"/>
          <w:numId w:val="1004"/>
        </w:numPr>
      </w:pPr>
      <w:r>
        <w:t xml:space="preserve">Класифікація задач математичного програмування.</w:t>
      </w:r>
    </w:p>
    <w:p>
      <w:pPr>
        <w:pStyle w:val="Compact"/>
        <w:numPr>
          <w:ilvl w:val="0"/>
          <w:numId w:val="1004"/>
        </w:numPr>
      </w:pPr>
      <w:r>
        <w:t xml:space="preserve">Загальна постановка задачі лінійного програмування (ЗЛП).</w:t>
      </w:r>
    </w:p>
    <w:p>
      <w:pPr>
        <w:pStyle w:val="Compact"/>
        <w:numPr>
          <w:ilvl w:val="0"/>
          <w:numId w:val="1004"/>
        </w:numPr>
      </w:pPr>
      <w:r>
        <w:t xml:space="preserve">Форми запису ЗЛП: стандартна, канонічна.</w:t>
      </w:r>
    </w:p>
    <w:p>
      <w:pPr>
        <w:pStyle w:val="Compact"/>
        <w:numPr>
          <w:ilvl w:val="0"/>
          <w:numId w:val="1004"/>
        </w:numPr>
      </w:pPr>
      <w:r>
        <w:t xml:space="preserve">Геометрична інтерпретація ЗЛП.</w:t>
      </w:r>
    </w:p>
    <w:p>
      <w:pPr>
        <w:pStyle w:val="Compact"/>
        <w:numPr>
          <w:ilvl w:val="0"/>
          <w:numId w:val="1004"/>
        </w:numPr>
      </w:pPr>
      <w:r>
        <w:t xml:space="preserve">Графічний метод розв’язання ЗЛП.</w:t>
      </w:r>
    </w:p>
    <w:p>
      <w:pPr>
        <w:pStyle w:val="Compact"/>
        <w:numPr>
          <w:ilvl w:val="0"/>
          <w:numId w:val="1004"/>
        </w:numPr>
      </w:pPr>
      <w:r>
        <w:t xml:space="preserve">Поняття опорного та оптимального плану.</w:t>
      </w:r>
    </w:p>
    <w:p>
      <w:pPr>
        <w:pStyle w:val="Compact"/>
        <w:numPr>
          <w:ilvl w:val="0"/>
          <w:numId w:val="1004"/>
        </w:numPr>
      </w:pPr>
      <w:r>
        <w:t xml:space="preserve">Алгоритм симплекс-методу для розв’язання ЗЛП.</w:t>
      </w:r>
    </w:p>
    <w:p>
      <w:pPr>
        <w:pStyle w:val="Compact"/>
        <w:numPr>
          <w:ilvl w:val="0"/>
          <w:numId w:val="1004"/>
        </w:numPr>
      </w:pPr>
      <w:r>
        <w:t xml:space="preserve">Метод штучного базису (М-метод).</w:t>
      </w:r>
    </w:p>
    <w:p>
      <w:pPr>
        <w:pStyle w:val="Compact"/>
        <w:numPr>
          <w:ilvl w:val="0"/>
          <w:numId w:val="1004"/>
        </w:numPr>
      </w:pPr>
      <w:r>
        <w:t xml:space="preserve">Поняття виродженості в симплекс-методі.</w:t>
      </w:r>
    </w:p>
    <w:p>
      <w:pPr>
        <w:pStyle w:val="Compact"/>
        <w:numPr>
          <w:ilvl w:val="0"/>
          <w:numId w:val="1004"/>
        </w:numPr>
      </w:pPr>
      <w:r>
        <w:t xml:space="preserve">Правила побудови двоїстої задачі.</w:t>
      </w:r>
    </w:p>
    <w:p>
      <w:pPr>
        <w:pStyle w:val="Compact"/>
        <w:numPr>
          <w:ilvl w:val="0"/>
          <w:numId w:val="1004"/>
        </w:numPr>
      </w:pPr>
      <w:r>
        <w:t xml:space="preserve">Основні теореми двоїстості.</w:t>
      </w:r>
    </w:p>
    <w:p>
      <w:pPr>
        <w:pStyle w:val="Compact"/>
        <w:numPr>
          <w:ilvl w:val="0"/>
          <w:numId w:val="1004"/>
        </w:numPr>
      </w:pPr>
      <w:r>
        <w:t xml:space="preserve">Економічний зміст двоїстих оцінок.</w:t>
      </w:r>
    </w:p>
    <w:p>
      <w:pPr>
        <w:pStyle w:val="Compact"/>
        <w:numPr>
          <w:ilvl w:val="0"/>
          <w:numId w:val="1004"/>
        </w:numPr>
      </w:pPr>
      <w:r>
        <w:t xml:space="preserve">Аналіз чутливості оптимального рішення.</w:t>
      </w:r>
    </w:p>
    <w:p>
      <w:pPr>
        <w:pStyle w:val="Compact"/>
        <w:numPr>
          <w:ilvl w:val="0"/>
          <w:numId w:val="1004"/>
        </w:numPr>
      </w:pPr>
      <w:r>
        <w:t xml:space="preserve">Постановка транспортної задачі (ТЗ).</w:t>
      </w:r>
    </w:p>
    <w:p>
      <w:pPr>
        <w:pStyle w:val="Compact"/>
        <w:numPr>
          <w:ilvl w:val="0"/>
          <w:numId w:val="1004"/>
        </w:numPr>
      </w:pPr>
      <w:r>
        <w:t xml:space="preserve">Властивості закритої та відкритої ТЗ.</w:t>
      </w:r>
    </w:p>
    <w:p>
      <w:pPr>
        <w:pStyle w:val="Compact"/>
        <w:numPr>
          <w:ilvl w:val="0"/>
          <w:numId w:val="1004"/>
        </w:numPr>
      </w:pPr>
      <w:r>
        <w:t xml:space="preserve">Методи знаходження початкового опорного плану ТЗ.</w:t>
      </w:r>
    </w:p>
    <w:p>
      <w:pPr>
        <w:pStyle w:val="Compact"/>
        <w:numPr>
          <w:ilvl w:val="0"/>
          <w:numId w:val="1004"/>
        </w:numPr>
      </w:pPr>
      <w:r>
        <w:t xml:space="preserve">Метод потенціалів для розв’язання ТЗ.</w:t>
      </w:r>
    </w:p>
    <w:p>
      <w:pPr>
        <w:pStyle w:val="Compact"/>
        <w:numPr>
          <w:ilvl w:val="0"/>
          <w:numId w:val="1004"/>
        </w:numPr>
      </w:pPr>
      <w:r>
        <w:t xml:space="preserve">Постановка задачі цілочислового лінійного програмування (ЗЦЛП).</w:t>
      </w:r>
    </w:p>
    <w:p>
      <w:pPr>
        <w:pStyle w:val="Compact"/>
        <w:numPr>
          <w:ilvl w:val="0"/>
          <w:numId w:val="1004"/>
        </w:numPr>
      </w:pPr>
      <w:r>
        <w:t xml:space="preserve">Метод Гоморі для розв’язання ЗЦЛП.</w:t>
      </w:r>
    </w:p>
    <w:p>
      <w:pPr>
        <w:pStyle w:val="Compact"/>
        <w:numPr>
          <w:ilvl w:val="0"/>
          <w:numId w:val="1004"/>
        </w:numPr>
      </w:pPr>
      <w:r>
        <w:t xml:space="preserve">Метод гілок та меж.</w:t>
      </w:r>
    </w:p>
    <w:p>
      <w:pPr>
        <w:pStyle w:val="Compact"/>
        <w:numPr>
          <w:ilvl w:val="0"/>
          <w:numId w:val="1004"/>
        </w:numPr>
      </w:pPr>
      <w:r>
        <w:t xml:space="preserve">Задача комівояжера як приклад ЗЦЛП.</w:t>
      </w:r>
    </w:p>
    <w:p>
      <w:pPr>
        <w:pStyle w:val="Compact"/>
        <w:numPr>
          <w:ilvl w:val="0"/>
          <w:numId w:val="1004"/>
        </w:numPr>
      </w:pPr>
      <w:r>
        <w:t xml:space="preserve">Сутність та основні поняття динамічного програмування (ДП).</w:t>
      </w:r>
    </w:p>
    <w:p>
      <w:pPr>
        <w:pStyle w:val="Compact"/>
        <w:numPr>
          <w:ilvl w:val="0"/>
          <w:numId w:val="1004"/>
        </w:numPr>
      </w:pPr>
      <w:r>
        <w:t xml:space="preserve">Принцип оптимальності Беллмана.</w:t>
      </w:r>
    </w:p>
    <w:p>
      <w:pPr>
        <w:pStyle w:val="Compact"/>
        <w:numPr>
          <w:ilvl w:val="0"/>
          <w:numId w:val="1004"/>
        </w:numPr>
      </w:pPr>
      <w:r>
        <w:t xml:space="preserve">Рівняння Беллмана для адитивних та мультиплікативних критеріїв.</w:t>
      </w:r>
    </w:p>
    <w:p>
      <w:pPr>
        <w:pStyle w:val="Compact"/>
        <w:numPr>
          <w:ilvl w:val="0"/>
          <w:numId w:val="1004"/>
        </w:numPr>
      </w:pPr>
      <w:r>
        <w:t xml:space="preserve">Застосування ДП до задачі розподілу ресурсів.</w:t>
      </w:r>
    </w:p>
    <w:p>
      <w:pPr>
        <w:pStyle w:val="Compact"/>
        <w:numPr>
          <w:ilvl w:val="0"/>
          <w:numId w:val="1004"/>
        </w:numPr>
      </w:pPr>
      <w:r>
        <w:t xml:space="preserve">Застосування ДП до задачі заміни обладнання.</w:t>
      </w:r>
    </w:p>
    <w:p>
      <w:pPr>
        <w:pStyle w:val="Compact"/>
        <w:numPr>
          <w:ilvl w:val="0"/>
          <w:numId w:val="1004"/>
        </w:numPr>
      </w:pPr>
      <w:r>
        <w:t xml:space="preserve">Основні поняття теорії графів: вершини, ребра, шляхи, цикли.</w:t>
      </w:r>
    </w:p>
    <w:p>
      <w:pPr>
        <w:pStyle w:val="Compact"/>
        <w:numPr>
          <w:ilvl w:val="0"/>
          <w:numId w:val="1004"/>
        </w:numPr>
      </w:pPr>
      <w:r>
        <w:t xml:space="preserve">Постановка задачі про найкоротший шлях.</w:t>
      </w:r>
    </w:p>
    <w:p>
      <w:pPr>
        <w:pStyle w:val="Compact"/>
        <w:numPr>
          <w:ilvl w:val="0"/>
          <w:numId w:val="1004"/>
        </w:numPr>
      </w:pPr>
      <w:r>
        <w:t xml:space="preserve">Алгоритм Дейкстри.</w:t>
      </w:r>
    </w:p>
    <w:p>
      <w:pPr>
        <w:pStyle w:val="Compact"/>
        <w:numPr>
          <w:ilvl w:val="0"/>
          <w:numId w:val="1004"/>
        </w:numPr>
      </w:pPr>
      <w:r>
        <w:t xml:space="preserve">Алгоритм Флойда-Уоршелла.</w:t>
      </w:r>
    </w:p>
    <w:p>
      <w:pPr>
        <w:pStyle w:val="Compact"/>
        <w:numPr>
          <w:ilvl w:val="0"/>
          <w:numId w:val="1004"/>
        </w:numPr>
      </w:pPr>
      <w:r>
        <w:t xml:space="preserve">Постановка задачі про максимальний потік.</w:t>
      </w:r>
    </w:p>
    <w:p>
      <w:pPr>
        <w:pStyle w:val="Compact"/>
        <w:numPr>
          <w:ilvl w:val="0"/>
          <w:numId w:val="1004"/>
        </w:numPr>
      </w:pPr>
      <w:r>
        <w:t xml:space="preserve">Алгоритм Форда-Фалкерсона.</w:t>
      </w:r>
    </w:p>
    <w:p>
      <w:pPr>
        <w:pStyle w:val="Compact"/>
        <w:numPr>
          <w:ilvl w:val="0"/>
          <w:numId w:val="1004"/>
        </w:numPr>
      </w:pPr>
      <w:r>
        <w:t xml:space="preserve">Постановка задачі про мінімальне остове дерево.</w:t>
      </w:r>
    </w:p>
    <w:p>
      <w:pPr>
        <w:pStyle w:val="Compact"/>
        <w:numPr>
          <w:ilvl w:val="0"/>
          <w:numId w:val="1004"/>
        </w:numPr>
      </w:pPr>
      <w:r>
        <w:t xml:space="preserve">Алгоритм Прима та алгоритм Краскала.</w:t>
      </w:r>
    </w:p>
    <w:p>
      <w:pPr>
        <w:pStyle w:val="Compact"/>
        <w:numPr>
          <w:ilvl w:val="0"/>
          <w:numId w:val="1004"/>
        </w:numPr>
      </w:pPr>
      <w:r>
        <w:t xml:space="preserve">Прийняття рішень в умовах невизначеності та ризику.</w:t>
      </w:r>
    </w:p>
    <w:p>
      <w:pPr>
        <w:pStyle w:val="Compact"/>
        <w:numPr>
          <w:ilvl w:val="0"/>
          <w:numId w:val="1004"/>
        </w:numPr>
      </w:pPr>
      <w:r>
        <w:t xml:space="preserve">Критерії прийняття рішень: Вальда, максимаксний, Гурвіца.</w:t>
      </w:r>
    </w:p>
    <w:p>
      <w:pPr>
        <w:pStyle w:val="Compact"/>
        <w:numPr>
          <w:ilvl w:val="0"/>
          <w:numId w:val="1004"/>
        </w:numPr>
      </w:pPr>
      <w:r>
        <w:t xml:space="preserve">Критерій Севіджа (мінімаксного ризику).</w:t>
      </w:r>
    </w:p>
    <w:p>
      <w:pPr>
        <w:pStyle w:val="Compact"/>
        <w:numPr>
          <w:ilvl w:val="0"/>
          <w:numId w:val="1004"/>
        </w:numPr>
      </w:pPr>
      <w:r>
        <w:t xml:space="preserve">Критерій Лапласа (рівної ймовірності).</w:t>
      </w:r>
    </w:p>
    <w:p>
      <w:pPr>
        <w:pStyle w:val="Compact"/>
        <w:numPr>
          <w:ilvl w:val="0"/>
          <w:numId w:val="1004"/>
        </w:numPr>
      </w:pPr>
      <w:r>
        <w:t xml:space="preserve">Побудова дерева рішень.</w:t>
      </w:r>
    </w:p>
    <w:p>
      <w:pPr>
        <w:pStyle w:val="Compact"/>
        <w:numPr>
          <w:ilvl w:val="0"/>
          <w:numId w:val="1004"/>
        </w:numPr>
      </w:pPr>
      <w:r>
        <w:t xml:space="preserve">Основні поняття теорії ігор.</w:t>
      </w:r>
    </w:p>
    <w:p>
      <w:pPr>
        <w:pStyle w:val="Compact"/>
        <w:numPr>
          <w:ilvl w:val="0"/>
          <w:numId w:val="1004"/>
        </w:numPr>
      </w:pPr>
      <w:r>
        <w:t xml:space="preserve">Класифікація ігор: антагоністичні, безкоаліційні, кооперативні.</w:t>
      </w:r>
    </w:p>
    <w:p>
      <w:pPr>
        <w:pStyle w:val="Compact"/>
        <w:numPr>
          <w:ilvl w:val="0"/>
          <w:numId w:val="1004"/>
        </w:numPr>
      </w:pPr>
      <w:r>
        <w:t xml:space="preserve">Матричні ігри з нульовою сумою.</w:t>
      </w:r>
    </w:p>
    <w:p>
      <w:pPr>
        <w:pStyle w:val="Compact"/>
        <w:numPr>
          <w:ilvl w:val="0"/>
          <w:numId w:val="1004"/>
        </w:numPr>
      </w:pPr>
      <w:r>
        <w:t xml:space="preserve">Поняття сідлової точки та чистої стратегії.</w:t>
      </w:r>
    </w:p>
    <w:p>
      <w:pPr>
        <w:pStyle w:val="Compact"/>
        <w:numPr>
          <w:ilvl w:val="0"/>
          <w:numId w:val="1004"/>
        </w:numPr>
      </w:pPr>
      <w:r>
        <w:t xml:space="preserve">Поняття змішаної стратегії.</w:t>
      </w:r>
    </w:p>
    <w:p>
      <w:pPr>
        <w:pStyle w:val="Compact"/>
        <w:numPr>
          <w:ilvl w:val="0"/>
          <w:numId w:val="1004"/>
        </w:numPr>
      </w:pPr>
      <w:r>
        <w:t xml:space="preserve">Нижня та верхня ціна гри.</w:t>
      </w:r>
    </w:p>
    <w:p>
      <w:pPr>
        <w:pStyle w:val="Compact"/>
        <w:numPr>
          <w:ilvl w:val="0"/>
          <w:numId w:val="1004"/>
        </w:numPr>
      </w:pPr>
      <w:r>
        <w:t xml:space="preserve">Теорема фон Неймана про існування розв’язку матричної гри.</w:t>
      </w:r>
    </w:p>
    <w:p>
      <w:pPr>
        <w:pStyle w:val="Compact"/>
        <w:numPr>
          <w:ilvl w:val="0"/>
          <w:numId w:val="1004"/>
        </w:numPr>
      </w:pPr>
      <w:r>
        <w:t xml:space="preserve">Графічний метод розв’язання ігор 2xN та Mx2.</w:t>
      </w:r>
    </w:p>
    <w:p>
      <w:pPr>
        <w:pStyle w:val="Compact"/>
        <w:numPr>
          <w:ilvl w:val="0"/>
          <w:numId w:val="1004"/>
        </w:numPr>
      </w:pPr>
      <w:r>
        <w:t xml:space="preserve">Зведення матричної гри до задачі лінійного програмування.</w:t>
      </w:r>
    </w:p>
    <w:p>
      <w:pPr>
        <w:pStyle w:val="Compact"/>
        <w:numPr>
          <w:ilvl w:val="0"/>
          <w:numId w:val="1004"/>
        </w:numPr>
      </w:pPr>
      <w:r>
        <w:t xml:space="preserve">Приклади застосування теорії ігор в економіці та техніці.</w:t>
      </w:r>
    </w:p>
    <w:bookmarkEnd w:id="19"/>
    <w:bookmarkStart w:id="20" w:name="навчально-методичне-забезпечення"/>
    <w:p>
      <w:pPr>
        <w:pStyle w:val="Heading2"/>
      </w:pPr>
      <w:r>
        <w:t xml:space="preserve">11. Навчально-методичне забезпечення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Катренко А. В.</w:t>
      </w:r>
      <w:r>
        <w:t xml:space="preserve"> </w:t>
      </w:r>
      <w:r>
        <w:t xml:space="preserve">Дослідження операцій : підручник [3-є вид., стер.]. Львів: «Магнолія – 2006», 2024. 350 с.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Новожилова М. В., Чуб О. І.</w:t>
      </w:r>
      <w:r>
        <w:t xml:space="preserve"> </w:t>
      </w:r>
      <w:r>
        <w:t xml:space="preserve">Методи та засоби прийняття рішень : навч. посіб. / Харків. нац. ун-т міськ. гос-ва ім. О. М. Бекетова. Харків : ХНУМГ ім. О. М. Бекетова, 2024. 115 с.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Анікін В. К., Крилов Є. В., Пасько В. П.</w:t>
      </w:r>
      <w:r>
        <w:t xml:space="preserve"> </w:t>
      </w:r>
      <w:r>
        <w:t xml:space="preserve">Теорія прийняття рішень. Конспект лекцій [Електронний ресурс] : навч. посіб. / КПІ ім. Ігоря Сікорського. Київ : КПІ ім. Ігоря Сікорського, 2023. 134 с.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Малкіна В.М., Зінов’єва О.Г., Мірошниченко М.Ю.</w:t>
      </w:r>
      <w:r>
        <w:t xml:space="preserve"> </w:t>
      </w:r>
      <w:r>
        <w:t xml:space="preserve">Дослідження операцій: навч. посіб. ТДАТУ. Мелітополь : Люкс, 2020. 201 с.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Катренко А. В., Пасічник В. В.</w:t>
      </w:r>
      <w:r>
        <w:t xml:space="preserve"> </w:t>
      </w:r>
      <w:r>
        <w:t xml:space="preserve">Прийняття рішень: теорія та практика : підручник [2-е вид.]. Львів: «Новий світ-2000», 2020. 447 с.</w:t>
      </w:r>
    </w:p>
    <w:bookmarkEnd w:id="20"/>
    <w:bookmarkStart w:id="21" w:name="Xc14ec374926785a34203bf75783057f5344a501"/>
    <w:p>
      <w:pPr>
        <w:pStyle w:val="Heading2"/>
      </w:pPr>
      <w:r>
        <w:t xml:space="preserve">12. Матеріально-технічне та програмне забезпечення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Апаратне забезпечення:</w:t>
      </w:r>
      <w:r>
        <w:t xml:space="preserve"> </w:t>
      </w:r>
      <w:r>
        <w:t xml:space="preserve">ПК, проєктор, доступ до мережі Інтернет.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Програмне забезпечення:</w:t>
      </w:r>
      <w:r>
        <w:t xml:space="preserve"> </w:t>
      </w:r>
      <w:r>
        <w:t xml:space="preserve">Python Anaconda, текстовий редактор, браузер.</w:t>
      </w:r>
    </w:p>
    <w:bookmarkEnd w:id="21"/>
    <w:bookmarkStart w:id="22" w:name="рекомендована-література"/>
    <w:p>
      <w:pPr>
        <w:pStyle w:val="Heading2"/>
      </w:pPr>
      <w:r>
        <w:t xml:space="preserve">13. Рекомендована література</w:t>
      </w:r>
    </w:p>
    <w:p>
      <w:pPr>
        <w:pStyle w:val="FirstParagraph"/>
      </w:pPr>
      <w:r>
        <w:rPr>
          <w:b/>
          <w:bCs/>
        </w:rPr>
        <w:t xml:space="preserve">Основна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Катренко А. В.</w:t>
      </w:r>
      <w:r>
        <w:t xml:space="preserve"> </w:t>
      </w:r>
      <w:r>
        <w:t xml:space="preserve">Дослідження операцій : підручник [3-є вид., стер.]. Львів: «Магнолія – 2006», 2024. 350 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Новожилова М. В., Чуб О. І.</w:t>
      </w:r>
      <w:r>
        <w:t xml:space="preserve"> </w:t>
      </w:r>
      <w:r>
        <w:t xml:space="preserve">Методи та засоби прийняття рішень : навч. посіб. / Харків. нац. ун-т міськ. гос-ва ім. О. М. Бекетова. Харків : ХНУМГ ім. О. М. Бекетова, 2024. 115 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Анікін В. К., Крилов Є. В., Пасько В. П.</w:t>
      </w:r>
      <w:r>
        <w:t xml:space="preserve"> </w:t>
      </w:r>
      <w:r>
        <w:t xml:space="preserve">Теорія прийняття рішень. Конспект лекцій [Електронний ресурс] : навч. посіб. / КПІ ім. Ігоря Сікорського. Київ : КПІ ім. Ігоря Сікорського, 2023. 134 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Малкіна В.М., Зінов’єва О.Г., Мірошниченко М.Ю.</w:t>
      </w:r>
      <w:r>
        <w:t xml:space="preserve"> </w:t>
      </w:r>
      <w:r>
        <w:t xml:space="preserve">Дослідження операцій : навч. посіб. ТДАТУ. Мелітополь : Люкс, 2020. 201 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Катренко А. В., Пасічник В. В.</w:t>
      </w:r>
      <w:r>
        <w:t xml:space="preserve"> </w:t>
      </w:r>
      <w:r>
        <w:t xml:space="preserve">Прийняття рішень: теорія та практика : підручник [2-е вид.]. Львів: «Новий світ-2000», 2020. 447 c.</w:t>
      </w:r>
    </w:p>
    <w:p>
      <w:pPr>
        <w:pStyle w:val="FirstParagraph"/>
      </w:pPr>
      <w:r>
        <w:rPr>
          <w:b/>
          <w:bCs/>
        </w:rPr>
        <w:t xml:space="preserve">Додаткова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Hildebrand R., Poirrier L., Bish D., Moran D.</w:t>
      </w:r>
      <w:r>
        <w:t xml:space="preserve"> </w:t>
      </w:r>
      <w:r>
        <w:t xml:space="preserve">Mathematical programming and operations research: Modeling, algorithms, and complexity examples in Excel and Python [Online]. Under CC-BY-SA license. 2024. 226 p.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Руська Р. В.</w:t>
      </w:r>
      <w:r>
        <w:t xml:space="preserve"> </w:t>
      </w:r>
      <w:r>
        <w:t xml:space="preserve">Конспект лекцій з навчальної дисципліни «Дослідження операцій». Тернопіль, ЗУНУ, 2022. 123 с.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Яровий А.А., Ваховська Л.М., Крилик Л.В.</w:t>
      </w:r>
      <w:r>
        <w:t xml:space="preserve"> </w:t>
      </w:r>
      <w:r>
        <w:t xml:space="preserve">Математичні методи дослідження операцій. Лінійне програмування. Частина 1 : навчальний посібник. Вінниця : ВНТУ, 2020. 86 с.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Коряшкіна Л. С., Ус С. А.</w:t>
      </w:r>
      <w:r>
        <w:t xml:space="preserve"> </w:t>
      </w:r>
      <w:r>
        <w:t xml:space="preserve">Практикум за курсом «Методи оптимізації та дослідження операцій». Частина І. Дослідження операцій: навч. посіб. / М-во освіти і науки України; Нац. техн. ун-т «Дніпровська політехніка». Дніпро : НТУ «ДП», 2020. 182 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Жураковська О. С.</w:t>
      </w:r>
      <w:r>
        <w:t xml:space="preserve"> </w:t>
      </w:r>
      <w:r>
        <w:t xml:space="preserve">Теорія прийняття рішень [Електронний ресурс]: навч. посіб. / КПІ ім. Ігоря Сікорського. Київ: КПІ ім. Ігоря Сікорського, 2020. 99 c.</w:t>
      </w:r>
    </w:p>
    <w:bookmarkEnd w:id="22"/>
    <w:bookmarkStart w:id="23" w:name="інформаційні-ресурси"/>
    <w:p>
      <w:pPr>
        <w:pStyle w:val="Heading2"/>
      </w:pPr>
      <w:r>
        <w:t xml:space="preserve">14. Інформаційні ресурси</w:t>
      </w:r>
    </w:p>
    <w:p>
      <w:pPr>
        <w:pStyle w:val="Compact"/>
        <w:numPr>
          <w:ilvl w:val="0"/>
          <w:numId w:val="1009"/>
        </w:numPr>
      </w:pPr>
      <w:r>
        <w:t xml:space="preserve">Модульне середовище для навчання:</w:t>
      </w:r>
      <w:r>
        <w:t xml:space="preserve"> </w:t>
      </w:r>
      <w:r>
        <w:rPr>
          <w:rStyle w:val="VerbatimChar"/>
        </w:rPr>
        <w:t xml:space="preserve">https://msn.khmnu.km.ua/</w:t>
      </w:r>
    </w:p>
    <w:p>
      <w:pPr>
        <w:pStyle w:val="Compact"/>
        <w:numPr>
          <w:ilvl w:val="0"/>
          <w:numId w:val="1009"/>
        </w:numPr>
      </w:pPr>
      <w:r>
        <w:t xml:space="preserve">Електронна бібліотека університету:</w:t>
      </w:r>
      <w:r>
        <w:t xml:space="preserve"> </w:t>
      </w:r>
      <w:r>
        <w:rPr>
          <w:rStyle w:val="VerbatimChar"/>
        </w:rPr>
        <w:t xml:space="preserve">http://lib.khmnu.edu.ua/</w:t>
      </w:r>
    </w:p>
    <w:p>
      <w:pPr>
        <w:pStyle w:val="Compact"/>
        <w:numPr>
          <w:ilvl w:val="0"/>
          <w:numId w:val="1009"/>
        </w:numPr>
      </w:pPr>
      <w:r>
        <w:t xml:space="preserve">Репозитарій ХНУ:</w:t>
      </w:r>
      <w:r>
        <w:t xml:space="preserve"> </w:t>
      </w:r>
      <w:r>
        <w:rPr>
          <w:rStyle w:val="VerbatimChar"/>
        </w:rPr>
        <w:t xml:space="preserve">https://elar.khmnu.edu.ua/</w:t>
      </w:r>
    </w:p>
    <w:p>
      <w:r>
        <w:pict>
          <v:rect style="width:0;height:1.5pt" o:hralign="center" o:hrstd="t" o:hr="t"/>
        </w:pict>
      </w:r>
    </w:p>
    <w:bookmarkEnd w:id="23"/>
    <w:bookmarkStart w:id="24" w:name="Xe7e42ad6320262fad762b78ea3f0aa9efa8b126"/>
    <w:p>
      <w:pPr>
        <w:pStyle w:val="Heading2"/>
      </w:pPr>
      <w:r>
        <w:t xml:space="preserve">ДОСЛІДЖЕННЯ ОПЕРАЦІЙ ТА ОСНОВИ ТЕОРІЇ ПРИЙНЯТТЯ РІШЕНЬ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Тип дисципліни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Обов’язкова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Рівень вищої освіти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Перший (бакалаврський)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Мова викладання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Українська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Семестр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Другий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Кількість призначених кредитів ЄКТС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Форми здобуття освіти, для яких викладається дисципліна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Очна (денна)</w:t>
            </w:r>
          </w:p>
        </w:tc>
      </w:tr>
    </w:tbl>
    <w:p>
      <w:pPr>
        <w:pStyle w:val="BodyText"/>
      </w:pPr>
      <w:r>
        <w:rPr>
          <w:b/>
          <w:bCs/>
        </w:rPr>
        <w:t xml:space="preserve">Результати навчання.</w:t>
      </w:r>
      <w:r>
        <w:t xml:space="preserve"> </w:t>
      </w:r>
      <w:r>
        <w:t xml:space="preserve">Студент, який успішно завершив вивчення дисципліни, повинен: вміло використовувати понятійний апарат; вміти створювати, аналізувати і використовувати математичні моделі задач дослідження операцій з метою прогнозування і оптимізації процесів, пов’язаних з різними сферами людської діяльності; практично використовувати дослідження операцій в науці, виробництві, управлінні, сфері обслуговування, будівництві тощо. Володіти основною ідеєю, поняттями та методами дослідження операцій.</w:t>
      </w:r>
    </w:p>
    <w:p>
      <w:pPr>
        <w:pStyle w:val="BodyText"/>
      </w:pPr>
      <w:r>
        <w:rPr>
          <w:b/>
          <w:bCs/>
        </w:rPr>
        <w:t xml:space="preserve">Зміст навчальної дисципліни.</w:t>
      </w:r>
      <w:r>
        <w:t xml:space="preserve"> </w:t>
      </w:r>
      <w:r>
        <w:t xml:space="preserve">Основи дослідження операцій та моделі лінійного програмування. Спеціалізовані задачі лінійного та цілочислового програмування. Динамічне програмування та прийняття рішень на графах. Прийняття рішень в умовах невизначеності та теорія ігор.</w:t>
      </w:r>
    </w:p>
    <w:p>
      <w:pPr>
        <w:pStyle w:val="BodyText"/>
      </w:pPr>
      <w:r>
        <w:rPr>
          <w:b/>
          <w:bCs/>
        </w:rPr>
        <w:t xml:space="preserve">Пререквізити:</w:t>
      </w:r>
      <w:r>
        <w:t xml:space="preserve"> </w:t>
      </w:r>
      <w:r>
        <w:t xml:space="preserve">Вища математика, Дискретна математика.</w:t>
      </w:r>
    </w:p>
    <w:p>
      <w:pPr>
        <w:pStyle w:val="BodyText"/>
      </w:pPr>
      <w:r>
        <w:rPr>
          <w:b/>
          <w:bCs/>
        </w:rPr>
        <w:t xml:space="preserve">Постреквізити:</w:t>
      </w:r>
      <w:r>
        <w:t xml:space="preserve"> </w:t>
      </w:r>
      <w:r>
        <w:t xml:space="preserve">Теорія алгоритмів, Методи та системи штучного інтелекту, Інтелектуальний аналіз даних, Технології захисту інформації та кібербезпека, Системне та мережеве програмне забезпечення, Кваліфікаційна робота.</w:t>
      </w:r>
    </w:p>
    <w:p>
      <w:pPr>
        <w:pStyle w:val="BodyText"/>
      </w:pPr>
      <w:r>
        <w:rPr>
          <w:b/>
          <w:bCs/>
        </w:rPr>
        <w:t xml:space="preserve">Запланована навчальна діяльність:</w:t>
      </w:r>
      <w:r>
        <w:t xml:space="preserve"> </w:t>
      </w:r>
      <w:r>
        <w:t xml:space="preserve">лекції – 36 год., лабораторні заняття – 36 год., самостійна робота – 78 год., разом – 150 год. Мінімальний обсяг навчальних занять в одному кредиті ЄКТС навчальної дисципліни для першого (бакалаврського) рівня вищої освіти за денною формою здобуття освіти становить 10 годин на 1 кредит ЄКТС.</w:t>
      </w:r>
    </w:p>
    <w:p>
      <w:pPr>
        <w:pStyle w:val="BodyText"/>
      </w:pPr>
      <w:r>
        <w:rPr>
          <w:b/>
          <w:bCs/>
        </w:rPr>
        <w:t xml:space="preserve">Форми (методи) навчання:</w:t>
      </w:r>
      <w:r>
        <w:t xml:space="preserve"> </w:t>
      </w:r>
      <w:r>
        <w:t xml:space="preserve">лекції (з використанням методів візуалізації, проблемного й інтерактивного навчання); лабораторні заняття (з використанням майстер-класів, інструктування, розв’язування типових і прикладних задач); самостійна робота (опрацювання теоретичного матеріалу, підготовка до виконання лабораторних робіт, виконання індивідуальних завдань).</w:t>
      </w:r>
    </w:p>
    <w:p>
      <w:pPr>
        <w:pStyle w:val="BodyText"/>
      </w:pPr>
      <w:r>
        <w:rPr>
          <w:b/>
          <w:bCs/>
        </w:rPr>
        <w:t xml:space="preserve">Форми оцінювання результатів навчання:</w:t>
      </w:r>
      <w:r>
        <w:t xml:space="preserve"> </w:t>
      </w:r>
      <w:r>
        <w:t xml:space="preserve">усне опитування, захист лабораторних робіт, тестовий контроль, оцінювання індивідуальних завдань, підсумковий контрольний захід.</w:t>
      </w:r>
    </w:p>
    <w:p>
      <w:pPr>
        <w:pStyle w:val="BodyText"/>
      </w:pPr>
      <w:r>
        <w:rPr>
          <w:b/>
          <w:bCs/>
        </w:rPr>
        <w:t xml:space="preserve">Вид семестрового контролю:</w:t>
      </w:r>
      <w:r>
        <w:t xml:space="preserve"> </w:t>
      </w:r>
      <w:r>
        <w:t xml:space="preserve">залік – 2 семестр.</w:t>
      </w:r>
    </w:p>
    <w:p>
      <w:pPr>
        <w:pStyle w:val="BodyText"/>
      </w:pPr>
      <w:r>
        <w:rPr>
          <w:b/>
          <w:bCs/>
        </w:rPr>
        <w:t xml:space="preserve">Навчальні ресурси: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Катренко А. В.</w:t>
      </w:r>
      <w:r>
        <w:t xml:space="preserve"> </w:t>
      </w:r>
      <w:r>
        <w:t xml:space="preserve">Дослідження операцій : підручник. Львів: «Магнолія – 2006», 2024.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Новожилова М. В., Чуб О. І.</w:t>
      </w:r>
      <w:r>
        <w:t xml:space="preserve"> </w:t>
      </w:r>
      <w:r>
        <w:t xml:space="preserve">Методи та засоби прийняття рішень : навч. посіб. Харків : ХНУМГ ім. О. М. Бекетова, 2024.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Анікін В. К., Крилов Є. В., Пасько В. П.</w:t>
      </w:r>
      <w:r>
        <w:t xml:space="preserve"> </w:t>
      </w:r>
      <w:r>
        <w:t xml:space="preserve">Теорія прийняття рішень. Конспект лекцій. Київ : КПІ ім. Ігоря Сікорського, 2023.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Катренко А. В., Пасічник В. В.</w:t>
      </w:r>
      <w:r>
        <w:t xml:space="preserve"> </w:t>
      </w:r>
      <w:r>
        <w:t xml:space="preserve">Прийняття рішень: теорія та практика : підручник. Львів: «Новий світ-2000», 2020.</w:t>
      </w:r>
    </w:p>
    <w:p>
      <w:pPr>
        <w:pStyle w:val="Compact"/>
        <w:numPr>
          <w:ilvl w:val="0"/>
          <w:numId w:val="1010"/>
        </w:numPr>
      </w:pPr>
      <w:r>
        <w:t xml:space="preserve">Модульне середовище для навчання. Доступ до ресурсу:</w:t>
      </w:r>
      <w:r>
        <w:t xml:space="preserve"> </w:t>
      </w:r>
      <w:r>
        <w:rPr>
          <w:rStyle w:val="VerbatimChar"/>
        </w:rPr>
        <w:t xml:space="preserve">https://msn.khmnu.km.ua/</w:t>
      </w:r>
    </w:p>
    <w:p>
      <w:pPr>
        <w:pStyle w:val="Compact"/>
        <w:numPr>
          <w:ilvl w:val="0"/>
          <w:numId w:val="1010"/>
        </w:numPr>
      </w:pPr>
      <w:r>
        <w:t xml:space="preserve">Електронна бібліотека університету. Доступ до ресурсу:</w:t>
      </w:r>
      <w:r>
        <w:t xml:space="preserve"> </w:t>
      </w:r>
      <w:r>
        <w:rPr>
          <w:rStyle w:val="VerbatimChar"/>
        </w:rPr>
        <w:t xml:space="preserve">http://library.khmnu.edu.ua/</w:t>
      </w:r>
    </w:p>
    <w:p>
      <w:pPr>
        <w:pStyle w:val="FirstParagraph"/>
      </w:pPr>
      <w:r>
        <w:rPr>
          <w:b/>
          <w:bCs/>
        </w:rPr>
        <w:t xml:space="preserve">Викладач:</w:t>
      </w:r>
      <w:r>
        <w:t xml:space="preserve"> </w:t>
      </w:r>
      <w:r>
        <w:t xml:space="preserve">доктор філософії, старший викладач кафедри комп’ютерних наук Павло РАДЮК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2025-09-26T14:53:41Z</dcterms:created>
  <dcterms:modified xsi:type="dcterms:W3CDTF">2025-09-26T14:53:41Z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