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emf" ContentType="image/x-emf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Sprawozdanie z ćwiczenia EA3 – silnik uniwersalny</w:t>
      </w:r>
    </w:p>
    <w:p>
      <w:pPr>
        <w:pStyle w:val="Normal"/>
        <w:jc w:val="center"/>
        <w:rPr/>
      </w:pPr>
      <w:r>
        <w:rPr/>
        <w:t>data wykonania ćwiczenia: 11.05.15</w:t>
      </w:r>
    </w:p>
    <w:p>
      <w:pPr>
        <w:pStyle w:val="Normal"/>
        <w:jc w:val="center"/>
        <w:rPr/>
      </w:pPr>
      <w:r>
        <w:rPr/>
        <w:t>grupa D</w:t>
      </w:r>
    </w:p>
    <w:p>
      <w:pPr>
        <w:pStyle w:val="Normal"/>
        <w:jc w:val="center"/>
        <w:rPr/>
      </w:pPr>
      <w:r>
        <w:rPr/>
        <w:t>Maciej Podsiadło, Piotr Merynda, Dawid Legutki, Damian Paciuch, Łukasz Radzio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Charakterystyki mechaniczne</w:t>
      </w:r>
    </w:p>
    <w:p>
      <w:pPr>
        <w:pStyle w:val="Normal"/>
        <w:rPr/>
      </w:pPr>
      <w:r>
        <w:rPr/>
        <w:drawing>
          <wp:inline distT="0" distB="0" distL="0" distR="0">
            <wp:extent cx="7155180" cy="4096385"/>
            <wp:effectExtent l="0" t="0" r="0" b="0"/>
            <wp:docPr id="1" name="Obiek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1.1) Obserwacje: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przy takiej samej prędkości obrotowej można zaobserwować największy moment dla zasilania </w:t>
      </w:r>
      <w:r>
        <w:rPr/>
        <w:t>przemiennego</w:t>
      </w:r>
    </w:p>
    <w:p>
      <w:pPr>
        <w:pStyle w:val="Normal"/>
        <w:numPr>
          <w:ilvl w:val="0"/>
          <w:numId w:val="1"/>
        </w:numPr>
        <w:rPr/>
      </w:pPr>
      <w:r>
        <w:rPr/>
        <w:t>najmniejszy moment osiąga się dla zasilania z regulatora tyrystorowego</w:t>
      </w:r>
    </w:p>
    <w:p>
      <w:pPr>
        <w:pStyle w:val="Normal"/>
        <w:numPr>
          <w:ilvl w:val="0"/>
          <w:numId w:val="1"/>
        </w:numPr>
        <w:rPr/>
      </w:pPr>
      <w:r>
        <w:rPr/>
        <w:t>dla określonej prędkości obrotowej moment przy zasilaniu z regulatora tyrystorowego jest mniejszy niż dla zasilania przemiennym prądem, co jest spowodowane stratami mocy na tyrystorach.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Sprawność w funkcji mocy</w:t>
      </w:r>
    </w:p>
    <w:p>
      <w:pPr>
        <w:pStyle w:val="Normal"/>
        <w:rPr/>
      </w:pPr>
      <w:r>
        <w:rPr/>
        <w:drawing>
          <wp:inline distT="0" distB="0" distL="0" distR="0">
            <wp:extent cx="7271385" cy="3366135"/>
            <wp:effectExtent l="0" t="0" r="0" b="0"/>
            <wp:docPr id="2" name="Obiek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rPr/>
      </w:pPr>
      <w:r>
        <w:rPr/>
        <w:t>Obserwacje:</w:t>
      </w:r>
    </w:p>
    <w:p>
      <w:pPr>
        <w:pStyle w:val="Normal"/>
        <w:numPr>
          <w:ilvl w:val="0"/>
          <w:numId w:val="2"/>
        </w:numPr>
        <w:rPr/>
      </w:pPr>
      <w:r>
        <w:rPr/>
        <w:t>dla prądu przemiennego otrzymaliśmy największą moc na wale</w:t>
      </w:r>
    </w:p>
    <w:p>
      <w:pPr>
        <w:pStyle w:val="Normal"/>
        <w:numPr>
          <w:ilvl w:val="0"/>
          <w:numId w:val="2"/>
        </w:numPr>
        <w:rPr/>
      </w:pPr>
      <w:r>
        <w:rPr/>
        <w:t>przedział sprawności silnika niezależnie od zasilania wynosi (40,70)</w:t>
      </w:r>
    </w:p>
    <w:p>
      <w:pPr>
        <w:pStyle w:val="Normal"/>
        <w:numPr>
          <w:ilvl w:val="0"/>
          <w:numId w:val="2"/>
        </w:numPr>
        <w:rPr/>
      </w:pPr>
      <w:r>
        <w:rPr/>
        <w:t>natomiast to moc na wale zależy od zasilania, największą otrzymuje się dla zasilania przemiennego, a najmniejszą dla regulatora tyrystorowego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Dane pomiarowe oraz wyniki obliczeń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10225" cy="36798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7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pl-PL" w:eastAsia="zh-CN" w:bidi="hi-IN"/>
    </w:rPr>
  </w:style>
  <w:style w:type="character" w:styleId="Znakiwypunktowania">
    <w:name w:val="Znaki wypunktowania"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image" Target="media/image1.em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Charakterystyki mechaniczne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wyprostowane</c:v>
                </c:pt>
              </c:strCache>
            </c:strRef>
          </c:tx>
          <c:spPr>
            <a:solidFill>
              <a:srgbClr val="004586"/>
            </a:solidFill>
            <a:ln w="28800">
              <a:noFill/>
            </a:ln>
          </c:spPr>
          <c:marker>
            <c:size val="7"/>
          </c:marker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/>
                </c:pt>
              </c:strCache>
            </c:strRef>
          </c:cat>
          <c:xVal>
            <c:numRef>
              <c:f>0</c:f>
              <c:numCache>
                <c:formatCode>General</c:formatCode>
                <c:ptCount val="9"/>
                <c:pt idx="0">
                  <c:v>5000</c:v>
                </c:pt>
                <c:pt idx="1">
                  <c:v>4900</c:v>
                </c:pt>
                <c:pt idx="2">
                  <c:v>4800</c:v>
                </c:pt>
                <c:pt idx="3">
                  <c:v>4700</c:v>
                </c:pt>
                <c:pt idx="4">
                  <c:v>4500</c:v>
                </c:pt>
                <c:pt idx="5">
                  <c:v>4300</c:v>
                </c:pt>
                <c:pt idx="6">
                  <c:v>3700</c:v>
                </c:pt>
                <c:pt idx="7">
                  <c:v>3100</c:v>
                </c:pt>
                <c:pt idx="8">
                  <c:v/>
                </c:pt>
              </c:numCache>
            </c:numRef>
          </c:xVal>
          <c:yVal>
            <c:numRef>
              <c:f>1</c:f>
              <c:numCache>
                <c:formatCode>General</c:formatCode>
                <c:ptCount val="9"/>
                <c:pt idx="0">
                  <c:v>0.133294777070064</c:v>
                </c:pt>
                <c:pt idx="1">
                  <c:v>0.13617652411283</c:v>
                </c:pt>
                <c:pt idx="2">
                  <c:v>0.149350318471338</c:v>
                </c:pt>
                <c:pt idx="3">
                  <c:v>0.151743325653883</c:v>
                </c:pt>
                <c:pt idx="4">
                  <c:v>0.162782590233546</c:v>
                </c:pt>
                <c:pt idx="5">
                  <c:v>0.172195822841061</c:v>
                </c:pt>
                <c:pt idx="6">
                  <c:v>0.204881046651747</c:v>
                </c:pt>
                <c:pt idx="7">
                  <c:v>0.236829874666119</c:v>
                </c:pt>
                <c:pt idx="8">
                  <c:v/>
                </c:pt>
              </c:numCache>
            </c:numRef>
          </c:yVal>
        </c:ser>
        <c:ser>
          <c:idx val="1"/>
          <c:order val="1"/>
          <c:tx>
            <c:strRef>
              <c:f>label 3</c:f>
              <c:strCache>
                <c:ptCount val="1"/>
                <c:pt idx="0">
                  <c:v>przemienne</c:v>
                </c:pt>
              </c:strCache>
            </c:strRef>
          </c:tx>
          <c:spPr>
            <a:solidFill>
              <a:srgbClr val="ff420e"/>
            </a:solidFill>
            <a:ln w="28800">
              <a:noFill/>
            </a:ln>
          </c:spPr>
          <c:marker>
            <c:size val="7"/>
          </c:marker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/>
                </c:pt>
              </c:strCache>
            </c:strRef>
          </c:cat>
          <c:xVal>
            <c:numRef>
              <c:f>2</c:f>
              <c:numCache>
                <c:formatCode>General</c:formatCode>
                <c:ptCount val="9"/>
                <c:pt idx="0">
                  <c:v>5000</c:v>
                </c:pt>
                <c:pt idx="1">
                  <c:v>4900</c:v>
                </c:pt>
                <c:pt idx="2">
                  <c:v>4800</c:v>
                </c:pt>
                <c:pt idx="3">
                  <c:v>4600</c:v>
                </c:pt>
                <c:pt idx="4">
                  <c:v>4400</c:v>
                </c:pt>
                <c:pt idx="5">
                  <c:v>4300</c:v>
                </c:pt>
                <c:pt idx="6">
                  <c:v>4100</c:v>
                </c:pt>
                <c:pt idx="7">
                  <c:v>3800</c:v>
                </c:pt>
                <c:pt idx="8">
                  <c:v/>
                </c:pt>
              </c:numCache>
            </c:numRef>
          </c:xVal>
          <c:yVal>
            <c:numRef>
              <c:f>3</c:f>
              <c:numCache>
                <c:formatCode>General</c:formatCode>
                <c:ptCount val="9"/>
                <c:pt idx="0">
                  <c:v>0.131804331210191</c:v>
                </c:pt>
                <c:pt idx="1">
                  <c:v>0.146752372286494</c:v>
                </c:pt>
                <c:pt idx="2">
                  <c:v>0.168300955414013</c:v>
                </c:pt>
                <c:pt idx="3">
                  <c:v>0.190699390750485</c:v>
                </c:pt>
                <c:pt idx="4">
                  <c:v>0.195641430225825</c:v>
                </c:pt>
                <c:pt idx="5">
                  <c:v>0.200588061027996</c:v>
                </c:pt>
                <c:pt idx="6">
                  <c:v>0.210022370669567</c:v>
                </c:pt>
                <c:pt idx="7">
                  <c:v>0.216492792490781</c:v>
                </c:pt>
                <c:pt idx="8">
                  <c:v/>
                </c:pt>
              </c:numCache>
            </c:numRef>
          </c:yVal>
        </c:ser>
        <c:ser>
          <c:idx val="2"/>
          <c:order val="2"/>
          <c:tx>
            <c:strRef>
              <c:f>label 5</c:f>
              <c:strCache>
                <c:ptCount val="1"/>
                <c:pt idx="0">
                  <c:v>reg. tyrystorowy</c:v>
                </c:pt>
              </c:strCache>
            </c:strRef>
          </c:tx>
          <c:spPr>
            <a:solidFill>
              <a:srgbClr val="ffd320"/>
            </a:solidFill>
            <a:ln w="28800">
              <a:noFill/>
            </a:ln>
          </c:spPr>
          <c:marker>
            <c:size val="7"/>
          </c:marker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/>
                </c:pt>
              </c:strCache>
            </c:strRef>
          </c:cat>
          <c:xVal>
            <c:numRef>
              <c:f>4</c:f>
              <c:numCache>
                <c:formatCode>General</c:formatCode>
                <c:ptCount val="9"/>
                <c:pt idx="0">
                  <c:v>5000</c:v>
                </c:pt>
                <c:pt idx="1">
                  <c:v>4900</c:v>
                </c:pt>
                <c:pt idx="2">
                  <c:v>4800</c:v>
                </c:pt>
                <c:pt idx="3">
                  <c:v>4500</c:v>
                </c:pt>
                <c:pt idx="4">
                  <c:v>4300</c:v>
                </c:pt>
                <c:pt idx="5">
                  <c:v>4000</c:v>
                </c:pt>
                <c:pt idx="6">
                  <c:v>3700</c:v>
                </c:pt>
                <c:pt idx="7">
                  <c:v>3200</c:v>
                </c:pt>
                <c:pt idx="8">
                  <c:v>3000</c:v>
                </c:pt>
              </c:numCache>
            </c:numRef>
          </c:xVal>
          <c:yVal>
            <c:numRef>
              <c:f>5</c:f>
              <c:numCache>
                <c:formatCode>General</c:formatCode>
                <c:ptCount val="9"/>
                <c:pt idx="0">
                  <c:v>0.128742038216561</c:v>
                </c:pt>
                <c:pt idx="1">
                  <c:v>0.133446769790719</c:v>
                </c:pt>
                <c:pt idx="2">
                  <c:v>0.151070063694268</c:v>
                </c:pt>
                <c:pt idx="3">
                  <c:v>0.155859872611465</c:v>
                </c:pt>
                <c:pt idx="4">
                  <c:v>0.161912901792327</c:v>
                </c:pt>
                <c:pt idx="5">
                  <c:v>0.173407643312102</c:v>
                </c:pt>
                <c:pt idx="6">
                  <c:v>0.17708624548115</c:v>
                </c:pt>
                <c:pt idx="7">
                  <c:v>0.180675955414013</c:v>
                </c:pt>
                <c:pt idx="8">
                  <c:v>0.110453503184713</c:v>
                </c:pt>
              </c:numCache>
            </c:numRef>
          </c:yVal>
        </c:ser>
        <c:axId val="44535365"/>
        <c:axId val="4580356"/>
      </c:scatterChart>
      <c:valAx>
        <c:axId val="4453536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n [obr/min]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4580356"/>
        <c:crossesAt val="0"/>
      </c:valAx>
      <c:valAx>
        <c:axId val="458035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T [Nm]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44535365"/>
        <c:crossesAt val="0"/>
      </c:valAx>
      <c:spPr>
        <a:noFill/>
        <a:ln>
          <a:solidFill>
            <a:srgbClr val="b3b3b3"/>
          </a:solidFill>
        </a:ln>
      </c:spPr>
    </c:plotArea>
    <c:legend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Sprawność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wyprostowane</c:v>
                </c:pt>
              </c:strCache>
            </c:strRef>
          </c:tx>
          <c:spPr>
            <a:solidFill>
              <a:srgbClr val="004586"/>
            </a:solidFill>
            <a:ln w="28800">
              <a:noFill/>
            </a:ln>
          </c:spPr>
          <c:marker>
            <c:size val="7"/>
          </c:marker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/>
                </c:pt>
              </c:strCache>
            </c:strRef>
          </c:cat>
          <c:xVal>
            <c:numRef>
              <c:f>0</c:f>
              <c:numCache>
                <c:formatCode>General</c:formatCode>
                <c:ptCount val="9"/>
                <c:pt idx="0">
                  <c:v>69.7576</c:v>
                </c:pt>
                <c:pt idx="1">
                  <c:v>69.8404</c:v>
                </c:pt>
                <c:pt idx="2">
                  <c:v>75.0336</c:v>
                </c:pt>
                <c:pt idx="3">
                  <c:v>74.6476</c:v>
                </c:pt>
                <c:pt idx="4">
                  <c:v>76.6706</c:v>
                </c:pt>
                <c:pt idx="5">
                  <c:v>77.4996</c:v>
                </c:pt>
                <c:pt idx="6">
                  <c:v>79.3436</c:v>
                </c:pt>
                <c:pt idx="7">
                  <c:v>76.8434</c:v>
                </c:pt>
                <c:pt idx="8">
                  <c:v/>
                </c:pt>
              </c:numCache>
            </c:numRef>
          </c:xVal>
          <c:yVal>
            <c:numRef>
              <c:f>1</c:f>
              <c:numCache>
                <c:formatCode>General</c:formatCode>
                <c:ptCount val="9"/>
                <c:pt idx="0">
                  <c:v>64.5903703703704</c:v>
                </c:pt>
                <c:pt idx="1">
                  <c:v>63.4912727272727</c:v>
                </c:pt>
                <c:pt idx="2">
                  <c:v>62.528</c:v>
                </c:pt>
                <c:pt idx="3">
                  <c:v>61.1865573770492</c:v>
                </c:pt>
                <c:pt idx="4">
                  <c:v>59.89890625</c:v>
                </c:pt>
                <c:pt idx="5">
                  <c:v>56.1591304347826</c:v>
                </c:pt>
                <c:pt idx="6">
                  <c:v>48.9775308641975</c:v>
                </c:pt>
                <c:pt idx="7">
                  <c:v>41.3136559139785</c:v>
                </c:pt>
                <c:pt idx="8">
                  <c:v/>
                </c:pt>
              </c:numCache>
            </c:numRef>
          </c:yVal>
        </c:ser>
        <c:ser>
          <c:idx val="1"/>
          <c:order val="1"/>
          <c:tx>
            <c:strRef>
              <c:f>label 3</c:f>
              <c:strCache>
                <c:ptCount val="1"/>
                <c:pt idx="0">
                  <c:v>przemienne</c:v>
                </c:pt>
              </c:strCache>
            </c:strRef>
          </c:tx>
          <c:spPr>
            <a:solidFill>
              <a:srgbClr val="ff420e"/>
            </a:solidFill>
            <a:ln w="28800">
              <a:noFill/>
            </a:ln>
          </c:spPr>
          <c:marker>
            <c:size val="7"/>
          </c:marker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/>
                </c:pt>
              </c:strCache>
            </c:strRef>
          </c:cat>
          <c:xVal>
            <c:numRef>
              <c:f>2</c:f>
              <c:numCache>
                <c:formatCode>General</c:formatCode>
                <c:ptCount val="9"/>
                <c:pt idx="0">
                  <c:v>68.9776</c:v>
                </c:pt>
                <c:pt idx="1">
                  <c:v>75.2644</c:v>
                </c:pt>
                <c:pt idx="2">
                  <c:v>84.5544</c:v>
                </c:pt>
                <c:pt idx="3">
                  <c:v>91.8154</c:v>
                </c:pt>
                <c:pt idx="4">
                  <c:v>90.0994</c:v>
                </c:pt>
                <c:pt idx="5">
                  <c:v>90.278</c:v>
                </c:pt>
                <c:pt idx="6">
                  <c:v>90.1276</c:v>
                </c:pt>
                <c:pt idx="7">
                  <c:v>86.1064</c:v>
                </c:pt>
                <c:pt idx="8">
                  <c:v/>
                </c:pt>
              </c:numCache>
            </c:numRef>
          </c:xVal>
          <c:yVal>
            <c:numRef>
              <c:f>3</c:f>
              <c:numCache>
                <c:formatCode>General</c:formatCode>
                <c:ptCount val="9"/>
                <c:pt idx="0">
                  <c:v>61.5871428571429</c:v>
                </c:pt>
                <c:pt idx="1">
                  <c:v>60.6970967741936</c:v>
                </c:pt>
                <c:pt idx="2">
                  <c:v>58.7183333333333</c:v>
                </c:pt>
                <c:pt idx="3">
                  <c:v>57.384625</c:v>
                </c:pt>
                <c:pt idx="4">
                  <c:v>53.6305952380952</c:v>
                </c:pt>
                <c:pt idx="5">
                  <c:v>52.4872093023256</c:v>
                </c:pt>
                <c:pt idx="6">
                  <c:v>50.0708888888889</c:v>
                </c:pt>
                <c:pt idx="7">
                  <c:v>45.3191578947368</c:v>
                </c:pt>
                <c:pt idx="8">
                  <c:v/>
                </c:pt>
              </c:numCache>
            </c:numRef>
          </c:yVal>
        </c:ser>
        <c:ser>
          <c:idx val="2"/>
          <c:order val="2"/>
          <c:tx>
            <c:strRef>
              <c:f>label 5</c:f>
              <c:strCache>
                <c:ptCount val="1"/>
                <c:pt idx="0">
                  <c:v>reg. tyrystorowy</c:v>
                </c:pt>
              </c:strCache>
            </c:strRef>
          </c:tx>
          <c:spPr>
            <a:solidFill>
              <a:srgbClr val="ffd320"/>
            </a:solidFill>
            <a:ln w="28800">
              <a:noFill/>
            </a:ln>
          </c:spPr>
          <c:marker>
            <c:size val="7"/>
          </c:marker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/>
                </c:pt>
              </c:strCache>
            </c:strRef>
          </c:cat>
          <c:xVal>
            <c:numRef>
              <c:f>4</c:f>
              <c:numCache>
                <c:formatCode>General</c:formatCode>
                <c:ptCount val="9"/>
                <c:pt idx="0">
                  <c:v>67.375</c:v>
                </c:pt>
                <c:pt idx="1">
                  <c:v>68.4404</c:v>
                </c:pt>
                <c:pt idx="2">
                  <c:v>75.8976</c:v>
                </c:pt>
                <c:pt idx="3">
                  <c:v>73.41</c:v>
                </c:pt>
                <c:pt idx="4">
                  <c:v>72.8716</c:v>
                </c:pt>
                <c:pt idx="5">
                  <c:v>72.6</c:v>
                </c:pt>
                <c:pt idx="6">
                  <c:v>68.5796</c:v>
                </c:pt>
                <c:pt idx="7">
                  <c:v>60.5144</c:v>
                </c:pt>
                <c:pt idx="8">
                  <c:v>34.6824</c:v>
                </c:pt>
              </c:numCache>
            </c:numRef>
          </c:xVal>
          <c:yVal>
            <c:numRef>
              <c:f>5</c:f>
              <c:numCache>
                <c:formatCode>General</c:formatCode>
                <c:ptCount val="9"/>
                <c:pt idx="0">
                  <c:v>64.7836538461538</c:v>
                </c:pt>
                <c:pt idx="1">
                  <c:v>62.2185454545455</c:v>
                </c:pt>
                <c:pt idx="2">
                  <c:v>60.2361904761905</c:v>
                </c:pt>
                <c:pt idx="3">
                  <c:v>56.4692307692308</c:v>
                </c:pt>
                <c:pt idx="4">
                  <c:v>53.5820588235294</c:v>
                </c:pt>
                <c:pt idx="5">
                  <c:v>51.8571428571429</c:v>
                </c:pt>
                <c:pt idx="6">
                  <c:v>47.6247222222222</c:v>
                </c:pt>
                <c:pt idx="7">
                  <c:v>40.8881081081081</c:v>
                </c:pt>
                <c:pt idx="8">
                  <c:v>22.521038961039</c:v>
                </c:pt>
              </c:numCache>
            </c:numRef>
          </c:yVal>
        </c:ser>
        <c:axId val="69772457"/>
        <c:axId val="99944499"/>
      </c:scatterChart>
      <c:valAx>
        <c:axId val="6977245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Pobsil [W]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9944499"/>
        <c:crossesAt val="0"/>
      </c:valAx>
      <c:valAx>
        <c:axId val="99944499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sprawność [%]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69772457"/>
        <c:crossesAt val="0"/>
      </c:valAx>
      <c:spPr>
        <a:noFill/>
        <a:ln>
          <a:solidFill>
            <a:srgbClr val="b3b3b3"/>
          </a:solidFill>
        </a:ln>
      </c:spPr>
    </c:plotArea>
    <c:legend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otalTime>1398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2015-05-25T08:42:08Z</dcterms:created>
  <dc:language>pl-PL</dc:language>
  <dcterms:modified xsi:type="dcterms:W3CDTF">2015-05-25T09:17:05Z</dcterms:modified>
  <cp:revision>5</cp:revision>
</cp:coreProperties>
</file>