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Candidate key is (Doc no, Patient No,room 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1NF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seperate the entry of every doctor as per individual patient and separate the contact details.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Primary key for contact details is Doc 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2NF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patient details are dependent on patient No , doctor details are dependent on doctor no. and the room type is dependent on room no. so we create a seperate tables.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Bed no is dependent on Doc no , patient no, room no.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Doctor_details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Primary key:Doc 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Doctor_contact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Primary Key: Doc 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1240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Patient_details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Primary key: Patient 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2371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Room_details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Primary key : Room 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866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Appointments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Candidate Key:(Doc No.,Patient No., ROOM No.)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31432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3NF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Charges per hr by doctor is dependent on their designation so we create a seperate table for 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Doctor_details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Primary key:Doc 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Doctor_charges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Primary key:Designation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076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Doctor_contact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Primary key:Doc no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1240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Patient_details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Primary key:Patient No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2371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Room_details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Primary key:Room 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86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Appointments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Candidate Key:(Doc No.,Patient No., ROOM No.)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31432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BCNF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BCNF is the same as 3NF as there are no determinant attributes in the candidate key.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