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595959"/>
          <w:sz w:val="20"/>
          <w:szCs w:val="20"/>
        </w:rPr>
        <w:t xml:space="preserve">Automation &amp; AI Team — Internal</w:t>
      </w:r>
    </w:p>
    <w:p>
      <w:pPr>
        <w:spacing w:after="100" w:before="0"/>
      </w:pPr>
      <w:r>
        <w:rPr>
          <w:b/>
          <w:bCs/>
          <w:color w:val="1F7A5C"/>
          <w:sz w:val="40"/>
          <w:szCs w:val="40"/>
        </w:rPr>
        <w:t xml:space="preserve">Solution Design Document (SDD)</w:t>
      </w:r>
    </w:p>
    <w:p>
      <w:pPr>
        <w:spacing w:after="260"/>
      </w:pPr>
      <w:r>
        <w:rPr>
          <w:i/>
          <w:iCs/>
          <w:color w:val="595959"/>
        </w:rPr>
        <w:t xml:space="preserve">Completed by the assigned developer before development begins. Reviewed by the automation lead and, where required, the business owner and security team.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4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7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7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7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7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2026-07-29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Automation &amp; AI Team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Initial draft template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2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2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Linked questionnaire ref.</w:t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2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Linked feasibility assessment ref.</w:t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2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Author (developer)</w:t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2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Reviewed by</w:t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2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Draft   ☐ Under review   ☐ Approved</w:t>
            </w:r>
          </w:p>
        </w:tc>
      </w:tr>
    </w:tbl>
    <w:p>
      <w:pPr>
        <w:spacing w:after="200" w:before="80"/>
      </w:pPr>
      <w:r>
        <w:rPr>
          <w:i/>
          <w:iCs/>
          <w:color w:val="595959"/>
        </w:rPr>
        <w:t xml:space="preserve">This document translates an approved Automation Feasibility Assessment into a concrete build plan. It is the reference developers build against and support teams use after go-live.</w:t>
      </w:r>
    </w:p>
    <w:p>
      <w:pPr>
        <w:pStyle w:val="Heading1"/>
        <w:pBdr>
          <w:bottom w:val="single" w:color="1F7A5C" w:sz="6" w:space="4"/>
        </w:pBdr>
        <w:spacing w:after="140" w:before="320"/>
      </w:pPr>
      <w:r>
        <w:rPr>
          <w:color w:val="1F7A5C"/>
        </w:rPr>
        <w:t xml:space="preserve">Section 1 — Purpose and scope</w:t>
      </w:r>
    </w:p>
    <w:p>
      <w:pPr>
        <w:spacing w:after="40" w:before="140"/>
      </w:pPr>
      <w:r>
        <w:rPr>
          <w:b/>
          <w:bCs/>
        </w:rPr>
        <w:t xml:space="preserve">1. </w:t>
      </w:r>
      <w:r>
        <w:t xml:space="preserve">Purpose of this solution</w:t>
      </w:r>
    </w:p>
    <w:p>
      <w:pPr>
        <w:pBdr>
          <w:bottom w:val="single" w:color="AAAAAA" w:sz="4" w:space="1"/>
        </w:pBdr>
        <w:spacing w:after="140" w:before="20"/>
      </w:pPr>
      <w:r>
        <w:rPr>
          <w:color w:val="FFFFFF"/>
        </w:rPr>
        <w:t xml:space="preserve"/>
      </w:r>
    </w:p>
    <w:p>
      <w:pPr>
        <w:pStyle w:val="Heading2"/>
        <w:spacing w:after="80" w:before="180"/>
      </w:pPr>
      <w:r>
        <w:rPr>
          <w:color w:val="1A1A1A"/>
        </w:rPr>
        <w:t xml:space="preserve">In scope</w:t>
      </w:r>
    </w:p>
    <w:p>
      <w:pPr>
        <w:spacing w:after="20" w:before="20"/>
      </w:pPr>
      <w:r>
        <w:t xml:space="preserve">•  </w:t>
      </w:r>
      <w:r>
        <w:t xml:space="preserve">[List the specific transaction types, systems, and steps this automation will handle]</w:t>
      </w:r>
    </w:p>
    <w:p>
      <w:pPr>
        <w:spacing w:after="20" w:before="20"/>
      </w:pPr>
      <w:r>
        <w:t xml:space="preserve">•  </w:t>
      </w:r>
      <w:r>
        <w:t xml:space="preserve"/>
      </w:r>
    </w:p>
    <w:p>
      <w:pPr>
        <w:spacing w:after="20" w:before="20"/>
      </w:pPr>
      <w:r>
        <w:t xml:space="preserve">•  </w:t>
      </w:r>
      <w:r>
        <w:t xml:space="preserve"/>
      </w:r>
    </w:p>
    <w:p>
      <w:pPr>
        <w:pStyle w:val="Heading2"/>
        <w:spacing w:after="80" w:before="180"/>
      </w:pPr>
      <w:r>
        <w:rPr>
          <w:color w:val="1A1A1A"/>
        </w:rPr>
        <w:t xml:space="preserve">Out of scope</w:t>
      </w:r>
    </w:p>
    <w:p>
      <w:pPr>
        <w:spacing w:after="20" w:before="20"/>
      </w:pPr>
      <w:r>
        <w:t xml:space="preserve">•  </w:t>
      </w:r>
      <w:r>
        <w:t xml:space="preserve">[List anything explicitly excluded — variants, systems, or exceptions handled manually]</w:t>
      </w:r>
    </w:p>
    <w:p>
      <w:pPr>
        <w:spacing w:after="20" w:before="20"/>
      </w:pPr>
      <w:r>
        <w:t xml:space="preserve">•  </w:t>
      </w:r>
      <w:r>
        <w:t xml:space="preserve"/>
      </w:r>
    </w:p>
    <w:p>
      <w:pPr>
        <w:pStyle w:val="Heading2"/>
        <w:spacing w:after="80" w:before="180"/>
      </w:pPr>
      <w:r>
        <w:rPr>
          <w:color w:val="1A1A1A"/>
        </w:rPr>
        <w:t xml:space="preserve">Assumptions and dependencies</w:t>
      </w:r>
    </w:p>
    <w:p>
      <w:pPr>
        <w:spacing w:after="20" w:before="20"/>
      </w:pPr>
      <w:r>
        <w:t xml:space="preserve">•  </w:t>
      </w:r>
      <w:r>
        <w:t xml:space="preserve">[E.g. system access already provisioned, source data format will not change]</w:t>
      </w:r>
    </w:p>
    <w:p>
      <w:pPr>
        <w:spacing w:after="20" w:before="20"/>
      </w:pPr>
      <w:r>
        <w:t xml:space="preserve">•  </w:t>
      </w:r>
      <w:r>
        <w:t xml:space="preserve"/>
      </w:r>
    </w:p>
    <w:p>
      <w:pPr>
        <w:pStyle w:val="Heading1"/>
        <w:pBdr>
          <w:bottom w:val="single" w:color="1F7A5C" w:sz="6" w:space="4"/>
        </w:pBdr>
        <w:spacing w:after="140" w:before="320"/>
      </w:pPr>
      <w:r>
        <w:rPr>
          <w:color w:val="1F7A5C"/>
        </w:rPr>
        <w:t xml:space="preserve">Section 2 — Process summary</w:t>
      </w:r>
    </w:p>
    <w:p>
      <w:pPr>
        <w:spacing w:after="40" w:before="140"/>
      </w:pPr>
      <w:r>
        <w:rPr>
          <w:b/>
          <w:bCs/>
        </w:rPr>
        <w:t xml:space="preserve">1. </w:t>
      </w:r>
      <w:r>
        <w:t xml:space="preserve">Brief description of the process</w:t>
      </w:r>
    </w:p>
    <w:p>
      <w:pPr>
        <w:pBdr>
          <w:bottom w:val="single" w:color="AAAAAA" w:sz="4" w:space="1"/>
        </w:pBdr>
        <w:spacing w:after="140" w:before="20"/>
      </w:pPr>
      <w:r>
        <w:rPr>
          <w:color w:val="FFFFFF"/>
        </w:rPr>
        <w:t xml:space="preserve"/>
      </w:r>
    </w:p>
    <w:p>
      <w:pPr>
        <w:pBdr>
          <w:bottom w:val="single" w:color="AAAAAA" w:sz="4" w:space="1"/>
        </w:pBdr>
        <w:spacing w:after="140" w:before="20"/>
      </w:pPr>
      <w:r>
        <w:rPr>
          <w:color w:val="FFFFFF"/>
        </w:rPr>
        <w:t xml:space="preserve"/>
      </w:r>
    </w:p>
    <w:p>
      <w:pPr>
        <w:spacing w:after="40" w:before="140"/>
      </w:pPr>
      <w:r>
        <w:rPr>
          <w:b/>
          <w:bCs/>
        </w:rPr>
        <w:t xml:space="preserve">2. </w:t>
      </w:r>
      <w:r>
        <w:t xml:space="preserve">Trigger</w:t>
      </w:r>
    </w:p>
    <w:p>
      <w:pPr>
        <w:spacing w:after="140" w:before="20"/>
      </w:pPr>
      <w:r>
        <w:t xml:space="preserve">☐ </w:t>
      </w:r>
      <w:r>
        <w:t xml:space="preserve">Scheduled</w:t>
      </w:r>
      <w:r>
        <w:t xml:space="preserve">     </w:t>
      </w:r>
      <w:r>
        <w:t xml:space="preserve">☐ </w:t>
      </w:r>
      <w:r>
        <w:t xml:space="preserve">Queue-based</w:t>
      </w:r>
      <w:r>
        <w:t xml:space="preserve">     </w:t>
      </w:r>
      <w:r>
        <w:t xml:space="preserve">☐ </w:t>
      </w:r>
      <w:r>
        <w:t xml:space="preserve">Manual / on-demand</w:t>
      </w:r>
      <w:r>
        <w:t xml:space="preserve">     </w:t>
      </w:r>
      <w:r>
        <w:t xml:space="preserve">☐ </w:t>
      </w:r>
      <w:r>
        <w:t xml:space="preserve">Event-triggered</w:t>
      </w:r>
    </w:p>
    <w:p>
      <w:pPr>
        <w:spacing w:after="40" w:before="140"/>
      </w:pPr>
      <w:r>
        <w:rPr>
          <w:b/>
          <w:bCs/>
        </w:rPr>
        <w:t xml:space="preserve">3. </w:t>
      </w:r>
      <w:r>
        <w:t xml:space="preserve">Frequency and expected volume</w:t>
      </w:r>
    </w:p>
    <w:p>
      <w:pPr>
        <w:pBdr>
          <w:bottom w:val="single" w:color="AAAAAA" w:sz="4" w:space="1"/>
        </w:pBdr>
        <w:spacing w:after="140" w:before="20"/>
      </w:pPr>
      <w:r>
        <w:rPr>
          <w:color w:val="FFFFFF"/>
        </w:rPr>
        <w:t xml:space="preserve"/>
      </w:r>
    </w:p>
    <w:p>
      <w:pPr>
        <w:spacing w:after="40" w:before="140"/>
      </w:pPr>
      <w:r>
        <w:rPr>
          <w:b/>
          <w:bCs/>
        </w:rPr>
        <w:t xml:space="preserve">4. </w:t>
      </w:r>
      <w:r>
        <w:t xml:space="preserve">Execution mode</w:t>
      </w:r>
    </w:p>
    <w:p>
      <w:pPr>
        <w:spacing w:after="140" w:before="20"/>
      </w:pPr>
      <w:r>
        <w:t xml:space="preserve">☐ </w:t>
      </w:r>
      <w:r>
        <w:t xml:space="preserve">Attended</w:t>
      </w:r>
      <w:r>
        <w:t xml:space="preserve">     </w:t>
      </w:r>
      <w:r>
        <w:t xml:space="preserve">☐ </w:t>
      </w:r>
      <w:r>
        <w:t xml:space="preserve">Unattended</w:t>
      </w:r>
      <w:r>
        <w:t xml:space="preserve">     </w:t>
      </w:r>
      <w:r>
        <w:t xml:space="preserve">☐ </w:t>
      </w:r>
      <w:r>
        <w:t xml:space="preserve">Hybrid</w:t>
      </w:r>
    </w:p>
    <w:p>
      <w:pPr>
        <w:pStyle w:val="Heading1"/>
        <w:pBdr>
          <w:bottom w:val="single" w:color="1F7A5C" w:sz="6" w:space="4"/>
        </w:pBdr>
        <w:spacing w:after="140" w:before="320"/>
      </w:pPr>
      <w:r>
        <w:rPr>
          <w:color w:val="1F7A5C"/>
        </w:rPr>
        <w:t xml:space="preserve">Section 3 — Solution architecture</w:t>
      </w:r>
    </w:p>
    <w:p>
      <w:pPr>
        <w:spacing w:after="140" w:before="0"/>
      </w:pPr>
      <w:r>
        <w:rPr>
          <w:i/>
          <w:iCs/>
          <w:color w:val="595959"/>
          <w:sz w:val="20"/>
          <w:szCs w:val="20"/>
        </w:rPr>
        <w:t xml:space="preserve">Insert high-level architecture diagram here (systems, data flow, robot interaction points).</w:t>
      </w:r>
    </w:p>
    <w:p>
      <w:pPr>
        <w:pStyle w:val="Heading2"/>
        <w:spacing w:after="80" w:before="180"/>
      </w:pPr>
      <w:r>
        <w:rPr>
          <w:color w:val="1A1A1A"/>
        </w:rPr>
        <w:t xml:space="preserve">Systems and applications involved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32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7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System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7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7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Access method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7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Credential / asset name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1F7A5C" w:sz="6" w:space="4"/>
        </w:pBdr>
        <w:spacing w:after="140" w:before="320"/>
      </w:pPr>
      <w:r>
        <w:rPr>
          <w:color w:val="1F7A5C"/>
        </w:rPr>
        <w:t xml:space="preserve">Section 4 — Detailed process workflow</w:t>
      </w:r>
    </w:p>
    <w:p>
      <w:pPr>
        <w:spacing w:after="140" w:before="0"/>
      </w:pPr>
      <w:r>
        <w:rPr>
          <w:i/>
          <w:iCs/>
          <w:color w:val="595959"/>
          <w:sz w:val="20"/>
          <w:szCs w:val="20"/>
        </w:rPr>
        <w:t xml:space="preserve">Break the process into discrete steps. Reference the PDD for the business-language version; this is the technical version.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600"/>
        <w:gridCol w:w="1900"/>
        <w:gridCol w:w="27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7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7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7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System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7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Input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7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Decision points / branching logic:</w:t>
      </w:r>
    </w:p>
    <w:p>
      <w:pPr>
        <w:pBdr>
          <w:bottom w:val="single" w:color="AAAAAA" w:sz="4" w:space="1"/>
        </w:pBdr>
        <w:spacing w:after="140" w:before="20"/>
      </w:pPr>
      <w:r>
        <w:rPr>
          <w:color w:val="FFFFFF"/>
        </w:rPr>
        <w:t xml:space="preserve"/>
      </w:r>
    </w:p>
    <w:p>
      <w:pPr>
        <w:pBdr>
          <w:bottom w:val="single" w:color="AAAAAA" w:sz="4" w:space="1"/>
        </w:pBdr>
        <w:spacing w:after="140" w:before="20"/>
      </w:pPr>
      <w:r>
        <w:rPr>
          <w:color w:val="FFFFFF"/>
        </w:rPr>
        <w:t xml:space="preserve"/>
      </w:r>
    </w:p>
    <w:p>
      <w:pPr>
        <w:pStyle w:val="Heading1"/>
        <w:pBdr>
          <w:bottom w:val="single" w:color="1F7A5C" w:sz="6" w:space="4"/>
        </w:pBdr>
        <w:spacing w:after="140" w:before="320"/>
      </w:pPr>
      <w:r>
        <w:rPr>
          <w:color w:val="1F7A5C"/>
        </w:rPr>
        <w:t xml:space="preserve">Section 5 — Reusable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3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7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Component name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7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7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Reused from library?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1F7A5C" w:sz="6" w:space="4"/>
        </w:pBdr>
        <w:spacing w:after="140" w:before="320"/>
      </w:pPr>
      <w:r>
        <w:rPr>
          <w:color w:val="1F7A5C"/>
        </w:rPr>
        <w:t xml:space="preserve">Section 6 — Data and queues</w:t>
      </w:r>
    </w:p>
    <w:p>
      <w:pPr>
        <w:spacing w:after="40" w:before="140"/>
      </w:pPr>
      <w:r>
        <w:rPr>
          <w:b/>
          <w:bCs/>
        </w:rPr>
        <w:t xml:space="preserve">1. </w:t>
      </w:r>
      <w:r>
        <w:t xml:space="preserve">Queue name(s)</w:t>
      </w:r>
    </w:p>
    <w:p>
      <w:pPr>
        <w:pBdr>
          <w:bottom w:val="single" w:color="AAAAAA" w:sz="4" w:space="1"/>
        </w:pBdr>
        <w:spacing w:after="140" w:before="20"/>
      </w:pPr>
      <w:r>
        <w:rPr>
          <w:color w:val="FFFFFF"/>
        </w:rPr>
        <w:t xml:space="preserve"/>
      </w:r>
    </w:p>
    <w:p>
      <w:pPr>
        <w:spacing w:after="40" w:before="140"/>
      </w:pPr>
      <w:r>
        <w:rPr>
          <w:b/>
          <w:bCs/>
        </w:rPr>
        <w:t xml:space="preserve">2. </w:t>
      </w:r>
      <w:r>
        <w:t xml:space="preserve">Queue item structure / schema</w:t>
      </w:r>
    </w:p>
    <w:p>
      <w:pPr>
        <w:pBdr>
          <w:bottom w:val="single" w:color="AAAAAA" w:sz="4" w:space="1"/>
        </w:pBdr>
        <w:spacing w:after="140" w:before="20"/>
      </w:pPr>
      <w:r>
        <w:rPr>
          <w:color w:val="FFFFFF"/>
        </w:rPr>
        <w:t xml:space="preserve"/>
      </w:r>
    </w:p>
    <w:p>
      <w:pPr>
        <w:pBdr>
          <w:bottom w:val="single" w:color="AAAAAA" w:sz="4" w:space="1"/>
        </w:pBdr>
        <w:spacing w:after="140" w:before="20"/>
      </w:pPr>
      <w:r>
        <w:rPr>
          <w:color w:val="FFFFFF"/>
        </w:rPr>
        <w:t xml:space="preserve"/>
      </w:r>
    </w:p>
    <w:p>
      <w:pPr>
        <w:spacing w:after="40" w:before="140"/>
      </w:pPr>
      <w:r>
        <w:rPr>
          <w:b/>
          <w:bCs/>
        </w:rPr>
        <w:t xml:space="preserve">3. </w:t>
      </w:r>
      <w:r>
        <w:t xml:space="preserve">Priority and SLA</w:t>
      </w:r>
    </w:p>
    <w:p>
      <w:pPr>
        <w:pBdr>
          <w:bottom w:val="single" w:color="AAAAAA" w:sz="4" w:space="1"/>
        </w:pBdr>
        <w:spacing w:after="140" w:before="20"/>
      </w:pPr>
      <w:r>
        <w:rPr>
          <w:color w:val="FFFFFF"/>
        </w:rPr>
        <w:t xml:space="preserve"/>
      </w:r>
    </w:p>
    <w:p>
      <w:pPr>
        <w:spacing w:after="40" w:before="140"/>
      </w:pPr>
      <w:r>
        <w:rPr>
          <w:b/>
          <w:bCs/>
        </w:rPr>
        <w:t xml:space="preserve">4. </w:t>
      </w:r>
      <w:r>
        <w:t xml:space="preserve">Sensitive data handled? Masking / retention approach</w:t>
      </w:r>
    </w:p>
    <w:p>
      <w:pPr>
        <w:pBdr>
          <w:bottom w:val="single" w:color="AAAAAA" w:sz="4" w:space="1"/>
        </w:pBdr>
        <w:spacing w:after="140" w:before="20"/>
      </w:pPr>
      <w:r>
        <w:rPr>
          <w:color w:val="FFFFFF"/>
        </w:rPr>
        <w:t xml:space="preserve"/>
      </w:r>
    </w:p>
    <w:p>
      <w:pPr>
        <w:pBdr>
          <w:bottom w:val="single" w:color="AAAAAA" w:sz="4" w:space="1"/>
        </w:pBdr>
        <w:spacing w:after="140" w:before="20"/>
      </w:pPr>
      <w:r>
        <w:rPr>
          <w:color w:val="FFFFFF"/>
        </w:rPr>
        <w:t xml:space="preserve"/>
      </w:r>
    </w:p>
    <w:p>
      <w:pPr>
        <w:pStyle w:val="Heading1"/>
        <w:pBdr>
          <w:bottom w:val="single" w:color="1F7A5C" w:sz="6" w:space="4"/>
        </w:pBdr>
        <w:spacing w:after="140" w:before="320"/>
      </w:pPr>
      <w:r>
        <w:rPr>
          <w:color w:val="1F7A5C"/>
        </w:rPr>
        <w:t xml:space="preserve">Section 7 — Exception handling</w:t>
      </w:r>
    </w:p>
    <w:p>
      <w:pPr>
        <w:pStyle w:val="Heading2"/>
        <w:spacing w:after="80" w:before="180"/>
      </w:pPr>
      <w:r>
        <w:rPr>
          <w:color w:val="1A1A1A"/>
        </w:rPr>
        <w:t xml:space="preserve">Business exceptions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7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Exception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7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Trigger condition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7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Handling action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7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Notification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color w:val="1A1A1A"/>
        </w:rPr>
        <w:t xml:space="preserve">System exceptions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27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7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Exception type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7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Retry strategy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7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Escalation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1F7A5C" w:sz="6" w:space="4"/>
        </w:pBdr>
        <w:spacing w:after="140" w:before="320"/>
      </w:pPr>
      <w:r>
        <w:rPr>
          <w:color w:val="1F7A5C"/>
        </w:rPr>
        <w:t xml:space="preserve">Section 8 —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7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7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7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7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 / location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1F7A5C" w:sz="6" w:space="4"/>
        </w:pBdr>
        <w:spacing w:after="140" w:before="320"/>
      </w:pPr>
      <w:r>
        <w:rPr>
          <w:color w:val="1F7A5C"/>
        </w:rPr>
        <w:t xml:space="preserve">Section 9 — Environments and credentials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2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7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Environment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7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Orchestrator folder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7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Assets / credentials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7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Robot / machine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1F7A5C" w:sz="6" w:space="4"/>
        </w:pBdr>
        <w:spacing w:after="140" w:before="320"/>
      </w:pPr>
      <w:r>
        <w:rPr>
          <w:color w:val="1F7A5C"/>
        </w:rPr>
        <w:t xml:space="preserve">Section 10 — Security and compliance</w:t>
      </w:r>
    </w:p>
    <w:p>
      <w:pPr>
        <w:spacing w:after="40" w:before="140"/>
      </w:pPr>
      <w:r>
        <w:rPr>
          <w:b/>
          <w:bCs/>
        </w:rPr>
        <w:t xml:space="preserve">1. </w:t>
      </w:r>
      <w:r>
        <w:t xml:space="preserve">Data classification</w:t>
      </w:r>
    </w:p>
    <w:p>
      <w:pPr>
        <w:spacing w:after="140" w:before="20"/>
      </w:pPr>
      <w:r>
        <w:t xml:space="preserve">☐ </w:t>
      </w:r>
      <w:r>
        <w:t xml:space="preserve">Public</w:t>
      </w:r>
      <w:r>
        <w:t xml:space="preserve">     </w:t>
      </w:r>
      <w:r>
        <w:t xml:space="preserve">☐ </w:t>
      </w:r>
      <w:r>
        <w:t xml:space="preserve">Internal</w:t>
      </w:r>
      <w:r>
        <w:t xml:space="preserve">     </w:t>
      </w:r>
      <w:r>
        <w:t xml:space="preserve">☐ </w:t>
      </w:r>
      <w:r>
        <w:t xml:space="preserve">Confidential</w:t>
      </w:r>
      <w:r>
        <w:t xml:space="preserve">     </w:t>
      </w:r>
      <w:r>
        <w:t xml:space="preserve">☐ </w:t>
      </w:r>
      <w:r>
        <w:t xml:space="preserve">Regulated / PII</w:t>
      </w:r>
    </w:p>
    <w:p>
      <w:pPr>
        <w:spacing w:after="40" w:before="140"/>
      </w:pPr>
      <w:r>
        <w:rPr>
          <w:b/>
          <w:bCs/>
        </w:rPr>
        <w:t xml:space="preserve">2. </w:t>
      </w:r>
      <w:r>
        <w:t xml:space="preserve">Credential vaulting confirmed?</w:t>
      </w:r>
    </w:p>
    <w:p>
      <w:pPr>
        <w:spacing w:after="140" w:before="20"/>
      </w:pPr>
      <w:r>
        <w:t xml:space="preserve">☐ </w:t>
      </w:r>
      <w:r>
        <w:t xml:space="preserve">Yes — Orchestrator asset/vault</w:t>
      </w:r>
      <w:r>
        <w:t xml:space="preserve">     </w:t>
      </w:r>
      <w:r>
        <w:t xml:space="preserve">☐ </w:t>
      </w:r>
      <w:r>
        <w:t xml:space="preserve">No — flag before go-live</w:t>
      </w:r>
    </w:p>
    <w:p>
      <w:pPr>
        <w:spacing w:after="40" w:before="140"/>
      </w:pPr>
      <w:r>
        <w:rPr>
          <w:b/>
          <w:bCs/>
        </w:rPr>
        <w:t xml:space="preserve">3. </w:t>
      </w:r>
      <w:r>
        <w:t xml:space="preserve">Compliance or legal considerations (recap from feasibility assessment)</w:t>
      </w:r>
    </w:p>
    <w:p>
      <w:pPr>
        <w:pBdr>
          <w:bottom w:val="single" w:color="AAAAAA" w:sz="4" w:space="1"/>
        </w:pBdr>
        <w:spacing w:after="140" w:before="20"/>
      </w:pPr>
      <w:r>
        <w:rPr>
          <w:color w:val="FFFFFF"/>
        </w:rPr>
        <w:t xml:space="preserve"/>
      </w:r>
    </w:p>
    <w:p>
      <w:pPr>
        <w:pBdr>
          <w:bottom w:val="single" w:color="AAAAAA" w:sz="4" w:space="1"/>
        </w:pBdr>
        <w:spacing w:after="140" w:before="20"/>
      </w:pPr>
      <w:r>
        <w:rPr>
          <w:color w:val="FFFFFF"/>
        </w:rPr>
        <w:t xml:space="preserve"/>
      </w:r>
    </w:p>
    <w:p>
      <w:pPr>
        <w:pStyle w:val="Heading1"/>
        <w:pBdr>
          <w:bottom w:val="single" w:color="1F7A5C" w:sz="6" w:space="4"/>
        </w:pBdr>
        <w:spacing w:after="140" w:before="320"/>
      </w:pPr>
      <w:r>
        <w:rPr>
          <w:color w:val="1F7A5C"/>
        </w:rPr>
        <w:t xml:space="preserve">Section 11 — Logging and monitoring</w:t>
      </w:r>
    </w:p>
    <w:p>
      <w:pPr>
        <w:spacing w:after="40" w:before="140"/>
      </w:pPr>
      <w:r>
        <w:rPr>
          <w:b/>
          <w:bCs/>
        </w:rPr>
        <w:t xml:space="preserve">1. </w:t>
      </w:r>
      <w:r>
        <w:t xml:space="preserve">Logging level</w:t>
      </w:r>
    </w:p>
    <w:p>
      <w:pPr>
        <w:spacing w:after="140" w:before="20"/>
      </w:pPr>
      <w:r>
        <w:t xml:space="preserve">☐ </w:t>
      </w:r>
      <w:r>
        <w:t xml:space="preserve">Business only</w:t>
      </w:r>
      <w:r>
        <w:t xml:space="preserve">     </w:t>
      </w:r>
      <w:r>
        <w:t xml:space="preserve">☐ </w:t>
      </w:r>
      <w:r>
        <w:t xml:space="preserve">Technical only</w:t>
      </w:r>
      <w:r>
        <w:t xml:space="preserve">     </w:t>
      </w:r>
      <w:r>
        <w:t xml:space="preserve">☐ </w:t>
      </w:r>
      <w:r>
        <w:t xml:space="preserve">Business + technical</w:t>
      </w:r>
    </w:p>
    <w:p>
      <w:pPr>
        <w:spacing w:after="40" w:before="140"/>
      </w:pPr>
      <w:r>
        <w:rPr>
          <w:b/>
          <w:bCs/>
        </w:rPr>
        <w:t xml:space="preserve">2. </w:t>
      </w:r>
      <w:r>
        <w:t xml:space="preserve">Log storage location</w:t>
      </w:r>
    </w:p>
    <w:p>
      <w:pPr>
        <w:pBdr>
          <w:bottom w:val="single" w:color="AAAAAA" w:sz="4" w:space="1"/>
        </w:pBdr>
        <w:spacing w:after="140" w:before="20"/>
      </w:pPr>
      <w:r>
        <w:rPr>
          <w:color w:val="FFFFFF"/>
        </w:rPr>
        <w:t xml:space="preserve"/>
      </w:r>
    </w:p>
    <w:p>
      <w:pPr>
        <w:spacing w:after="40" w:before="140"/>
      </w:pPr>
      <w:r>
        <w:rPr>
          <w:b/>
          <w:bCs/>
        </w:rPr>
        <w:t xml:space="preserve">3. </w:t>
      </w:r>
      <w:r>
        <w:t xml:space="preserve">Alerting / monitoring approach</w:t>
      </w:r>
    </w:p>
    <w:p>
      <w:pPr>
        <w:pBdr>
          <w:bottom w:val="single" w:color="AAAAAA" w:sz="4" w:space="1"/>
        </w:pBdr>
        <w:spacing w:after="140" w:before="20"/>
      </w:pPr>
      <w:r>
        <w:rPr>
          <w:color w:val="FFFFFF"/>
        </w:rPr>
        <w:t xml:space="preserve"/>
      </w:r>
    </w:p>
    <w:p>
      <w:pPr>
        <w:spacing w:after="40" w:before="140"/>
      </w:pPr>
      <w:r>
        <w:rPr>
          <w:b/>
          <w:bCs/>
        </w:rPr>
        <w:t xml:space="preserve">4. </w:t>
      </w:r>
      <w:r>
        <w:t xml:space="preserve">KPIs to track post go-live</w:t>
      </w:r>
    </w:p>
    <w:p>
      <w:pPr>
        <w:pBdr>
          <w:bottom w:val="single" w:color="AAAAAA" w:sz="4" w:space="1"/>
        </w:pBdr>
        <w:spacing w:after="140" w:before="20"/>
      </w:pPr>
      <w:r>
        <w:rPr>
          <w:color w:val="FFFFFF"/>
        </w:rPr>
        <w:t xml:space="preserve"/>
      </w:r>
    </w:p>
    <w:p>
      <w:pPr>
        <w:pStyle w:val="Heading1"/>
        <w:pBdr>
          <w:bottom w:val="single" w:color="1F7A5C" w:sz="6" w:space="4"/>
        </w:pBdr>
        <w:spacing w:after="140" w:before="320"/>
      </w:pPr>
      <w:r>
        <w:rPr>
          <w:color w:val="1F7A5C"/>
        </w:rPr>
        <w:t xml:space="preserve">Section 12 — Testing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9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7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7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7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40"/>
      </w:pPr>
      <w:r>
        <w:rPr>
          <w:b/>
          <w:bCs/>
        </w:rPr>
        <w:t xml:space="preserve">1. </w:t>
      </w:r>
      <w:r>
        <w:t xml:space="preserve">UAT sign-off required from</w:t>
      </w:r>
    </w:p>
    <w:p>
      <w:pPr>
        <w:pBdr>
          <w:bottom w:val="single" w:color="AAAAAA" w:sz="4" w:space="1"/>
        </w:pBdr>
        <w:spacing w:after="140" w:before="20"/>
      </w:pPr>
      <w:r>
        <w:rPr>
          <w:color w:val="FFFFFF"/>
        </w:rPr>
        <w:t xml:space="preserve"/>
      </w:r>
    </w:p>
    <w:p>
      <w:pPr>
        <w:pStyle w:val="Heading1"/>
        <w:pBdr>
          <w:bottom w:val="single" w:color="1F7A5C" w:sz="6" w:space="4"/>
        </w:pBdr>
        <w:spacing w:after="140" w:before="320"/>
      </w:pPr>
      <w:r>
        <w:rPr>
          <w:color w:val="1F7A5C"/>
        </w:rPr>
        <w:t xml:space="preserve">Section 13 — Deployment and rollback plan</w:t>
      </w:r>
    </w:p>
    <w:p>
      <w:pPr>
        <w:spacing w:after="40" w:before="140"/>
      </w:pPr>
      <w:r>
        <w:rPr>
          <w:b/>
          <w:bCs/>
        </w:rPr>
        <w:t xml:space="preserve">1. </w:t>
      </w:r>
      <w:r>
        <w:t xml:space="preserve">Deployment steps / sequence</w:t>
      </w:r>
    </w:p>
    <w:p>
      <w:pPr>
        <w:pBdr>
          <w:bottom w:val="single" w:color="AAAAAA" w:sz="4" w:space="1"/>
        </w:pBdr>
        <w:spacing w:after="140" w:before="20"/>
      </w:pPr>
      <w:r>
        <w:rPr>
          <w:color w:val="FFFFFF"/>
        </w:rPr>
        <w:t xml:space="preserve"/>
      </w:r>
    </w:p>
    <w:p>
      <w:pPr>
        <w:pBdr>
          <w:bottom w:val="single" w:color="AAAAAA" w:sz="4" w:space="1"/>
        </w:pBdr>
        <w:spacing w:after="140" w:before="20"/>
      </w:pPr>
      <w:r>
        <w:rPr>
          <w:color w:val="FFFFFF"/>
        </w:rPr>
        <w:t xml:space="preserve"/>
      </w:r>
    </w:p>
    <w:p>
      <w:pPr>
        <w:spacing w:after="40" w:before="140"/>
      </w:pPr>
      <w:r>
        <w:rPr>
          <w:b/>
          <w:bCs/>
        </w:rPr>
        <w:t xml:space="preserve">2. </w:t>
      </w:r>
      <w:r>
        <w:t xml:space="preserve">Planned go-live date</w:t>
      </w:r>
    </w:p>
    <w:p>
      <w:pPr>
        <w:pBdr>
          <w:bottom w:val="single" w:color="AAAAAA" w:sz="4" w:space="1"/>
        </w:pBdr>
        <w:spacing w:after="140" w:before="20"/>
      </w:pPr>
      <w:r>
        <w:rPr>
          <w:color w:val="FFFFFF"/>
        </w:rPr>
        <w:t xml:space="preserve"/>
      </w:r>
    </w:p>
    <w:p>
      <w:pPr>
        <w:spacing w:after="40" w:before="140"/>
      </w:pPr>
      <w:r>
        <w:rPr>
          <w:b/>
          <w:bCs/>
        </w:rPr>
        <w:t xml:space="preserve">3. </w:t>
      </w:r>
      <w:r>
        <w:t xml:space="preserve">Hypercare period</w:t>
      </w:r>
    </w:p>
    <w:p>
      <w:pPr>
        <w:pBdr>
          <w:bottom w:val="single" w:color="AAAAAA" w:sz="4" w:space="1"/>
        </w:pBdr>
        <w:spacing w:after="140" w:before="20"/>
      </w:pPr>
      <w:r>
        <w:rPr>
          <w:color w:val="FFFFFF"/>
        </w:rPr>
        <w:t xml:space="preserve"/>
      </w:r>
    </w:p>
    <w:p>
      <w:pPr>
        <w:spacing w:after="40" w:before="140"/>
      </w:pPr>
      <w:r>
        <w:rPr>
          <w:b/>
          <w:bCs/>
        </w:rPr>
        <w:t xml:space="preserve">4. </w:t>
      </w:r>
      <w:r>
        <w:t xml:space="preserve">Rollback plan if issues arise</w:t>
      </w:r>
    </w:p>
    <w:p>
      <w:pPr>
        <w:pBdr>
          <w:bottom w:val="single" w:color="AAAAAA" w:sz="4" w:space="1"/>
        </w:pBdr>
        <w:spacing w:after="140" w:before="20"/>
      </w:pPr>
      <w:r>
        <w:rPr>
          <w:color w:val="FFFFFF"/>
        </w:rPr>
        <w:t xml:space="preserve"/>
      </w:r>
    </w:p>
    <w:p>
      <w:pPr>
        <w:pBdr>
          <w:bottom w:val="single" w:color="AAAAAA" w:sz="4" w:space="1"/>
        </w:pBdr>
        <w:spacing w:after="140" w:before="20"/>
      </w:pPr>
      <w:r>
        <w:rPr>
          <w:color w:val="FFFFFF"/>
        </w:rPr>
        <w:t xml:space="preserve"/>
      </w:r>
    </w:p>
    <w:p>
      <w:pPr>
        <w:pStyle w:val="Heading1"/>
        <w:pBdr>
          <w:bottom w:val="single" w:color="1F7A5C" w:sz="6" w:space="4"/>
        </w:pBdr>
        <w:spacing w:after="140" w:before="320"/>
      </w:pPr>
      <w:r>
        <w:rPr>
          <w:color w:val="1F7A5C"/>
        </w:rPr>
        <w:t xml:space="preserve">Section 14 — Support and maintenance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7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7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7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Process owner (business)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Automation support contact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Escalation contact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40"/>
      </w:pPr>
      <w:r>
        <w:rPr>
          <w:b/>
          <w:bCs/>
        </w:rPr>
        <w:t xml:space="preserve">1. </w:t>
      </w:r>
      <w:r>
        <w:t xml:space="preserve">Maintenance schedule / review cadence</w:t>
      </w:r>
    </w:p>
    <w:p>
      <w:pPr>
        <w:pBdr>
          <w:bottom w:val="single" w:color="AAAAAA" w:sz="4" w:space="1"/>
        </w:pBdr>
        <w:spacing w:after="140" w:before="20"/>
      </w:pPr>
      <w:r>
        <w:rPr>
          <w:color w:val="FFFFFF"/>
        </w:rPr>
        <w:t xml:space="preserve"/>
      </w:r>
    </w:p>
    <w:p>
      <w:pPr>
        <w:pStyle w:val="Heading1"/>
        <w:pBdr>
          <w:bottom w:val="single" w:color="1F7A5C" w:sz="6" w:space="4"/>
        </w:pBdr>
        <w:spacing w:after="140" w:before="320"/>
      </w:pPr>
      <w:r>
        <w:rPr>
          <w:color w:val="1F7A5C"/>
        </w:rPr>
        <w:t xml:space="preserve">Section 15 — Sign-off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13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7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7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7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7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Automation lead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Business owner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Security (if required)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Bdr>
          <w:top w:val="single" w:color="CCCCCC" w:sz="4" w:space="8"/>
        </w:pBdr>
        <w:spacing w:after="0" w:before="300"/>
      </w:pPr>
      <w:r>
        <w:rPr>
          <w:i/>
          <w:iCs/>
          <w:color w:val="595959"/>
          <w:sz w:val="20"/>
          <w:szCs w:val="20"/>
        </w:rPr>
        <w:t xml:space="preserve">On sign-off, this document becomes the reference build spec. Any material change during development should be versioned above, not edited silently.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Confidential — Automation &amp; AI Team Only   |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595959"/>
        <w:sz w:val="16"/>
        <w:szCs w:val="16"/>
      </w:rPr>
      <w:t xml:space="preserve">Solution Design Document —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2026-07-29T11:54:51.503Z</dcterms:created>
  <dcterms:modified xsi:type="dcterms:W3CDTF">2026-07-29T11:54:51.520Z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