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595959"/>
          <w:sz w:val="20"/>
          <w:szCs w:val="20"/>
        </w:rPr>
        <w:t xml:space="preserve">Automation &amp; AI Team — Internal</w:t>
      </w:r>
    </w:p>
    <w:p>
      <w:pPr>
        <w:spacing w:after="100" w:before="0"/>
      </w:pPr>
      <w:r>
        <w:rPr>
          <w:b/>
          <w:bCs/>
          <w:color w:val="B36B00"/>
          <w:sz w:val="40"/>
          <w:szCs w:val="40"/>
        </w:rPr>
        <w:t xml:space="preserve">Coding Standards &amp; Best Practices</w:t>
      </w:r>
    </w:p>
    <w:p>
      <w:pPr>
        <w:spacing w:after="260"/>
      </w:pPr>
      <w:r>
        <w:rPr>
          <w:i/>
          <w:iCs/>
          <w:color w:val="595959"/>
        </w:rPr>
        <w:t xml:space="preserve">Applies to all UiPath development. Reviewed against this standard at code review and again at production readiness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4000"/>
      </w:tblGrid>
      <w:tr>
        <w:tc>
          <w:tcPr>
            <w:tcBorders>
              <w:top w:val="none" w:color="FFFFFF" w:sz="0"/>
              <w:left w:val="none" w:color="FFFFFF" w:sz="0"/>
              <w:bottom w:val="none" w:color="FFFFFF" w:sz="0"/>
              <w:right w:val="none" w:color="FFFFFF" w:sz="0"/>
            </w:tcBorders>
            <w:shd w:fill="B36B00" w:val="clear"/>
            <w:tcMar>
              <w:top w:type="dxa" w:w="80"/>
              <w:left w:type="dxa" w:w="120"/>
              <w:bottom w:type="dxa" w:w="80"/>
              <w:right w:type="dxa" w:w="120"/>
            </w:tcMar>
            <w:vAlign w:val="center"/>
          </w:tcPr>
          <w:p>
            <w:r>
              <w:rPr>
                <w:b/>
                <w:bCs/>
                <w:color w:val="FFFFFF"/>
                <w:sz w:val="18"/>
                <w:szCs w:val="18"/>
              </w:rPr>
              <w:t xml:space="preserve">Version</w:t>
            </w:r>
          </w:p>
        </w:tc>
        <w:tc>
          <w:tcPr>
            <w:tcBorders>
              <w:top w:val="none" w:color="FFFFFF" w:sz="0"/>
              <w:left w:val="none" w:color="FFFFFF" w:sz="0"/>
              <w:bottom w:val="none" w:color="FFFFFF" w:sz="0"/>
              <w:right w:val="none" w:color="FFFFFF" w:sz="0"/>
            </w:tcBorders>
            <w:shd w:fill="B36B00" w:val="clear"/>
            <w:tcMar>
              <w:top w:type="dxa" w:w="80"/>
              <w:left w:type="dxa" w:w="120"/>
              <w:bottom w:type="dxa" w:w="80"/>
              <w:right w:type="dxa" w:w="120"/>
            </w:tcMar>
            <w:vAlign w:val="center"/>
          </w:tcPr>
          <w:p>
            <w:r>
              <w:rPr>
                <w:b/>
                <w:bCs/>
                <w:color w:val="FFFFFF"/>
                <w:sz w:val="18"/>
                <w:szCs w:val="18"/>
              </w:rPr>
              <w:t xml:space="preserve">Date</w:t>
            </w:r>
          </w:p>
        </w:tc>
        <w:tc>
          <w:tcPr>
            <w:tcBorders>
              <w:top w:val="none" w:color="FFFFFF" w:sz="0"/>
              <w:left w:val="none" w:color="FFFFFF" w:sz="0"/>
              <w:bottom w:val="none" w:color="FFFFFF" w:sz="0"/>
              <w:right w:val="none" w:color="FFFFFF" w:sz="0"/>
            </w:tcBorders>
            <w:shd w:fill="B36B00" w:val="clear"/>
            <w:tcMar>
              <w:top w:type="dxa" w:w="80"/>
              <w:left w:type="dxa" w:w="120"/>
              <w:bottom w:type="dxa" w:w="80"/>
              <w:right w:type="dxa" w:w="120"/>
            </w:tcMar>
            <w:vAlign w:val="center"/>
          </w:tcPr>
          <w:p>
            <w:r>
              <w:rPr>
                <w:b/>
                <w:bCs/>
                <w:color w:val="FFFFFF"/>
                <w:sz w:val="18"/>
                <w:szCs w:val="18"/>
              </w:rPr>
              <w:t xml:space="preserve">Author</w:t>
            </w:r>
          </w:p>
        </w:tc>
        <w:tc>
          <w:tcPr>
            <w:tcBorders>
              <w:top w:val="none" w:color="FFFFFF" w:sz="0"/>
              <w:left w:val="none" w:color="FFFFFF" w:sz="0"/>
              <w:bottom w:val="none" w:color="FFFFFF" w:sz="0"/>
              <w:right w:val="none" w:color="FFFFFF" w:sz="0"/>
            </w:tcBorders>
            <w:shd w:fill="B36B00" w:val="clear"/>
            <w:tcMar>
              <w:top w:type="dxa" w:w="80"/>
              <w:left w:type="dxa" w:w="120"/>
              <w:bottom w:type="dxa" w:w="80"/>
              <w:right w:type="dxa" w:w="120"/>
            </w:tcMar>
            <w:vAlign w:val="center"/>
          </w:tcPr>
          <w:p>
            <w:r>
              <w:rPr>
                <w:b/>
                <w:bCs/>
                <w:color w:val="FFFFFF"/>
                <w:sz w:val="18"/>
                <w:szCs w:val="18"/>
              </w:rPr>
              <w:t xml:space="preserve">Change description</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18"/>
                <w:szCs w:val="18"/>
              </w:rPr>
              <w:t xml:space="preserve">0.1</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18"/>
                <w:szCs w:val="18"/>
              </w:rPr>
              <w:t xml:space="preserve">2026-07-29</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18"/>
                <w:szCs w:val="18"/>
              </w:rPr>
              <w:t xml:space="preserve">Automation &amp; AI Team</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18"/>
                <w:szCs w:val="18"/>
              </w:rPr>
              <w:t xml:space="preserve">Initial draft template</w:t>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18"/>
                <w:szCs w:val="18"/>
              </w:rPr>
              <w:t xml:space="preserve"/>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18"/>
                <w:szCs w:val="18"/>
              </w:rPr>
              <w:t xml:space="preserve"/>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18"/>
                <w:szCs w:val="18"/>
              </w:rPr>
              <w:t xml:space="preserve"/>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18"/>
                <w:szCs w:val="18"/>
              </w:rPr>
              <w:t xml:space="preserve"/>
            </w:r>
          </w:p>
        </w:tc>
      </w:tr>
      <w:tr>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18"/>
                <w:szCs w:val="18"/>
              </w:rPr>
              <w:t xml:space="preserve"/>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18"/>
                <w:szCs w:val="18"/>
              </w:rPr>
              <w:t xml:space="preserve"/>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18"/>
                <w:szCs w:val="18"/>
              </w:rPr>
              <w:t xml:space="preserve"/>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18"/>
                <w:szCs w:val="18"/>
              </w:rPr>
              <w:t xml:space="preserve"/>
            </w:r>
          </w:p>
        </w:tc>
      </w:tr>
    </w:tbl>
    <w:p>
      <w:pPr>
        <w:spacing w:after="0" w:before="2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tcBorders>
              <w:top w:val="none" w:color="FFFFFF" w:sz="0"/>
              <w:left w:val="none" w:color="FFFFFF" w:sz="0"/>
              <w:bottom w:val="none" w:color="FFFFFF" w:sz="0"/>
              <w:right w:val="none" w:color="FFFFFF" w:sz="0"/>
            </w:tcBorders>
            <w:shd w:fill="FBF0E1" w:val="clear"/>
            <w:tcMar>
              <w:top w:type="dxa" w:w="80"/>
              <w:left w:type="dxa" w:w="120"/>
              <w:bottom w:type="dxa" w:w="80"/>
              <w:right w:type="dxa" w:w="120"/>
            </w:tcMar>
            <w:vAlign w:val="center"/>
          </w:tcPr>
          <w:p>
            <w:r>
              <w:rPr>
                <w:b/>
                <w:bCs/>
                <w:sz w:val="20"/>
                <w:szCs w:val="20"/>
              </w:rPr>
              <w:t xml:space="preserve">Applies to</w:t>
            </w:r>
          </w:p>
        </w:tc>
        <w:tc>
          <w:tcPr>
            <w:tcW w:type="dxa" w:w="69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20"/>
                <w:szCs w:val="20"/>
              </w:rPr>
              <w:t xml:space="preserve">All UiPath RPA development</w:t>
            </w:r>
          </w:p>
        </w:tc>
      </w:tr>
      <w:tr>
        <w:tc>
          <w:tcPr>
            <w:tcW w:type="dxa" w:w="2600"/>
            <w:tcBorders>
              <w:top w:val="none" w:color="FFFFFF" w:sz="0"/>
              <w:left w:val="none" w:color="FFFFFF" w:sz="0"/>
              <w:bottom w:val="none" w:color="FFFFFF" w:sz="0"/>
              <w:right w:val="none" w:color="FFFFFF" w:sz="0"/>
            </w:tcBorders>
            <w:shd w:fill="FBF0E1" w:val="clear"/>
            <w:tcMar>
              <w:top w:type="dxa" w:w="80"/>
              <w:left w:type="dxa" w:w="120"/>
              <w:bottom w:type="dxa" w:w="80"/>
              <w:right w:type="dxa" w:w="120"/>
            </w:tcMar>
            <w:vAlign w:val="center"/>
          </w:tcPr>
          <w:p>
            <w:r>
              <w:rPr>
                <w:b/>
                <w:bCs/>
                <w:sz w:val="20"/>
                <w:szCs w:val="20"/>
              </w:rPr>
              <w:t xml:space="preserve">Owner</w:t>
            </w:r>
          </w:p>
        </w:tc>
        <w:tc>
          <w:tcPr>
            <w:tcW w:type="dxa" w:w="69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20"/>
                <w:szCs w:val="20"/>
              </w:rPr>
              <w:t xml:space="preserve">Automation &amp; AI Team Lead</w:t>
            </w:r>
          </w:p>
        </w:tc>
      </w:tr>
      <w:tr>
        <w:tc>
          <w:tcPr>
            <w:tcW w:type="dxa" w:w="2600"/>
            <w:tcBorders>
              <w:top w:val="none" w:color="FFFFFF" w:sz="0"/>
              <w:left w:val="none" w:color="FFFFFF" w:sz="0"/>
              <w:bottom w:val="none" w:color="FFFFFF" w:sz="0"/>
              <w:right w:val="none" w:color="FFFFFF" w:sz="0"/>
            </w:tcBorders>
            <w:shd w:fill="FBF0E1" w:val="clear"/>
            <w:tcMar>
              <w:top w:type="dxa" w:w="80"/>
              <w:left w:type="dxa" w:w="120"/>
              <w:bottom w:type="dxa" w:w="80"/>
              <w:right w:type="dxa" w:w="120"/>
            </w:tcMar>
            <w:vAlign w:val="center"/>
          </w:tcPr>
          <w:p>
            <w:r>
              <w:rPr>
                <w:b/>
                <w:bCs/>
                <w:sz w:val="20"/>
                <w:szCs w:val="20"/>
              </w:rPr>
              <w:t xml:space="preserve">Review cadence</w:t>
            </w:r>
          </w:p>
        </w:tc>
        <w:tc>
          <w:tcPr>
            <w:tcW w:type="dxa" w:w="69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r>
              <w:rPr>
                <w:b w:val="false"/>
                <w:bCs w:val="false"/>
                <w:sz w:val="20"/>
                <w:szCs w:val="20"/>
              </w:rPr>
              <w:t xml:space="preserve">Every 6 months, or on major UiPath version upgrade</w:t>
            </w:r>
          </w:p>
        </w:tc>
      </w:tr>
    </w:tbl>
    <w:p>
      <w:pPr>
        <w:pStyle w:val="Heading1"/>
        <w:pBdr>
          <w:bottom w:val="single" w:color="B36B00" w:sz="6" w:space="4"/>
        </w:pBdr>
        <w:spacing w:after="140" w:before="320"/>
      </w:pPr>
      <w:r>
        <w:rPr>
          <w:color w:val="B36B00"/>
        </w:rPr>
        <w:t xml:space="preserve">1. Purpose and scope</w:t>
      </w:r>
    </w:p>
    <w:p>
      <w:pPr>
        <w:spacing w:after="200" w:before="80"/>
      </w:pPr>
      <w:r>
        <w:rPr>
          <w:i/>
          <w:iCs/>
          <w:color w:val="595959"/>
        </w:rPr>
        <w:t xml:space="preserve">These standards exist so that any developer on the team can pick up, support, or extend another developer's automation without archaeology. They are mandatory for new development and should be applied opportunistically when touching legacy bots.</w:t>
      </w:r>
    </w:p>
    <w:p>
      <w:pPr>
        <w:pStyle w:val="Heading1"/>
        <w:pBdr>
          <w:bottom w:val="single" w:color="B36B00" w:sz="6" w:space="4"/>
        </w:pBdr>
        <w:spacing w:after="140" w:before="320"/>
      </w:pPr>
      <w:r>
        <w:rPr>
          <w:color w:val="B36B00"/>
        </w:rPr>
        <w:t xml:space="preserve">2. Naming conventions</w:t>
      </w:r>
    </w:p>
    <w:p>
      <w:pPr>
        <w:pStyle w:val="Heading2"/>
        <w:spacing w:after="80" w:before="180"/>
      </w:pPr>
      <w:r>
        <w:rPr>
          <w:color w:val="1A1A1A"/>
        </w:rPr>
        <w:t xml:space="preserve">Projects and workflows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c>
          <w:tcPr>
            <w:tcBorders>
              <w:top w:val="single" w:color="CCCCCC" w:sz="4"/>
              <w:left w:val="single" w:color="CCCCCC" w:sz="4"/>
              <w:bottom w:val="single" w:color="CCCCCC" w:sz="4"/>
              <w:right w:val="single" w:color="CCCCCC" w:sz="4"/>
            </w:tcBorders>
            <w:shd w:fill="B36B00" w:val="clear"/>
            <w:tcMar>
              <w:top w:type="dxa" w:w="80"/>
              <w:left w:type="dxa" w:w="100"/>
              <w:bottom w:type="dxa" w:w="80"/>
              <w:right w:type="dxa" w:w="100"/>
            </w:tcMar>
            <w:vAlign w:val="center"/>
          </w:tcPr>
          <w:p>
            <w:r>
              <w:rPr>
                <w:b/>
                <w:bCs/>
                <w:color w:val="FFFFFF"/>
                <w:sz w:val="17"/>
                <w:szCs w:val="17"/>
              </w:rPr>
              <w:t xml:space="preserve">Element</w:t>
            </w:r>
          </w:p>
        </w:tc>
        <w:tc>
          <w:tcPr>
            <w:tcBorders>
              <w:top w:val="single" w:color="CCCCCC" w:sz="4"/>
              <w:left w:val="single" w:color="CCCCCC" w:sz="4"/>
              <w:bottom w:val="single" w:color="CCCCCC" w:sz="4"/>
              <w:right w:val="single" w:color="CCCCCC" w:sz="4"/>
            </w:tcBorders>
            <w:shd w:fill="B36B00" w:val="clear"/>
            <w:tcMar>
              <w:top w:type="dxa" w:w="80"/>
              <w:left w:type="dxa" w:w="100"/>
              <w:bottom w:type="dxa" w:w="80"/>
              <w:right w:type="dxa" w:w="100"/>
            </w:tcMar>
            <w:vAlign w:val="center"/>
          </w:tcPr>
          <w:p>
            <w:r>
              <w:rPr>
                <w:b/>
                <w:bCs/>
                <w:color w:val="FFFFFF"/>
                <w:sz w:val="17"/>
                <w:szCs w:val="17"/>
              </w:rPr>
              <w:t xml:space="preserve">Convention</w:t>
            </w:r>
          </w:p>
        </w:tc>
        <w:tc>
          <w:tcPr>
            <w:tcBorders>
              <w:top w:val="single" w:color="CCCCCC" w:sz="4"/>
              <w:left w:val="single" w:color="CCCCCC" w:sz="4"/>
              <w:bottom w:val="single" w:color="CCCCCC" w:sz="4"/>
              <w:right w:val="single" w:color="CCCCCC" w:sz="4"/>
            </w:tcBorders>
            <w:shd w:fill="B36B00" w:val="clear"/>
            <w:tcMar>
              <w:top w:type="dxa" w:w="80"/>
              <w:left w:type="dxa" w:w="100"/>
              <w:bottom w:type="dxa" w:w="80"/>
              <w:right w:type="dxa" w:w="100"/>
            </w:tcMar>
            <w:vAlign w:val="center"/>
          </w:tcPr>
          <w:p>
            <w:r>
              <w:rPr>
                <w:b/>
                <w:bCs/>
                <w:color w:val="FFFFFF"/>
                <w:sz w:val="17"/>
                <w:szCs w:val="17"/>
              </w:rPr>
              <w:t xml:space="preserve">Example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Project name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[Dept]_[ProcessName]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FIN_InvoiceMatching</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Workflow file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Verb_Noun.xaml</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Validate_Invoice.xaml</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Variable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camelCase, typed prefix optional</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invoiceTotal, dtInvoices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Argument</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in_/out_/io_ prefix + PascalCase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in_InvoiceId, out_IsValid</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Queue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[Dept]_[Process]_Queue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FIN_InvoiceMatching_Queue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Asset</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[Dept]_[Process]_[Purpose]</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FIN_InvoiceMatching_SAPCred</w:t>
            </w:r>
          </w:p>
        </w:tc>
      </w:tr>
    </w:tbl>
    <w:p>
      <w:pPr>
        <w:spacing w:after="140" w:before="0"/>
      </w:pPr>
      <w:r>
        <w:rPr>
          <w:i/>
          <w:iCs/>
          <w:color w:val="595959"/>
          <w:sz w:val="20"/>
          <w:szCs w:val="20"/>
        </w:rPr>
        <w:t xml:space="preserve">Adjust the department/team prefix convention to match your Orchestrator folder structure — the pattern matters more than the exact prefix.</w:t>
      </w:r>
    </w:p>
    <w:p>
      <w:pPr>
        <w:pStyle w:val="Heading1"/>
        <w:pBdr>
          <w:bottom w:val="single" w:color="B36B00" w:sz="6" w:space="4"/>
        </w:pBdr>
        <w:spacing w:after="140" w:before="320"/>
      </w:pPr>
      <w:r>
        <w:rPr>
          <w:color w:val="B36B00"/>
        </w:rPr>
        <w:t xml:space="preserve">3. Project structure</w:t>
      </w:r>
    </w:p>
    <w:p>
      <w:pPr>
        <w:spacing w:after="20" w:before="20"/>
      </w:pPr>
      <w:r>
        <w:t xml:space="preserve">•  </w:t>
      </w:r>
      <w:r>
        <w:t xml:space="preserve">Use REFramework as the default template for unattended processes with more than a handful of steps.</w:t>
      </w:r>
    </w:p>
    <w:p>
      <w:pPr>
        <w:spacing w:after="20" w:before="20"/>
      </w:pPr>
      <w:r>
        <w:t xml:space="preserve">•  </w:t>
      </w:r>
      <w:r>
        <w:t xml:space="preserve">Use Dispatcher/Performer when the same process runs against a queue with independently retryable items.</w:t>
      </w:r>
    </w:p>
    <w:p>
      <w:pPr>
        <w:spacing w:after="20" w:before="20"/>
      </w:pPr>
      <w:r>
        <w:t xml:space="preserve">•  </w:t>
      </w:r>
      <w:r>
        <w:t xml:space="preserve">Linear/simple sequences are acceptable only for short, low-risk, attended processes — confirm with the automation lead first.</w:t>
      </w:r>
    </w:p>
    <w:p>
      <w:pPr>
        <w:spacing w:after="20" w:before="20"/>
      </w:pPr>
      <w:r>
        <w:t xml:space="preserve">•  </w:t>
      </w:r>
      <w:r>
        <w:t xml:space="preserve">Keep one responsibility per workflow file. If a .xaml exceeds ~200 activities or scrolls past 2-3 screens, split it.</w:t>
      </w:r>
    </w:p>
    <w:p>
      <w:pPr>
        <w:spacing w:after="20" w:before="20"/>
      </w:pPr>
      <w:r>
        <w:t xml:space="preserve">•  </w:t>
      </w:r>
      <w:r>
        <w:t xml:space="preserve">Store reusable logic (login, error handling, common validations) in a shared library project, not copy-pasted across processes.</w:t>
      </w:r>
    </w:p>
    <w:p>
      <w:pPr>
        <w:pStyle w:val="Heading1"/>
        <w:pBdr>
          <w:bottom w:val="single" w:color="B36B00" w:sz="6" w:space="4"/>
        </w:pBdr>
        <w:spacing w:after="140" w:before="320"/>
      </w:pPr>
      <w:r>
        <w:rPr>
          <w:color w:val="B36B00"/>
        </w:rPr>
        <w:t xml:space="preserve">4. Exception handling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Borders>
              <w:top w:val="single" w:color="CCCCCC" w:sz="4"/>
              <w:left w:val="single" w:color="CCCCCC" w:sz="4"/>
              <w:bottom w:val="single" w:color="CCCCCC" w:sz="4"/>
              <w:right w:val="single" w:color="CCCCCC" w:sz="4"/>
            </w:tcBorders>
            <w:shd w:fill="B36B00" w:val="clear"/>
            <w:tcMar>
              <w:top w:type="dxa" w:w="80"/>
              <w:left w:type="dxa" w:w="100"/>
              <w:bottom w:type="dxa" w:w="80"/>
              <w:right w:type="dxa" w:w="100"/>
            </w:tcMar>
            <w:vAlign w:val="center"/>
          </w:tcPr>
          <w:p>
            <w:r>
              <w:rPr>
                <w:b/>
                <w:bCs/>
                <w:color w:val="FFFFFF"/>
                <w:sz w:val="17"/>
                <w:szCs w:val="17"/>
              </w:rPr>
              <w:t xml:space="preserve">Exception type</w:t>
            </w:r>
          </w:p>
        </w:tc>
        <w:tc>
          <w:tcPr>
            <w:tcBorders>
              <w:top w:val="single" w:color="CCCCCC" w:sz="4"/>
              <w:left w:val="single" w:color="CCCCCC" w:sz="4"/>
              <w:bottom w:val="single" w:color="CCCCCC" w:sz="4"/>
              <w:right w:val="single" w:color="CCCCCC" w:sz="4"/>
            </w:tcBorders>
            <w:shd w:fill="B36B00" w:val="clear"/>
            <w:tcMar>
              <w:top w:type="dxa" w:w="80"/>
              <w:left w:type="dxa" w:w="100"/>
              <w:bottom w:type="dxa" w:w="80"/>
              <w:right w:type="dxa" w:w="100"/>
            </w:tcMar>
            <w:vAlign w:val="center"/>
          </w:tcPr>
          <w:p>
            <w:r>
              <w:rPr>
                <w:b/>
                <w:bCs/>
                <w:color w:val="FFFFFF"/>
                <w:sz w:val="17"/>
                <w:szCs w:val="17"/>
              </w:rPr>
              <w:t xml:space="preserve">Standard handling</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Business exception</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Caught explicitly, logged, added to exception queue item with reason; process continues to next item</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System exception</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Caught by REFramework global handler, retried per queue retry policy, escalated after max retries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Unhandled exception</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Never allowed to reach production — every Try/Catch must resolve to a business or system exception type</w:t>
            </w:r>
          </w:p>
        </w:tc>
      </w:tr>
    </w:tbl>
    <w:p>
      <w:pPr>
        <w:spacing w:after="20" w:before="20"/>
      </w:pPr>
      <w:r>
        <w:t xml:space="preserve">•  </w:t>
      </w:r>
      <w:r>
        <w:t xml:space="preserve">Never use empty Catch blocks. Every catch logs at minimum the exception type, message, and transaction/queue item reference.</w:t>
      </w:r>
    </w:p>
    <w:p>
      <w:pPr>
        <w:spacing w:after="20" w:before="20"/>
      </w:pPr>
      <w:r>
        <w:t xml:space="preserve">•  </w:t>
      </w:r>
      <w:r>
        <w:t xml:space="preserve">Business exceptions must not be retried automatically — only system exceptions go through retry logic.</w:t>
      </w:r>
    </w:p>
    <w:p>
      <w:pPr>
        <w:pStyle w:val="Heading1"/>
        <w:pBdr>
          <w:bottom w:val="single" w:color="B36B00" w:sz="6" w:space="4"/>
        </w:pBdr>
        <w:spacing w:after="140" w:before="320"/>
      </w:pPr>
      <w:r>
        <w:rPr>
          <w:color w:val="B36B00"/>
        </w:rPr>
        <w:t xml:space="preserve">5. Logging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Borders>
              <w:top w:val="single" w:color="CCCCCC" w:sz="4"/>
              <w:left w:val="single" w:color="CCCCCC" w:sz="4"/>
              <w:bottom w:val="single" w:color="CCCCCC" w:sz="4"/>
              <w:right w:val="single" w:color="CCCCCC" w:sz="4"/>
            </w:tcBorders>
            <w:shd w:fill="B36B00" w:val="clear"/>
            <w:tcMar>
              <w:top w:type="dxa" w:w="80"/>
              <w:left w:type="dxa" w:w="100"/>
              <w:bottom w:type="dxa" w:w="80"/>
              <w:right w:type="dxa" w:w="100"/>
            </w:tcMar>
            <w:vAlign w:val="center"/>
          </w:tcPr>
          <w:p>
            <w:r>
              <w:rPr>
                <w:b/>
                <w:bCs/>
                <w:color w:val="FFFFFF"/>
                <w:sz w:val="17"/>
                <w:szCs w:val="17"/>
              </w:rPr>
              <w:t xml:space="preserve">Level</w:t>
            </w:r>
          </w:p>
        </w:tc>
        <w:tc>
          <w:tcPr>
            <w:tcBorders>
              <w:top w:val="single" w:color="CCCCCC" w:sz="4"/>
              <w:left w:val="single" w:color="CCCCCC" w:sz="4"/>
              <w:bottom w:val="single" w:color="CCCCCC" w:sz="4"/>
              <w:right w:val="single" w:color="CCCCCC" w:sz="4"/>
            </w:tcBorders>
            <w:shd w:fill="B36B00" w:val="clear"/>
            <w:tcMar>
              <w:top w:type="dxa" w:w="80"/>
              <w:left w:type="dxa" w:w="100"/>
              <w:bottom w:type="dxa" w:w="80"/>
              <w:right w:type="dxa" w:w="100"/>
            </w:tcMar>
            <w:vAlign w:val="center"/>
          </w:tcPr>
          <w:p>
            <w:r>
              <w:rPr>
                <w:b/>
                <w:bCs/>
                <w:color w:val="FFFFFF"/>
                <w:sz w:val="17"/>
                <w:szCs w:val="17"/>
              </w:rPr>
              <w:t xml:space="preserve">When to use</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Info</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Start/end of transaction, major decision points</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Warn</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Recoverable issue, retry occurring, business exception raised</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Error</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System exception, unhandled failure, process aborted</w:t>
            </w:r>
          </w:p>
        </w:tc>
      </w:tr>
      <w:tr>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Trace/Debug</w:t>
            </w:r>
          </w:p>
        </w:tc>
        <w:tc>
          <w:tcPr>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r>
              <w:rPr>
                <w:sz w:val="18"/>
                <w:szCs w:val="18"/>
              </w:rPr>
              <w:t xml:space="preserve">Development only — must be disabled or filtered out before production deployment</w:t>
            </w:r>
          </w:p>
        </w:tc>
      </w:tr>
    </w:tbl>
    <w:p>
      <w:pPr>
        <w:spacing w:after="20" w:before="20"/>
      </w:pPr>
      <w:r>
        <w:t xml:space="preserve">•  </w:t>
      </w:r>
      <w:r>
        <w:t xml:space="preserve">Every log message includes the transaction/queue item identifier where applicable — never log a bare "error occurred".</w:t>
      </w:r>
    </w:p>
    <w:p>
      <w:pPr>
        <w:spacing w:after="20" w:before="20"/>
      </w:pPr>
      <w:r>
        <w:t xml:space="preserve">•  </w:t>
      </w:r>
      <w:r>
        <w:t xml:space="preserve">Do not log credentials, personal data, or full document contents. Log identifiers and status, not payloads.</w:t>
      </w:r>
    </w:p>
    <w:p>
      <w:pPr>
        <w:pStyle w:val="Heading1"/>
        <w:pBdr>
          <w:bottom w:val="single" w:color="B36B00" w:sz="6" w:space="4"/>
        </w:pBdr>
        <w:spacing w:after="140" w:before="320"/>
      </w:pPr>
      <w:r>
        <w:rPr>
          <w:color w:val="B36B00"/>
        </w:rPr>
        <w:t xml:space="preserve">6. Selectors and UI automation</w:t>
      </w:r>
    </w:p>
    <w:p>
      <w:pPr>
        <w:spacing w:after="20" w:before="20"/>
      </w:pPr>
      <w:r>
        <w:t xml:space="preserve">•  </w:t>
      </w:r>
      <w:r>
        <w:t xml:space="preserve">Prefer API/backend calls over UI automation wherever one exists for the target system.</w:t>
      </w:r>
    </w:p>
    <w:p>
      <w:pPr>
        <w:spacing w:after="20" w:before="20"/>
      </w:pPr>
      <w:r>
        <w:t xml:space="preserve">•  </w:t>
      </w:r>
      <w:r>
        <w:t xml:space="preserve">Use dynamic selectors (partial match, wildcards) over hardcoded exact-match selectors where the UI text may change (e.g. row counts, dates).</w:t>
      </w:r>
    </w:p>
    <w:p>
      <w:pPr>
        <w:spacing w:after="20" w:before="20"/>
      </w:pPr>
      <w:r>
        <w:t xml:space="preserve">•  </w:t>
      </w:r>
      <w:r>
        <w:t xml:space="preserve">Never use hardcoded Delay/Sleep activities as the primary wait strategy — use element-appear or condition-based waits.</w:t>
      </w:r>
    </w:p>
    <w:p>
      <w:pPr>
        <w:spacing w:after="20" w:before="20"/>
      </w:pPr>
      <w:r>
        <w:t xml:space="preserve">•  </w:t>
      </w:r>
      <w:r>
        <w:t xml:space="preserve">Avoid coordinate-based clicks; use selector-based or UI Automation activities.</w:t>
      </w:r>
    </w:p>
    <w:p>
      <w:pPr>
        <w:pStyle w:val="Heading1"/>
        <w:pBdr>
          <w:bottom w:val="single" w:color="B36B00" w:sz="6" w:space="4"/>
        </w:pBdr>
        <w:spacing w:after="140" w:before="320"/>
      </w:pPr>
      <w:r>
        <w:rPr>
          <w:color w:val="B36B00"/>
        </w:rPr>
        <w:t xml:space="preserve">7. Reusability</w:t>
      </w:r>
    </w:p>
    <w:p>
      <w:pPr>
        <w:spacing w:after="20" w:before="20"/>
      </w:pPr>
      <w:r>
        <w:t xml:space="preserve">•  </w:t>
      </w:r>
      <w:r>
        <w:t xml:space="preserve">Before building a new component, check the shared library for an existing one (login handlers, email senders, common validations, Excel/SAP wrappers).</w:t>
      </w:r>
    </w:p>
    <w:p>
      <w:pPr>
        <w:spacing w:after="20" w:before="20"/>
      </w:pPr>
      <w:r>
        <w:t xml:space="preserve">•  </w:t>
      </w:r>
      <w:r>
        <w:t xml:space="preserve">New components with reuse potential across 2+ processes should be added to the shared library, not left in a single project.</w:t>
      </w:r>
    </w:p>
    <w:p>
      <w:pPr>
        <w:pStyle w:val="Heading1"/>
        <w:pBdr>
          <w:bottom w:val="single" w:color="B36B00" w:sz="6" w:space="4"/>
        </w:pBdr>
        <w:spacing w:after="140" w:before="320"/>
      </w:pPr>
      <w:r>
        <w:rPr>
          <w:color w:val="B36B00"/>
        </w:rPr>
        <w:t xml:space="preserve">8. Version control</w:t>
      </w:r>
    </w:p>
    <w:p>
      <w:pPr>
        <w:spacing w:after="20" w:before="20"/>
      </w:pPr>
      <w:r>
        <w:t xml:space="preserve">•  </w:t>
      </w:r>
      <w:r>
        <w:t xml:space="preserve">All projects are committed to the team's source control repository — no project should exist only on a developer's local machine or Orchestrator.</w:t>
      </w:r>
    </w:p>
    <w:p>
      <w:pPr>
        <w:spacing w:after="20" w:before="20"/>
      </w:pPr>
      <w:r>
        <w:t xml:space="preserve">•  </w:t>
      </w:r>
      <w:r>
        <w:t xml:space="preserve">Commit messages describe the change and reference the related process/ticket, not just "fix" or "update".</w:t>
      </w:r>
    </w:p>
    <w:p>
      <w:pPr>
        <w:spacing w:after="20" w:before="20"/>
      </w:pPr>
      <w:r>
        <w:t xml:space="preserve">•  </w:t>
      </w:r>
      <w:r>
        <w:t xml:space="preserve">Use feature branches for anything beyond a trivial fix; merge to main only after review.</w:t>
      </w:r>
    </w:p>
    <w:p>
      <w:pPr>
        <w:pStyle w:val="Heading1"/>
        <w:pBdr>
          <w:bottom w:val="single" w:color="B36B00" w:sz="6" w:space="4"/>
        </w:pBdr>
        <w:spacing w:after="140" w:before="320"/>
      </w:pPr>
      <w:r>
        <w:rPr>
          <w:color w:val="B36B00"/>
        </w:rPr>
        <w:t xml:space="preserve">9. Security practices</w:t>
      </w:r>
    </w:p>
    <w:p>
      <w:pPr>
        <w:spacing w:after="20" w:before="20"/>
      </w:pPr>
      <w:r>
        <w:t xml:space="preserve">•  </w:t>
      </w:r>
      <w:r>
        <w:t xml:space="preserve">No credentials, API keys, or connection strings hardcoded in workflows, config files, or committed to source control.</w:t>
      </w:r>
    </w:p>
    <w:p>
      <w:pPr>
        <w:spacing w:after="20" w:before="20"/>
      </w:pPr>
      <w:r>
        <w:t xml:space="preserve">•  </w:t>
      </w:r>
      <w:r>
        <w:t xml:space="preserve">All credentials stored in Orchestrator assets or an approved credential vault.</w:t>
      </w:r>
    </w:p>
    <w:p>
      <w:pPr>
        <w:spacing w:after="20" w:before="20"/>
      </w:pPr>
      <w:r>
        <w:t xml:space="preserve">•  </w:t>
      </w:r>
      <w:r>
        <w:t xml:space="preserve">Any process handling regulated data must have completed a security review before production deployment (see Feasibility Assessment, Section 4).</w:t>
      </w:r>
    </w:p>
    <w:p>
      <w:pPr>
        <w:pStyle w:val="Heading1"/>
        <w:pBdr>
          <w:bottom w:val="single" w:color="B36B00" w:sz="6" w:space="4"/>
        </w:pBdr>
        <w:spacing w:after="140" w:before="320"/>
      </w:pPr>
      <w:r>
        <w:rPr>
          <w:color w:val="B36B00"/>
        </w:rPr>
        <w:t xml:space="preserve">10. Performance and maintainability</w:t>
      </w:r>
    </w:p>
    <w:p>
      <w:pPr>
        <w:spacing w:after="20" w:before="20"/>
      </w:pPr>
      <w:r>
        <w:t xml:space="preserve">•  </w:t>
      </w:r>
      <w:r>
        <w:t xml:space="preserve">Externalize configurable values (paths, thresholds, email addresses) to a config file or Orchestrator asset — not hardcoded in the workflow.</w:t>
      </w:r>
    </w:p>
    <w:p>
      <w:pPr>
        <w:spacing w:after="20" w:before="20"/>
      </w:pPr>
      <w:r>
        <w:t xml:space="preserve">•  </w:t>
      </w:r>
      <w:r>
        <w:t xml:space="preserve">Close applications, files, and connections explicitly at the end of each transaction, even on the exception path.</w:t>
      </w:r>
    </w:p>
    <w:p>
      <w:pPr>
        <w:spacing w:after="20" w:before="20"/>
      </w:pPr>
      <w:r>
        <w:t xml:space="preserve">•  </w:t>
      </w:r>
      <w:r>
        <w:t xml:space="preserve">Avoid unnecessary loops over UI elements; prefer batch operations (e.g. DataTable operations) where the target system supports it.</w:t>
      </w:r>
    </w:p>
    <w:p>
      <w:pPr>
        <w:pBdr>
          <w:top w:val="single" w:color="CCCCCC" w:sz="4" w:space="8"/>
        </w:pBdr>
        <w:spacing w:after="0" w:before="300"/>
      </w:pPr>
      <w:r>
        <w:rPr>
          <w:i/>
          <w:iCs/>
          <w:color w:val="595959"/>
          <w:sz w:val="20"/>
          <w:szCs w:val="20"/>
        </w:rPr>
        <w:t xml:space="preserve">These standards are checked at code review and again at the production readiness gate — see the Production Readiness Checklist.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Automation &amp; AI Team Only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Coding Standards &amp; Best Practices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2026-07-29T12:14:28.916Z</dcterms:created>
  <dcterms:modified xsi:type="dcterms:W3CDTF">2026-07-29T12:14:28.928Z</dcterms:modified>
</cp:coreProperties>
</file>

<file path=docProps/custom.xml><?xml version="1.0" encoding="utf-8"?>
<Properties xmlns="http://schemas.openxmlformats.org/officeDocument/2006/custom-properties" xmlns:vt="http://schemas.openxmlformats.org/officeDocument/2006/docPropsVTypes"/>
</file>