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DPW Automation &amp; Innovation Skills Gap Analysis</w:t>
      </w:r>
    </w:p>
    <w:p>
      <w:pPr>
        <w:pStyle w:val="Heading1"/>
      </w:pPr>
      <w:r>
        <w:t>Executive Summary</w:t>
      </w:r>
    </w:p>
    <w:p>
      <w:r>
        <w:t>This report combines available self-assessment and manager-assessment data. The current weighting is 40% self assessment and 60% manager assessment.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Active participants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Capabilities assessed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Self assessment weight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Manager assessment weight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Average gap</w:t>
            </w:r>
          </w:p>
        </w:tc>
        <w:tc>
          <w:tcPr>
            <w:tcW w:type="dxa" w:w="4320"/>
          </w:tcPr>
          <w:p>
            <w:r>
              <w:t>-0.72</w:t>
            </w:r>
          </w:p>
        </w:tc>
      </w:tr>
      <w:tr>
        <w:tc>
          <w:tcPr>
            <w:tcW w:type="dxa" w:w="4320"/>
          </w:tcPr>
          <w:p>
            <w:r>
              <w:t>Critical capability gaps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Capabilities below requirement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Weakest category</w:t>
            </w:r>
          </w:p>
        </w:tc>
        <w:tc>
          <w:tcPr>
            <w:tcW w:type="dxa" w:w="4320"/>
          </w:tcPr>
          <w:p>
            <w:r>
              <w:t>Integration readiness</w:t>
            </w:r>
          </w:p>
        </w:tc>
      </w:tr>
      <w:tr>
        <w:tc>
          <w:tcPr>
            <w:tcW w:type="dxa" w:w="4320"/>
          </w:tcPr>
          <w:p>
            <w:r>
              <w:t>Strongest category</w:t>
            </w:r>
          </w:p>
        </w:tc>
        <w:tc>
          <w:tcPr>
            <w:tcW w:type="dxa" w:w="4320"/>
          </w:tcPr>
          <w:p>
            <w:r>
              <w:t>Vendor and SRM</w:t>
            </w:r>
          </w:p>
        </w:tc>
      </w:tr>
    </w:tbl>
    <w:p>
      <w:pPr>
        <w:pStyle w:val="Heading1"/>
      </w:pPr>
      <w:r>
        <w:t>Category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Gap</w:t>
            </w:r>
          </w:p>
        </w:tc>
        <w:tc>
          <w:tcPr>
            <w:tcW w:type="dxa" w:w="1728"/>
          </w:tcPr>
          <w:p>
            <w:r>
              <w:t>Critical items</w:t>
            </w:r>
          </w:p>
        </w:tc>
      </w:tr>
      <w:tr>
        <w:tc>
          <w:tcPr>
            <w:tcW w:type="dxa" w:w="1728"/>
          </w:tcPr>
          <w:p>
            <w:r>
              <w:t>Integration readiness</w:t>
            </w:r>
          </w:p>
        </w:tc>
        <w:tc>
          <w:tcPr>
            <w:tcW w:type="dxa" w:w="1728"/>
          </w:tcPr>
          <w:p>
            <w:r>
              <w:t>4.25</w:t>
            </w:r>
          </w:p>
        </w:tc>
        <w:tc>
          <w:tcPr>
            <w:tcW w:type="dxa" w:w="1728"/>
          </w:tcPr>
          <w:p>
            <w:r>
              <w:t>3.12</w:t>
            </w:r>
          </w:p>
        </w:tc>
        <w:tc>
          <w:tcPr>
            <w:tcW w:type="dxa" w:w="1728"/>
          </w:tcPr>
          <w:p>
            <w:r>
              <w:t>-1.12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Regional community enablement</w:t>
            </w:r>
          </w:p>
        </w:tc>
        <w:tc>
          <w:tcPr>
            <w:tcW w:type="dxa" w:w="1728"/>
          </w:tcPr>
          <w:p>
            <w:r>
              <w:t>4.67</w:t>
            </w:r>
          </w:p>
        </w:tc>
        <w:tc>
          <w:tcPr>
            <w:tcW w:type="dxa" w:w="1728"/>
          </w:tcPr>
          <w:p>
            <w:r>
              <w:t>3.58</w:t>
            </w:r>
          </w:p>
        </w:tc>
        <w:tc>
          <w:tcPr>
            <w:tcW w:type="dxa" w:w="1728"/>
          </w:tcPr>
          <w:p>
            <w:r>
              <w:t>-1.08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Geographic coverage and capacity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Mandate &amp; strategy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4.12</w:t>
            </w:r>
          </w:p>
        </w:tc>
        <w:tc>
          <w:tcPr>
            <w:tcW w:type="dxa" w:w="1728"/>
          </w:tcPr>
          <w:p>
            <w:r>
              <w:t>-0.62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PoC and R&amp;D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-0.6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Automation solutioning</w:t>
            </w:r>
          </w:p>
        </w:tc>
        <w:tc>
          <w:tcPr>
            <w:tcW w:type="dxa" w:w="1728"/>
          </w:tcPr>
          <w:p>
            <w:r>
              <w:t>4.83</w:t>
            </w:r>
          </w:p>
        </w:tc>
        <w:tc>
          <w:tcPr>
            <w:tcW w:type="dxa" w:w="1728"/>
          </w:tcPr>
          <w:p>
            <w:r>
              <w:t>4.25</w:t>
            </w:r>
          </w:p>
        </w:tc>
        <w:tc>
          <w:tcPr>
            <w:tcW w:type="dxa" w:w="1728"/>
          </w:tcPr>
          <w:p>
            <w:r>
              <w:t>-0.58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Automation library / catalogue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-0.5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Data, ROI and evidence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-0.5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Vendor and SRM</w:t>
            </w:r>
          </w:p>
        </w:tc>
        <w:tc>
          <w:tcPr>
            <w:tcW w:type="dxa" w:w="1728"/>
          </w:tcPr>
          <w:p>
            <w:r>
              <w:t>4.25</w:t>
            </w:r>
          </w:p>
        </w:tc>
        <w:tc>
          <w:tcPr>
            <w:tcW w:type="dxa" w:w="1728"/>
          </w:tcPr>
          <w:p>
            <w:r>
              <w:t>3.88</w:t>
            </w:r>
          </w:p>
        </w:tc>
        <w:tc>
          <w:tcPr>
            <w:tcW w:type="dxa" w:w="1728"/>
          </w:tcPr>
          <w:p>
            <w:r>
              <w:t>-0.38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1"/>
      </w:pPr>
      <w:r>
        <w:t>Priority Capability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Capability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Gap</w:t>
            </w:r>
          </w:p>
        </w:tc>
      </w:tr>
      <w:tr>
        <w:tc>
          <w:tcPr>
            <w:tcW w:type="dxa" w:w="1440"/>
          </w:tcPr>
          <w:p>
            <w:r>
              <w:t>G04</w:t>
            </w:r>
          </w:p>
        </w:tc>
        <w:tc>
          <w:tcPr>
            <w:tcW w:type="dxa" w:w="1440"/>
          </w:tcPr>
          <w:p>
            <w:r>
              <w:t>Geographic coverage and capacity</w:t>
            </w:r>
          </w:p>
        </w:tc>
        <w:tc>
          <w:tcPr>
            <w:tcW w:type="dxa" w:w="1440"/>
          </w:tcPr>
          <w:p>
            <w:r>
              <w:t>Available bandwidth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-2.5</w:t>
            </w:r>
          </w:p>
        </w:tc>
      </w:tr>
      <w:tr>
        <w:tc>
          <w:tcPr>
            <w:tcW w:type="dxa" w:w="1440"/>
          </w:tcPr>
          <w:p>
            <w:r>
              <w:t>C01</w:t>
            </w:r>
          </w:p>
        </w:tc>
        <w:tc>
          <w:tcPr>
            <w:tcW w:type="dxa" w:w="1440"/>
          </w:tcPr>
          <w:p>
            <w:r>
              <w:t>Regional community enablement</w:t>
            </w:r>
          </w:p>
        </w:tc>
        <w:tc>
          <w:tcPr>
            <w:tcW w:type="dxa" w:w="1440"/>
          </w:tcPr>
          <w:p>
            <w:r>
              <w:t>European A&amp;I community leadership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-1.5</w:t>
            </w:r>
          </w:p>
        </w:tc>
      </w:tr>
      <w:tr>
        <w:tc>
          <w:tcPr>
            <w:tcW w:type="dxa" w:w="1440"/>
          </w:tcPr>
          <w:p>
            <w:r>
              <w:t>C02</w:t>
            </w:r>
          </w:p>
        </w:tc>
        <w:tc>
          <w:tcPr>
            <w:tcW w:type="dxa" w:w="1440"/>
          </w:tcPr>
          <w:p>
            <w:r>
              <w:t>Regional community enablement</w:t>
            </w:r>
          </w:p>
        </w:tc>
        <w:tc>
          <w:tcPr>
            <w:tcW w:type="dxa" w:w="1440"/>
          </w:tcPr>
          <w:p>
            <w:r>
              <w:t>Proactive pain-point collection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-1.5</w:t>
            </w:r>
          </w:p>
        </w:tc>
      </w:tr>
      <w:tr>
        <w:tc>
          <w:tcPr>
            <w:tcW w:type="dxa" w:w="1440"/>
          </w:tcPr>
          <w:p>
            <w:r>
              <w:t>C03</w:t>
            </w:r>
          </w:p>
        </w:tc>
        <w:tc>
          <w:tcPr>
            <w:tcW w:type="dxa" w:w="1440"/>
          </w:tcPr>
          <w:p>
            <w:r>
              <w:t>Regional community enablement</w:t>
            </w:r>
          </w:p>
        </w:tc>
        <w:tc>
          <w:tcPr>
            <w:tcW w:type="dxa" w:w="1440"/>
          </w:tcPr>
          <w:p>
            <w:r>
              <w:t>Influence without authority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-1.5</w:t>
            </w:r>
          </w:p>
        </w:tc>
      </w:tr>
      <w:tr>
        <w:tc>
          <w:tcPr>
            <w:tcW w:type="dxa" w:w="1440"/>
          </w:tcPr>
          <w:p>
            <w:r>
              <w:t>L04</w:t>
            </w:r>
          </w:p>
        </w:tc>
        <w:tc>
          <w:tcPr>
            <w:tcW w:type="dxa" w:w="1440"/>
          </w:tcPr>
          <w:p>
            <w:r>
              <w:t>Automation library / catalogue</w:t>
            </w:r>
          </w:p>
        </w:tc>
        <w:tc>
          <w:tcPr>
            <w:tcW w:type="dxa" w:w="1440"/>
          </w:tcPr>
          <w:p>
            <w:r>
              <w:t>User adoption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-1.5</w:t>
            </w:r>
          </w:p>
        </w:tc>
      </w:tr>
      <w:tr>
        <w:tc>
          <w:tcPr>
            <w:tcW w:type="dxa" w:w="1440"/>
          </w:tcPr>
          <w:p>
            <w:r>
              <w:t>I02</w:t>
            </w:r>
          </w:p>
        </w:tc>
        <w:tc>
          <w:tcPr>
            <w:tcW w:type="dxa" w:w="1440"/>
          </w:tcPr>
          <w:p>
            <w:r>
              <w:t>Integration readiness</w:t>
            </w:r>
          </w:p>
        </w:tc>
        <w:tc>
          <w:tcPr>
            <w:tcW w:type="dxa" w:w="1440"/>
          </w:tcPr>
          <w:p>
            <w:r>
              <w:t>IT/OT collaboration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-1.5</w:t>
            </w:r>
          </w:p>
        </w:tc>
      </w:tr>
      <w:tr>
        <w:tc>
          <w:tcPr>
            <w:tcW w:type="dxa" w:w="1440"/>
          </w:tcPr>
          <w:p>
            <w:r>
              <w:t>G01</w:t>
            </w:r>
          </w:p>
        </w:tc>
        <w:tc>
          <w:tcPr>
            <w:tcW w:type="dxa" w:w="1440"/>
          </w:tcPr>
          <w:p>
            <w:r>
              <w:t>Geographic coverage and capacity</w:t>
            </w:r>
          </w:p>
        </w:tc>
        <w:tc>
          <w:tcPr>
            <w:tcW w:type="dxa" w:w="1440"/>
          </w:tcPr>
          <w:p>
            <w:r>
              <w:t>Europe demand coverage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-1.5</w:t>
            </w:r>
          </w:p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Mandate &amp; strategy</w:t>
            </w:r>
          </w:p>
        </w:tc>
        <w:tc>
          <w:tcPr>
            <w:tcW w:type="dxa" w:w="1440"/>
          </w:tcPr>
          <w:p>
            <w:r>
              <w:t>Automation roadmap and prioritization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Mandate &amp; strategy</w:t>
            </w:r>
          </w:p>
        </w:tc>
        <w:tc>
          <w:tcPr>
            <w:tcW w:type="dxa" w:w="1440"/>
          </w:tcPr>
          <w:p>
            <w:r>
              <w:t>Global blueprint / local execution model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C04</w:t>
            </w:r>
          </w:p>
        </w:tc>
        <w:tc>
          <w:tcPr>
            <w:tcW w:type="dxa" w:w="1440"/>
          </w:tcPr>
          <w:p>
            <w:r>
              <w:t>Regional community enablement</w:t>
            </w:r>
          </w:p>
        </w:tc>
        <w:tc>
          <w:tcPr>
            <w:tcW w:type="dxa" w:w="1440"/>
          </w:tcPr>
          <w:p>
            <w:r>
              <w:t>Stakeholder storytelling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C05</w:t>
            </w:r>
          </w:p>
        </w:tc>
        <w:tc>
          <w:tcPr>
            <w:tcW w:type="dxa" w:w="1440"/>
          </w:tcPr>
          <w:p>
            <w:r>
              <w:t>Regional community enablement</w:t>
            </w:r>
          </w:p>
        </w:tc>
        <w:tc>
          <w:tcPr>
            <w:tcW w:type="dxa" w:w="1440"/>
          </w:tcPr>
          <w:p>
            <w:r>
              <w:t>Follow-through and cadence management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A03</w:t>
            </w:r>
          </w:p>
        </w:tc>
        <w:tc>
          <w:tcPr>
            <w:tcW w:type="dxa" w:w="1440"/>
          </w:tcPr>
          <w:p>
            <w:r>
              <w:t>Automation solutioning</w:t>
            </w:r>
          </w:p>
        </w:tc>
        <w:tc>
          <w:tcPr>
            <w:tcW w:type="dxa" w:w="1440"/>
          </w:tcPr>
          <w:p>
            <w:r>
              <w:t>Solution concept design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A05</w:t>
            </w:r>
          </w:p>
        </w:tc>
        <w:tc>
          <w:tcPr>
            <w:tcW w:type="dxa" w:w="1440"/>
          </w:tcPr>
          <w:p>
            <w:r>
              <w:t>Automation solutioning</w:t>
            </w:r>
          </w:p>
        </w:tc>
        <w:tc>
          <w:tcPr>
            <w:tcW w:type="dxa" w:w="1440"/>
          </w:tcPr>
          <w:p>
            <w:r>
              <w:t>Vendor solution challenge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L01</w:t>
            </w:r>
          </w:p>
        </w:tc>
        <w:tc>
          <w:tcPr>
            <w:tcW w:type="dxa" w:w="1440"/>
          </w:tcPr>
          <w:p>
            <w:r>
              <w:t>Automation library / catalogue</w:t>
            </w:r>
          </w:p>
        </w:tc>
        <w:tc>
          <w:tcPr>
            <w:tcW w:type="dxa" w:w="1440"/>
          </w:tcPr>
          <w:p>
            <w:r>
              <w:t>Catalogue content ownership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  <w:tr>
        <w:tc>
          <w:tcPr>
            <w:tcW w:type="dxa" w:w="1440"/>
          </w:tcPr>
          <w:p>
            <w:r>
              <w:t>V02</w:t>
            </w:r>
          </w:p>
        </w:tc>
        <w:tc>
          <w:tcPr>
            <w:tcW w:type="dxa" w:w="1440"/>
          </w:tcPr>
          <w:p>
            <w:r>
              <w:t>Vendor and SRM</w:t>
            </w:r>
          </w:p>
        </w:tc>
        <w:tc>
          <w:tcPr>
            <w:tcW w:type="dxa" w:w="1440"/>
          </w:tcPr>
          <w:p>
            <w:r>
              <w:t>Structured vendor assessment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-1.0</w:t>
            </w:r>
          </w:p>
        </w:tc>
      </w:tr>
    </w:tbl>
    <w:p>
      <w:pPr>
        <w:pStyle w:val="Heading1"/>
      </w:pPr>
      <w:r>
        <w:t>Participant Detail</w:t>
      </w:r>
    </w:p>
    <w:p>
      <w:pPr>
        <w:pStyle w:val="Heading2"/>
      </w:pPr>
      <w:r>
        <w:t>Lawrence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Capability</w:t>
            </w:r>
          </w:p>
        </w:tc>
        <w:tc>
          <w:tcPr>
            <w:tcW w:type="dxa" w:w="1234"/>
          </w:tcPr>
          <w:p>
            <w:r>
              <w:t>Self</w:t>
            </w:r>
          </w:p>
        </w:tc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Gap</w:t>
            </w:r>
          </w:p>
        </w:tc>
      </w:tr>
      <w:tr>
        <w:tc>
          <w:tcPr>
            <w:tcW w:type="dxa" w:w="1234"/>
          </w:tcPr>
          <w:p>
            <w:r>
              <w:t>S01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Automation roadmap and prioritization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S02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Commercial and operational value framing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S03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Global blueprint / local execution model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S04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Decision quality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C01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European A&amp;I community leadership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C02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Proactive pain-point collection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C03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Influence without authority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C04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Stakeholder storytelling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Follow-through and cadence management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C06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Travel and site engagement readiness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A01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Brownfield retrofit assessment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A02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RFQ / new business automation input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A03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Solution concept design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A04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Technology fit assessment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A05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Vendor solution challenge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A06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Standard solution definition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L01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Catalogue content ownership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L02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Reference architecture thinking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L03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Knowledge capture discipline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L04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User adoption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L05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Governance of standards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V01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Vendor landscape understanding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V02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Structured vendor assessment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V03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Commercial leverage support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V04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Vendor playbooks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P01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PoC design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P02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Emerging hardware assessment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P03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Prototype thinking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P04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Scale decision after PoC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P05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Balanced innovation judgment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I01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Integration blueprint definition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I02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IT/OT collaboration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I03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Physical AI interface understanding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I04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Operational support model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D01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Operational data interpretation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D02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Pain-point library structuring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D03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ROI and TCO modelling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D04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Benefit tracking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D05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Evidence-based standardization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G01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Europe demand coverage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G02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APAC/Oceania demand coverage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G03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Americas coordination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G04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Available bandwidth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-3.0</w:t>
            </w:r>
          </w:p>
        </w:tc>
      </w:tr>
      <w:tr>
        <w:tc>
          <w:tcPr>
            <w:tcW w:type="dxa" w:w="1234"/>
          </w:tcPr>
          <w:p>
            <w:r>
              <w:t>G05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Proactive ownership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</w:tbl>
    <w:p>
      <w:pPr>
        <w:pStyle w:val="Heading2"/>
      </w:pPr>
      <w:r>
        <w:t>Diego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Capability</w:t>
            </w:r>
          </w:p>
        </w:tc>
        <w:tc>
          <w:tcPr>
            <w:tcW w:type="dxa" w:w="1234"/>
          </w:tcPr>
          <w:p>
            <w:r>
              <w:t>Self</w:t>
            </w:r>
          </w:p>
        </w:tc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Gap</w:t>
            </w:r>
          </w:p>
        </w:tc>
      </w:tr>
      <w:tr>
        <w:tc>
          <w:tcPr>
            <w:tcW w:type="dxa" w:w="1234"/>
          </w:tcPr>
          <w:p>
            <w:r>
              <w:t>S01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Automation roadmap and prioritization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S02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Commercial and operational value framing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S03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Global blueprint / local execution model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S04</w:t>
            </w:r>
          </w:p>
        </w:tc>
        <w:tc>
          <w:tcPr>
            <w:tcW w:type="dxa" w:w="1234"/>
          </w:tcPr>
          <w:p>
            <w:r>
              <w:t>Mandate &amp; strategy</w:t>
            </w:r>
          </w:p>
        </w:tc>
        <w:tc>
          <w:tcPr>
            <w:tcW w:type="dxa" w:w="1234"/>
          </w:tcPr>
          <w:p>
            <w:r>
              <w:t>Decision quality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C01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European A&amp;I community leadership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C02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Proactive pain-point collection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C03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Influence without authority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C04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Stakeholder storytelling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C05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Follow-through and cadence management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C06</w:t>
            </w:r>
          </w:p>
        </w:tc>
        <w:tc>
          <w:tcPr>
            <w:tcW w:type="dxa" w:w="1234"/>
          </w:tcPr>
          <w:p>
            <w:r>
              <w:t>Regional community enablement</w:t>
            </w:r>
          </w:p>
        </w:tc>
        <w:tc>
          <w:tcPr>
            <w:tcW w:type="dxa" w:w="1234"/>
          </w:tcPr>
          <w:p>
            <w:r>
              <w:t>Travel and site engagement readiness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A01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Brownfield retrofit assessment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A02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RFQ / new business automation input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A03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Solution concept design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A04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Technology fit assessment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A05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Vendor solution challenge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A06</w:t>
            </w:r>
          </w:p>
        </w:tc>
        <w:tc>
          <w:tcPr>
            <w:tcW w:type="dxa" w:w="1234"/>
          </w:tcPr>
          <w:p>
            <w:r>
              <w:t>Automation solutioning</w:t>
            </w:r>
          </w:p>
        </w:tc>
        <w:tc>
          <w:tcPr>
            <w:tcW w:type="dxa" w:w="1234"/>
          </w:tcPr>
          <w:p>
            <w:r>
              <w:t>Standard solution definition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L01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Catalogue content ownership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L02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Reference architecture thinking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L03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Knowledge capture discipline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L04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User adoption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L05</w:t>
            </w:r>
          </w:p>
        </w:tc>
        <w:tc>
          <w:tcPr>
            <w:tcW w:type="dxa" w:w="1234"/>
          </w:tcPr>
          <w:p>
            <w:r>
              <w:t>Automation library / catalogue</w:t>
            </w:r>
          </w:p>
        </w:tc>
        <w:tc>
          <w:tcPr>
            <w:tcW w:type="dxa" w:w="1234"/>
          </w:tcPr>
          <w:p>
            <w:r>
              <w:t>Governance of standards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V01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Vendor landscape understanding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V02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Structured vendor assessment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V03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Commercial leverage support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V04</w:t>
            </w:r>
          </w:p>
        </w:tc>
        <w:tc>
          <w:tcPr>
            <w:tcW w:type="dxa" w:w="1234"/>
          </w:tcPr>
          <w:p>
            <w:r>
              <w:t>Vendor and SRM</w:t>
            </w:r>
          </w:p>
        </w:tc>
        <w:tc>
          <w:tcPr>
            <w:tcW w:type="dxa" w:w="1234"/>
          </w:tcPr>
          <w:p>
            <w:r>
              <w:t>Vendor playbooks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P01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PoC design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P02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Emerging hardware assessment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P03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Prototype thinking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P04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Scale decision after PoC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P05</w:t>
            </w:r>
          </w:p>
        </w:tc>
        <w:tc>
          <w:tcPr>
            <w:tcW w:type="dxa" w:w="1234"/>
          </w:tcPr>
          <w:p>
            <w:r>
              <w:t>PoC and R&amp;D</w:t>
            </w:r>
          </w:p>
        </w:tc>
        <w:tc>
          <w:tcPr>
            <w:tcW w:type="dxa" w:w="1234"/>
          </w:tcPr>
          <w:p>
            <w:r>
              <w:t>Balanced innovation judgment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I01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Integration blueprint definition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I02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IT/OT collaboration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I03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Physical AI interface understanding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I04</w:t>
            </w:r>
          </w:p>
        </w:tc>
        <w:tc>
          <w:tcPr>
            <w:tcW w:type="dxa" w:w="1234"/>
          </w:tcPr>
          <w:p>
            <w:r>
              <w:t>Integration readiness</w:t>
            </w:r>
          </w:p>
        </w:tc>
        <w:tc>
          <w:tcPr>
            <w:tcW w:type="dxa" w:w="1234"/>
          </w:tcPr>
          <w:p>
            <w:r>
              <w:t>Operational support model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D01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Operational data interpretation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D02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Pain-point library structuring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D03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ROI and TCO modelling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D04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Benefit tracking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D05</w:t>
            </w:r>
          </w:p>
        </w:tc>
        <w:tc>
          <w:tcPr>
            <w:tcW w:type="dxa" w:w="1234"/>
          </w:tcPr>
          <w:p>
            <w:r>
              <w:t>Data, ROI and evidence</w:t>
            </w:r>
          </w:p>
        </w:tc>
        <w:tc>
          <w:tcPr>
            <w:tcW w:type="dxa" w:w="1234"/>
          </w:tcPr>
          <w:p>
            <w:r>
              <w:t>Evidence-based standardization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G01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Europe demand coverage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G02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APAC/Oceania demand coverage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</w:tr>
      <w:tr>
        <w:tc>
          <w:tcPr>
            <w:tcW w:type="dxa" w:w="1234"/>
          </w:tcPr>
          <w:p>
            <w:r>
              <w:t>G03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Americas coordination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</w:tr>
      <w:tr>
        <w:tc>
          <w:tcPr>
            <w:tcW w:type="dxa" w:w="1234"/>
          </w:tcPr>
          <w:p>
            <w:r>
              <w:t>G04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Available bandwidth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-2.0</w:t>
            </w:r>
          </w:p>
        </w:tc>
      </w:tr>
      <w:tr>
        <w:tc>
          <w:tcPr>
            <w:tcW w:type="dxa" w:w="1234"/>
          </w:tcPr>
          <w:p>
            <w:r>
              <w:t>G05</w:t>
            </w:r>
          </w:p>
        </w:tc>
        <w:tc>
          <w:tcPr>
            <w:tcW w:type="dxa" w:w="1234"/>
          </w:tcPr>
          <w:p>
            <w:r>
              <w:t>Geographic coverage and capacity</w:t>
            </w:r>
          </w:p>
        </w:tc>
        <w:tc>
          <w:tcPr>
            <w:tcW w:type="dxa" w:w="1234"/>
          </w:tcPr>
          <w:p>
            <w:r>
              <w:t>Proactive ownership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