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4BB0"/>
          <w:sz w:val="44"/>
          <w:szCs w:val="44"/>
        </w:rPr>
        <w:t xml:space="preserve">Wingman</w:t>
      </w:r>
    </w:p>
    <w:p>
      <w:pPr>
        <w:spacing w:after="40"/>
      </w:pPr>
      <w:r>
        <w:rPr>
          <w:b/>
          <w:bCs/>
          <w:color w:val="1A2233"/>
          <w:sz w:val="30"/>
          <w:szCs w:val="30"/>
        </w:rPr>
        <w:t xml:space="preserve">Security &amp; Data Protection Overview</w:t>
      </w:r>
    </w:p>
    <w:p>
      <w:pPr>
        <w:spacing w:after="20"/>
      </w:pPr>
      <w:r>
        <w:rPr>
          <w:i/>
          <w:iCs/>
          <w:color w:val="6B7280"/>
          <w:sz w:val="19"/>
          <w:szCs w:val="19"/>
        </w:rPr>
        <w:t xml:space="preserve">Prepared for management review · Confidential</w:t>
      </w:r>
    </w:p>
    <w:p>
      <w:pPr>
        <w:spacing w:after="60"/>
      </w:pPr>
      <w:r>
        <w:rPr>
          <w:color w:val="6B7280"/>
          <w:sz w:val="19"/>
          <w:szCs w:val="19"/>
        </w:rPr>
        <w:t xml:space="preserve">Version 1.0 · 28 September 2026</w:t>
      </w:r>
    </w:p>
    <w:p>
      <w:pPr>
        <w:pBdr>
          <w:bottom w:val="single" w:color="D5D9E2" w:sz="6" w:space="1"/>
        </w:pBdr>
        <w:spacing w:after="160"/>
      </w:pPr>
    </w:p>
    <w:p>
      <w:pPr>
        <w:spacing w:after="14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Wingman is a proactive AI personal assistant delivered over WhatsApp and a companion web application. This document explains how customer data is protected across every layer of the system, the privacy commitments we uphold, and the roadmap of planned security enhancements.</w:t>
      </w:r>
    </w:p>
    <w:p>
      <w:pPr>
        <w:spacing w:after="140"/>
      </w:pPr>
      <w:r>
        <w:rPr>
          <w:b/>
          <w:bCs/>
          <w:i w:val="false"/>
          <w:iCs w:val="false"/>
          <w:color w:val="1A2233"/>
          <w:sz w:val="21"/>
          <w:szCs w:val="21"/>
        </w:rPr>
        <w:t xml:space="preserve">Part A </w:t>
      </w: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is written to be shared with customers. </w:t>
      </w:r>
      <w:r>
        <w:rPr>
          <w:b/>
          <w:bCs/>
          <w:i w:val="false"/>
          <w:iCs w:val="false"/>
          <w:color w:val="1A2233"/>
          <w:sz w:val="21"/>
          <w:szCs w:val="21"/>
        </w:rPr>
        <w:t xml:space="preserve">Part B </w:t>
      </w: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is an internal engineering roadmap and should not be shared externally.</w:t>
      </w:r>
    </w:p>
    <w:p>
      <w:pPr>
        <w:pStyle w:val="Heading1"/>
        <w:spacing w:after="120" w:before="280"/>
      </w:pPr>
      <w:r>
        <w:rPr>
          <w:b/>
          <w:bCs/>
          <w:color w:val="2E4BB0"/>
          <w:sz w:val="30"/>
          <w:szCs w:val="30"/>
        </w:rPr>
        <w:t xml:space="preserve">Part A — How Wingman Protects Your 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Wingman is built on five overlapping security layers, so that customer data is protected even if any single layer is bypassed (a "defence-in-depth" approach).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1. Infrastructure Layer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Runs on a dedicated, private server — not a shared, multi-tenant platform.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The application is bound to the server’s internal loopback interface only; it is never directly reachable from the public internet. All external traffic passes through a hardened reverse proxy.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A network firewall restricts inbound access to essential ports only, and an intrusion-prevention service automatically blocks repeated malicious login attempts.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2. Network &amp; Transport Layer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All web traffic is encrypted in transit using HTTPS (TLS 1.2 / 1.3) with automatically renewed certificates.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Messages exchanged over WhatsApp are transmitted to Wingman over encrypted channels.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3. Access &amp; Authentication Layer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Sign-in uses a one-time passcode (OTP): a six-digit code that expires in five minutes, is limited to five attempts, and can be used only once.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Sessions are secured with cryptographically random 256-bit tokens that expire and can be revoked. They are sent in request headers rather than browser cookies, which reduces cross-site request risks.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Strict per-user data isolation ensures no customer can access another customer’s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Administrative functions are password-protected and separated from customer access.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4. Data Encryption Layer (at rest)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Sensitive stored credentials are encrypted at rest using AES-256-GCM — an authenticated encryption standard that protects confidentiality and detects tampering. Each value uses a unique initialization vector.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Encryption keys are derived from a secret held only in the secured server environment — never in source code or version control.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Encrypted-at-rest data includes: saved third-party passwords (credential vault), health-wearable access tokens, work / HRMS integration secrets, and email-mailbox passwords.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5. AI-Safety Layer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Human-in-the-loop for critical actions: before sending a message, making a payment, or deleting anything, Wingman shows exactly what it will do — recipient, content, and amount — and waits for the user’s explicit approval.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Configurable autonomy: users choose whether Wingman acts on routine items automatically or confirms everything.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The AI never has access to stored passwords: saved credentials are decrypted only by server-side automation and are never exposed to the language model or returned in a reply.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Complete audit trail: every action Wingman takes — whether requested or proactive — is logged and can be reviewed by the user at any time.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Privacy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Customer data is never sold.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Message content is not used to train AI models.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Use of Google data complies with the Google API Services User Data Policy, including the Limited Use requirements; Google data is used only to deliver requested features and never for advertising.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Customers can disconnect Google at any time (which removes stored access tokens) and can request full deletion of their account and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A published privacy policy discloses the third-party service providers used to operate the service.</w:t>
      </w:r>
    </w:p>
    <w:p>
      <w:pPr>
        <w:pStyle w:val="Heading2"/>
        <w:spacing w:after="80" w:before="200"/>
      </w:pPr>
      <w:r>
        <w:rPr>
          <w:b/>
          <w:bCs/>
          <w:color w:val="1A2233"/>
          <w:sz w:val="24"/>
          <w:szCs w:val="24"/>
        </w:rPr>
        <w:t xml:space="preserve">Key Assurances You Can Share With Customers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All data is encrypted in transit (HTTPS / TLS).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Sensitive credentials are encrypted at rest with AES-256-GCM.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Runs on dedicated, firewalled, private infrastructure.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One-time-code login, expiring session tokens, and strict per-user isolation.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The AI asks for explicit approval before any sensitive action and keeps a full audit trail.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The AI never sees your saved passwords.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Your data is never sold and never used to train AI models.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You can disconnect integrations or delete your data at any time.</w:t>
      </w:r>
    </w:p>
    <w:p>
      <w:pPr>
        <w:pStyle w:val="Heading1"/>
        <w:spacing w:after="120" w:before="280"/>
      </w:pPr>
      <w:r>
        <w:rPr>
          <w:b/>
          <w:bCs/>
          <w:color w:val="2E4BB0"/>
          <w:sz w:val="30"/>
          <w:szCs w:val="30"/>
        </w:rPr>
        <w:t xml:space="preserve">Part B — Internal Security Hardening Roadmap</w:t>
      </w:r>
    </w:p>
    <w:p>
      <w:pPr>
        <w:pBdr>
          <w:top w:val="single" w:color="E0A800" w:sz="4" w:space="4"/>
          <w:left w:val="single" w:color="E0A800" w:sz="12" w:space="6"/>
          <w:bottom w:val="single" w:color="E0A800" w:sz="4" w:space="4"/>
          <w:right w:val="single" w:color="E0A800" w:sz="4" w:space="4"/>
        </w:pBdr>
        <w:shd w:fill="FFF3CD" w:color="auto" w:val="clear"/>
        <w:spacing w:after="120" w:before="120"/>
      </w:pPr>
      <w:r>
        <w:rPr>
          <w:b/>
          <w:bCs/>
          <w:color w:val="664D03"/>
          <w:sz w:val="21"/>
          <w:szCs w:val="21"/>
        </w:rPr>
        <w:t xml:space="preserve">CONFIDENTIAL — INTERNAL ONLY. This section lists planned improvements and is not intended for customers.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2233"/>
          <w:sz w:val="21"/>
          <w:szCs w:val="21"/>
        </w:rPr>
        <w:t xml:space="preserve">The following enhancements are prioritised P0 (immediate, high impact), P1 (near-term), and P2 (for enterprise readiness).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650"/>
        <w:gridCol w:w="4226"/>
      </w:tblGrid>
      <w:tr>
        <w:trPr>
          <w:tblHeader/>
        </w:trPr>
        <w:tc>
          <w:tcPr>
            <w:tcW w:type="dxa" w:w="1150"/>
            <w:shd w:fill="2E4B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50"/>
            <w:shd w:fill="2E4B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226"/>
            <w:shd w:fill="2E4B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1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P0</w:t>
            </w:r>
          </w:p>
        </w:tc>
        <w:tc>
          <w:tcPr>
            <w:tcW w:type="dxa" w:w="36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Encrypt Google OAuth tokens at rest (Gmail / Calendar)</w:t>
            </w:r>
          </w:p>
        </w:tc>
        <w:tc>
          <w:tcPr>
            <w:tcW w:type="dxa" w:w="4226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These tokens are currently stored unencrypted; they are the most powerful credential and should use the same AES-256-GCM scheme already in place.</w:t>
            </w:r>
          </w:p>
        </w:tc>
      </w:tr>
      <w:tr>
        <w:tc>
          <w:tcPr>
            <w:tcW w:type="dxa" w:w="11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P0</w:t>
            </w:r>
          </w:p>
        </w:tc>
        <w:tc>
          <w:tcPr>
            <w:tcW w:type="dxa" w:w="36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Set a strong administrator password; rotate previously shared secrets</w:t>
            </w:r>
          </w:p>
        </w:tc>
        <w:tc>
          <w:tcPr>
            <w:tcW w:type="dxa" w:w="4226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Replace the default admin password and rotate any API keys shared during setup.</w:t>
            </w:r>
          </w:p>
        </w:tc>
      </w:tr>
      <w:tr>
        <w:tc>
          <w:tcPr>
            <w:tcW w:type="dxa" w:w="11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P0</w:t>
            </w:r>
          </w:p>
        </w:tc>
        <w:tc>
          <w:tcPr>
            <w:tcW w:type="dxa" w:w="3650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Automated, encrypted, off-site database backups (with tested restore)</w:t>
            </w:r>
          </w:p>
        </w:tc>
        <w:tc>
          <w:tcPr>
            <w:tcW w:type="dxa" w:w="4226"/>
            <w:shd w:fill="FDEC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Guarantee recoverability and durability of customer data.</w:t>
            </w:r>
          </w:p>
        </w:tc>
      </w:tr>
      <w:tr>
        <w:tc>
          <w:tcPr>
            <w:tcW w:type="dxa" w:w="11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P1</w:t>
            </w:r>
          </w:p>
        </w:tc>
        <w:tc>
          <w:tcPr>
            <w:tcW w:type="dxa" w:w="36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API rate limiting and OTP request throttling</w:t>
            </w:r>
          </w:p>
        </w:tc>
        <w:tc>
          <w:tcPr>
            <w:tcW w:type="dxa" w:w="4226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Prevent brute-force attempts and abuse.</w:t>
            </w:r>
          </w:p>
        </w:tc>
      </w:tr>
      <w:tr>
        <w:tc>
          <w:tcPr>
            <w:tcW w:type="dxa" w:w="11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P1</w:t>
            </w:r>
          </w:p>
        </w:tc>
        <w:tc>
          <w:tcPr>
            <w:tcW w:type="dxa" w:w="36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HTTP security headers (HSTS, CSP, X-Frame-Options, no-sniff)</w:t>
            </w:r>
          </w:p>
        </w:tc>
        <w:tc>
          <w:tcPr>
            <w:tcW w:type="dxa" w:w="4226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Harden the web app against common browser-based attacks.</w:t>
            </w:r>
          </w:p>
        </w:tc>
      </w:tr>
      <w:tr>
        <w:tc>
          <w:tcPr>
            <w:tcW w:type="dxa" w:w="11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P1</w:t>
            </w:r>
          </w:p>
        </w:tc>
        <w:tc>
          <w:tcPr>
            <w:tcW w:type="dxa" w:w="36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Restrict CORS to known application domains</w:t>
            </w:r>
          </w:p>
        </w:tc>
        <w:tc>
          <w:tcPr>
            <w:tcW w:type="dxa" w:w="4226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Currently permissive; scope to trusted origins only.</w:t>
            </w:r>
          </w:p>
        </w:tc>
      </w:tr>
      <w:tr>
        <w:tc>
          <w:tcPr>
            <w:tcW w:type="dxa" w:w="11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P1</w:t>
            </w:r>
          </w:p>
        </w:tc>
        <w:tc>
          <w:tcPr>
            <w:tcW w:type="dxa" w:w="365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Session / device management (view and revoke active sessions)</w:t>
            </w:r>
          </w:p>
        </w:tc>
        <w:tc>
          <w:tcPr>
            <w:tcW w:type="dxa" w:w="4226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Give users direct control over their logged-in devices.</w:t>
            </w:r>
          </w:p>
        </w:tc>
      </w:tr>
      <w:tr>
        <w:tc>
          <w:tcPr>
            <w:tcW w:type="dxa" w:w="1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P2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Full-disk / volume encryption on the server</w:t>
            </w:r>
          </w:p>
        </w:tc>
        <w:tc>
          <w:tcPr>
            <w:tcW w:type="dxa" w:w="4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Protect the database file at the storage layer.</w:t>
            </w:r>
          </w:p>
        </w:tc>
      </w:tr>
      <w:tr>
        <w:tc>
          <w:tcPr>
            <w:tcW w:type="dxa" w:w="1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P2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Centralized secrets manager with key-rotation policy</w:t>
            </w:r>
          </w:p>
        </w:tc>
        <w:tc>
          <w:tcPr>
            <w:tcW w:type="dxa" w:w="4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Move secrets out of environment files and enable rotation.</w:t>
            </w:r>
          </w:p>
        </w:tc>
      </w:tr>
      <w:tr>
        <w:tc>
          <w:tcPr>
            <w:tcW w:type="dxa" w:w="1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P2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Automated dependency and container-image scanning in CI</w:t>
            </w:r>
          </w:p>
        </w:tc>
        <w:tc>
          <w:tcPr>
            <w:tcW w:type="dxa" w:w="4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Catch vulnerable packages and images early.</w:t>
            </w:r>
          </w:p>
        </w:tc>
      </w:tr>
      <w:tr>
        <w:tc>
          <w:tcPr>
            <w:tcW w:type="dxa" w:w="1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P2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Data Processing Agreement + data-subject request workflow</w:t>
            </w:r>
          </w:p>
        </w:tc>
        <w:tc>
          <w:tcPr>
            <w:tcW w:type="dxa" w:w="4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Support enterprise and regulatory (GDPR-style) requirements.</w:t>
            </w:r>
          </w:p>
        </w:tc>
      </w:tr>
      <w:tr>
        <w:tc>
          <w:tcPr>
            <w:tcW w:type="dxa" w:w="11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2233"/>
                <w:sz w:val="20"/>
                <w:szCs w:val="20"/>
              </w:rPr>
              <w:t xml:space="preserve">P2</w:t>
            </w:r>
          </w:p>
        </w:tc>
        <w:tc>
          <w:tcPr>
            <w:tcW w:type="dxa" w:w="365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Third-party penetration test; progress toward SOC 2 readiness</w:t>
            </w:r>
          </w:p>
        </w:tc>
        <w:tc>
          <w:tcPr>
            <w:tcW w:type="dxa" w:w="4226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2233"/>
                <w:sz w:val="20"/>
                <w:szCs w:val="20"/>
              </w:rPr>
              <w:t xml:space="preserve">Independent security assurance for enterprise customers.</w:t>
            </w:r>
          </w:p>
        </w:tc>
      </w:tr>
    </w:tbl>
    <w:p>
      <w:pPr>
        <w:spacing w:before="160"/>
      </w:pPr>
      <w:r>
        <w:rPr>
          <w:i/>
          <w:iCs/>
          <w:color w:val="6B7280"/>
          <w:sz w:val="20"/>
          <w:szCs w:val="20"/>
        </w:rPr>
        <w:t xml:space="preserve">Recommended next step: complete all P0 items first — they are low-effort and materially raise the security baseline.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Wingman — Security &amp; Data Protection Overview</dc:title>
  <dc:creator>Wingman</dc:creator>
  <cp:lastModifiedBy>Un-named</cp:lastModifiedBy>
  <cp:revision>1</cp:revision>
  <dcterms:created xsi:type="dcterms:W3CDTF">2026-09-28T10:22:25.975Z</dcterms:created>
  <dcterms:modified xsi:type="dcterms:W3CDTF">2026-09-28T10:22:25.976Z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