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FutureYou - Responsibility &amp; Ethics Compliance Assessment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FutureYou is largely compliant with key ethical and responsible AI principles, particularly excelling in fairness, bias mitigation, mental health support, and safety.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conducts quarterly bias audits with diverse and representative training data, ensuring equitable AI recommendations without disparate impact.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application prioritizes transparency by providing users with simple AI explanations and human oversight rather than opaque automation.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implements safety measures which include rigorous content moderation and distress detection partnerships.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Yet, it must bolster privacy compliance, improve comprehensive documentation and public transparency, enhance fail-safe mechanisms, and establish clear environmental sustainability practices. This layered approach balances current strengths with actionable enhancements for future readiness and ensure stronger overall responsible AI governance and user trust.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sz w:val="28"/>
          <w:szCs w:val="28"/>
        </w:rPr>
      </w:pPr>
      <w:bookmarkStart w:colFirst="0" w:colLast="0" w:name="_heading=h.vv2zy9tgxh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2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Section: Well-Compliant Areas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Regular quarterly fairness and bias audits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Diverse training data including underrepresented groups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Transparent AI decision explanations boosting user trust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Strong mental health and safety focus: distress detection, content moderation partnerships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Section: Areas Needing Further Reinforcement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Privacy compliance: SOC 2 and GDPR certifications pending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Comprehensive and public AI documentation gaps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Fail-safe mechanisms require enhancement for robust reliability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Lack of documented environmental sustainability efforts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japozxcr0ag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Here is the numeric rating assessment for FUTUREYOU based on the questions in the provided Excel scoring sheet, with reasoning notes derived from the RAI documents and FUTUREYOU PRD: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72"/>
        <w:gridCol w:w="1947"/>
        <w:gridCol w:w="846"/>
        <w:gridCol w:w="4839"/>
        <w:tblGridChange w:id="0">
          <w:tblGrid>
            <w:gridCol w:w="1872"/>
            <w:gridCol w:w="1947"/>
            <w:gridCol w:w="846"/>
            <w:gridCol w:w="483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Fairness and Bias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Bias Detection and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bias audits exist; diverse training data with 50%+ underrepresented groups; some external data bias risk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Diverse and Representative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data includes diverse demographics and underrepresented role models, but not fully exhaustive.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Fairness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Regular fairness audits conducted quarterly; scope can be expanded for greater rigor.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Transparency and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Simple AI explanations are provided; human oversight present; needs public model card and extensive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Decision-Making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Decision processes are somewhat transparent to users through in-app explanations, yet detailed internal transparency can improve.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exists but is not fully comprehensive or publicly available as per best practices.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Accountability and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Ethics board and advisory panels in place with defined accountability; can formalize external governance procedures more explicitly.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Responsible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Adopted established Responsible AI guidelines; more clarity on alignment with international standards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Mechanisms for Redress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There are grievance and harm redress mechanisms; accessibility and response time could be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Privacy and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Strong privacy measures including COPPA/FERPA compliance but SOC 2 and GDPR/CCPA compliance need explicit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protocols are reasonable; additional certifications and audits needed for robust security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with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with some privacy laws; explicit GDPR/CCPA certification pending for broader applicability.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User-Centric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are somewhat involved in design and testing, but this is not highly structured or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Designed for WCAG 2.1 AA accessibility standards; formal and repeated usability testing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Enhancement of Human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The system supports users without replacing critical human judgment, empowering through guidance and suggestions.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Reliability and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Continuous performance monitoring planned, with human spot checks. Real-time alerts and automated monitoring improvements suggested.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Robustness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Thorough testing under various conditions; ongoing robustness validation advised.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Fail-Safe Mechanisms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Basic fail-safe mechanisms in place; could expand automated fallback options and user alerts in failure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Societal and Environmental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Social Impact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Positive impact focus including distress intervention partnerships. Potential broader societal effects studied 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Environmental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 explicit sustainability measures documented; should consider AI model efficiency and energy footprint.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Promotion of Social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positive societal contribution goals centered on education and wellbeing, aligned with 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yields an overall responsible AI maturity level mostly in the range of 3-4 across criteria, reflecting a good foundation but visible areas for improvement especially in privacy compliance, documentation, fail-safes, and environmental impact.</w:t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after="280" w:before="280" w:line="240" w:lineRule="auto"/>
        <w:rPr>
          <w:rFonts w:ascii="fkGroteskNeue" w:cs="fkGroteskNeue" w:eastAsia="fkGroteskNeue" w:hAnsi="fkGroteskNeue"/>
          <w:sz w:val="24"/>
          <w:szCs w:val="24"/>
        </w:rPr>
      </w:pPr>
      <w:r w:rsidDel="00000000" w:rsidR="00000000" w:rsidRPr="00000000">
        <w:rPr>
          <w:rFonts w:ascii="fkGroteskNeue" w:cs="fkGroteskNeue" w:eastAsia="fkGroteskNeue" w:hAnsi="fkGroteskNeue"/>
          <w:sz w:val="24"/>
          <w:szCs w:val="24"/>
          <w:rtl w:val="0"/>
        </w:rPr>
        <w:t xml:space="preserve">Here is the summary table with assessment scores and rationale for each ethics and responsibility category:</w:t>
      </w:r>
    </w:p>
    <w:tbl>
      <w:tblPr>
        <w:tblStyle w:val="Table2"/>
        <w:tblW w:w="9537.0" w:type="dxa"/>
        <w:jc w:val="left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68"/>
        <w:gridCol w:w="972"/>
        <w:gridCol w:w="6497"/>
        <w:tblGridChange w:id="0">
          <w:tblGrid>
            <w:gridCol w:w="2068"/>
            <w:gridCol w:w="972"/>
            <w:gridCol w:w="64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Score (1-5)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Fairness &amp; Bias Mitigation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FUTUREYOU commits to quarterly bias audits, uses diverse data with 50%+ underrepresented groups, and race/gender-blind matching. Some gaps remain in external data bias mitigation.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Privacy &amp; Data Protection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Compliant with COPPA/FERPA, minimal data collection, no data selling. Lacks SOC2 and explicit GDPR/CCPA compliance details for scalability.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Transparency &amp; Explainability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simple AI explainer for users and human oversight. Lacks public model card and full documentation, which limits transparency.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Accuracy &amp; 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trusted government data sources with RAG retrieval to limit hallucination. Human spot-checks employed. Needs real-time fail-safes and confidence thresholding for recommendations.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Mental Health &amp; Well-being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Supportive, judgment-free tone with distress detection and partnership with Crisis Text Line. No fear-based marketing evident.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 &amp; Content Moderation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Mentor messages are moderated, background checks done on personnel, and AI flags red-flag content with human review and mandatory reporting.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Equity &amp;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Mobile-first, low bandwidth design with 10% free premium seats for low-income. WCAG 2.1 AA accessibility targeted, but formal screen reader testing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Accountability &amp;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Ethics board and student advisory council in place, parents have transparency portal, and complaints tracked. Needs explicit alignment with NIST AI Risk Framework.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documented sustainability or carbon efficiency measures. This is a critical gap for responsible AI status.</w:t>
            </w:r>
          </w:p>
        </w:tc>
      </w:tr>
    </w:tbl>
    <w:p w:rsidR="00000000" w:rsidDel="00000000" w:rsidP="00000000" w:rsidRDefault="00000000" w:rsidRPr="00000000" w14:paraId="00000093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after="280" w:before="280" w:line="240" w:lineRule="auto"/>
        <w:rPr>
          <w:rFonts w:ascii="fkGroteskNeue" w:cs="fkGroteskNeue" w:eastAsia="fkGroteskNeue" w:hAnsi="fkGroteskNeue"/>
          <w:sz w:val="24"/>
          <w:szCs w:val="24"/>
        </w:rPr>
      </w:pPr>
      <w:r w:rsidDel="00000000" w:rsidR="00000000" w:rsidRPr="00000000">
        <w:rPr>
          <w:rFonts w:ascii="fkGroteskNeue" w:cs="fkGroteskNeue" w:eastAsia="fkGroteskNeue" w:hAnsi="fkGroteskNeue"/>
          <w:sz w:val="24"/>
          <w:szCs w:val="24"/>
          <w:rtl w:val="0"/>
        </w:rPr>
        <w:t xml:space="preserve">Overall, FUTUREYOU demonstrates strong practices in fairness, well-being, safety, and inclusion, with moderate room for improvement in transparency, privacy compliance, accountability formalization, and environmental responsibility. The numeric ratings reflect where extensive policies exist versus where notable gaps remain.</w:t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fkGroteskNeue"/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my-2" w:customStyle="1">
    <w:name w:val="my-2"/>
    <w:basedOn w:val="Normal"/>
    <w:rsid w:val="000E22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0E22B4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1404C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udw5W0JuCBkZHPIYbJM7dWdlw==">CgMxLjAyDmgudnYyenk5dGd4aGxsMg5oLmphcG96eGNyMGFnbDgAciExOENlRzJJOWhDNm1VVGs0OS0tNkJmcktiTzU0MlhQbFA=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2025-10-04T20:14:00Z</dcterms:created>
  <dc:creator>html-to-docx</dc:creator>
</cp:coreProperties>
</file>