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i/>
          <w:sz w:val="20"/>
        </w:rPr>
        <w:t>Judul Tugas Akhir</w:t>
      </w:r>
      <w:r>
        <w:rPr>
          <w:rFonts w:ascii="Arial" w:hAnsi="Arial"/>
          <w:sz w:val="20"/>
        </w:rPr>
        <w:t>:</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after="80" w:line="276" w:lineRule="auto"/>
        <w:ind w:firstLine="567"/>
        <w:jc w:val="both"/>
      </w:pPr>
      <w:r>
        <w:rPr>
          <w:rFonts w:ascii="Arial" w:hAnsi="Arial"/>
          <w:sz w:val="20"/>
        </w:rPr>
        <w:t>(</w:t>
      </w:r>
      <w:r>
        <w:rPr>
          <w:rFonts w:ascii="Arial" w:hAnsi="Arial"/>
          <w:i/>
          <w:sz w:val="20"/>
        </w:rPr>
        <w:t>Title</w:t>
      </w:r>
      <w:r>
        <w:rPr>
          <w:rFonts w:ascii="Arial" w:hAnsi="Arial"/>
          <w:sz w:val="20"/>
        </w:rPr>
        <w:t>: Analysis of Kinematics, Dynamics, and Optimal Kalman Filter State Estimation for Vision-Based Tracking in an Over-Actuated 8-Thruster 6-DOF Vectored AUV)</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before="160" w:after="60"/>
      </w:pPr>
      <w:r>
        <w:rPr>
          <w:rFonts w:ascii="Arial" w:hAnsi="Arial"/>
          <w:b/>
          <w:sz w:val="19"/>
        </w:rPr>
        <w:t>Tabel 2.1 merangkum matriks sintesis literatur terkini (2021–2025) yang menjadi pijakan komparatif dan fondasi kebaruan (</w:t>
      </w:r>
      <w:r>
        <w:rPr>
          <w:rFonts w:ascii="Arial" w:hAnsi="Arial"/>
          <w:b/>
          <w:i/>
          <w:sz w:val="19"/>
        </w:rPr>
        <w:t>novelty</w:t>
      </w:r>
      <w:r>
        <w:rPr>
          <w:rFonts w:ascii="Arial" w:hAnsi="Arial"/>
          <w:b/>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6-DOF (8 </w:t>
            </w:r>
            <w:r>
              <w:rPr>
                <w:rFonts w:ascii="Arial" w:hAnsi="Arial"/>
                <w:i/>
                <w:sz w:val="17"/>
              </w:rPr>
              <w:t>Thruster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(visual tracking)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(pitch unactuated).</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mengabaikan aktuasi pitch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Merupakan artikel survei literatur; tidak merumuskan arsitektur kendali alokasi daya dorong atau implementasi software-in-the-loop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(hull</w:t>
            </w:r>
            <w:r>
              <w:rPr>
                <w:rFonts w:ascii="Arial" w:hAnsi="Arial"/>
                <w:i/>
                <w:sz w:val="17"/>
              </w:rPr>
              <w:t>), baling-baling (</w:t>
            </w:r>
            <w:r>
              <w:rPr>
                <w:rFonts w:ascii="Arial" w:hAnsi="Arial"/>
                <w:sz w:val="17"/>
              </w:rPr>
              <w:t>propeller</w:t>
            </w:r>
            <w:r>
              <w:rPr>
                <w:rFonts w:ascii="Arial" w:hAnsi="Arial"/>
                <w:i/>
                <w:sz w:val="17"/>
              </w:rPr>
              <w:t>), dan sirip kemudi (</w:t>
            </w:r>
            <w:r>
              <w:rPr>
                <w:rFonts w:ascii="Arial" w:hAnsi="Arial"/>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(vectored thrusters).</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occlusion.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firmware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flight controller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Menitikberatkan pada uji identifikasi parameter offline</w:t>
            </w:r>
            <w:r>
              <w:rPr>
                <w:rFonts w:ascii="Arial" w:hAnsi="Arial"/>
                <w:i/>
                <w:sz w:val="17"/>
              </w:rPr>
              <w:t>; tidak mengkaji penapis keadaan Kalman</w:t>
            </w:r>
            <w:r>
              <w:rPr>
                <w:rFonts w:ascii="Arial" w:hAnsi="Arial"/>
                <w:sz w:val="17"/>
              </w:rPr>
              <w:t>real-time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i/>
          <w:sz w:val="20"/>
        </w:rPr>
        <w:t>Identifikasi Koefisien Hidrodinamika dan Efek Interaksi Fluida</w:t>
      </w:r>
      <w:r>
        <w:rPr>
          <w:rFonts w:ascii="Arial" w:hAnsi="Arial"/>
          <w:sz w:val="20"/>
        </w:rPr>
        <w:t>: Ahmed dkk. (2023) serta Hong dkk. (2024) memetakan metode penentuan koefisien hidrodinamika dari uji semi-empiris, uji tangki tarik Planar Motion Mechanism</w:t>
      </w:r>
      <w:r>
        <w:rPr>
          <w:rFonts w:ascii="Arial" w:hAnsi="Arial"/>
          <w:i/>
          <w:sz w:val="20"/>
        </w:rPr>
        <w:t>(PMM), hingga simulasi</w:t>
      </w:r>
      <w:r>
        <w:rPr>
          <w:rFonts w:ascii="Arial" w:hAnsi="Arial"/>
          <w:sz w:val="20"/>
        </w:rPr>
        <w:t>Computational Fluid Dynamics</w:t>
      </w:r>
      <w:r>
        <w:rPr>
          <w:rFonts w:ascii="Arial" w:hAnsi="Arial"/>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sz w:val="20"/>
        </w:rPr>
        <w:t>two-way hull-propeller coupled effect</w:t>
      </w:r>
      <w:r>
        <w:rPr>
          <w:rFonts w:ascii="Arial" w:hAnsi="Arial"/>
          <w:i/>
          <w:sz w:val="20"/>
        </w:rPr>
        <w:t>) pada wahana</w:t>
      </w:r>
      <w:r>
        <w:rPr>
          <w:rFonts w:ascii="Arial" w:hAnsi="Arial"/>
          <w:sz w:val="20"/>
        </w:rPr>
        <w:t>fully-actuated</w:t>
      </w:r>
      <w:r>
        <w:rPr>
          <w:rFonts w:ascii="Arial" w:hAnsi="Arial"/>
          <w:i/>
          <w:sz w:val="20"/>
        </w:rPr>
        <w:t>dipaparkan secara mendalam oleh Xia dkk. (2025) [37]. Lebih lanjut, Song dkk. (2023) serta Sun dkk. (2022) mengkombinasikan komputasi CFD dengan algoritma genetika (</w:t>
      </w:r>
      <w:r>
        <w:rPr>
          <w:rFonts w:ascii="Arial" w:hAnsi="Arial"/>
          <w:sz w:val="20"/>
        </w:rPr>
        <w:t>genetic algorithms)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i/>
          <w:sz w:val="20"/>
        </w:rPr>
        <w:t>Arsitektur Perangkat Lunak dan Keras Modular Berbasis Rekayasa Sistem</w:t>
      </w:r>
      <w:r>
        <w:rPr>
          <w:rFonts w:ascii="Arial" w:hAnsi="Arial"/>
          <w:sz w:val="20"/>
        </w:rPr>
        <w:t>: Kompleksitas integrasi sensor dan aktuasi redundan menuntut modularitas tinggi. McIvor dkk. (2024) merumuskan arsitektur Entity-Component-System</w:t>
      </w:r>
      <w:r>
        <w:rPr>
          <w:rFonts w:ascii="Arial" w:hAnsi="Arial"/>
          <w:i/>
          <w:sz w:val="20"/>
        </w:rPr>
        <w:t>(ECS) yang memisahkan status komponen fisik dari eksekusi logika kendali, memfasilitasi komputasi invers semu Moore-Penrose secara agnostik terhadap konfigurasi</w:t>
      </w:r>
      <w:r>
        <w:rPr>
          <w:rFonts w:ascii="Arial" w:hAnsi="Arial"/>
          <w:sz w:val="20"/>
        </w:rPr>
        <w:t>thruster</w:t>
      </w:r>
      <w:r>
        <w:rPr>
          <w:rFonts w:ascii="Arial" w:hAnsi="Arial"/>
          <w:i/>
          <w:sz w:val="20"/>
        </w:rPr>
        <w:t>[20]. Zuluaga dkk. (2022) serta Gieraths dkk. (2023) menetapkan metodologi</w:t>
      </w:r>
      <w:r>
        <w:rPr>
          <w:rFonts w:ascii="Arial" w:hAnsi="Arial"/>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i/>
          <w:sz w:val="20"/>
        </w:rPr>
        <w:t>Navigasi Bawah Air, Digital Twin, dan Dinamika Tether</w:t>
      </w:r>
      <w:r>
        <w:rPr>
          <w:rFonts w:ascii="Arial" w:hAnsi="Arial"/>
          <w:sz w:val="20"/>
        </w:rPr>
        <w:t>: Tinjauan mendalam mengenai algoritma penentuan posisi (localization</w:t>
      </w:r>
      <w:r>
        <w:rPr>
          <w:rFonts w:ascii="Arial" w:hAnsi="Arial"/>
          <w:i/>
          <w:sz w:val="20"/>
        </w:rPr>
        <w:t>) dan perencanaan jalur (</w:t>
      </w:r>
      <w:r>
        <w:rPr>
          <w:rFonts w:ascii="Arial" w:hAnsi="Arial"/>
          <w:sz w:val="20"/>
        </w:rPr>
        <w:t>path planning</w:t>
      </w:r>
      <w:r>
        <w:rPr>
          <w:rFonts w:ascii="Arial" w:hAnsi="Arial"/>
          <w:i/>
          <w:sz w:val="20"/>
        </w:rPr>
        <w:t>) oleh Zhang dkk. (2023) serta Pandian dkk. (2023) menyoroti pentingnya keandalan estimasi status di lingkungan tanpa GPS [22], [39]. Karras dkk. (2024) membuktikan bahwa metodologi berbasis simulasi (</w:t>
      </w:r>
      <w:r>
        <w:rPr>
          <w:rFonts w:ascii="Arial" w:hAnsi="Arial"/>
          <w:sz w:val="20"/>
        </w:rPr>
        <w:t>simulation-driven approach</w:t>
      </w:r>
      <w:r>
        <w:rPr>
          <w:rFonts w:ascii="Arial" w:hAnsi="Arial"/>
          <w:i/>
          <w:sz w:val="20"/>
        </w:rPr>
        <w:t>) sangat efektif memitigasi risiko transisi dari perairan virtual ke lautan riil [15]. Penggunaan</w:t>
      </w:r>
      <w:r>
        <w:rPr>
          <w:rFonts w:ascii="Arial" w:hAnsi="Arial"/>
          <w:sz w:val="20"/>
        </w:rPr>
        <w:t>digital twin</w:t>
      </w:r>
      <w:r>
        <w:rPr>
          <w:rFonts w:ascii="Arial" w:hAnsi="Arial"/>
          <w:i/>
          <w:sz w:val="20"/>
        </w:rPr>
        <w:t>3D untuk memvalidasi algoritma pembelajaran penguatan mendalam (</w:t>
      </w:r>
      <w:r>
        <w:rPr>
          <w:rFonts w:ascii="Arial" w:hAnsi="Arial"/>
          <w:sz w:val="20"/>
        </w:rPr>
        <w:t>Deep Reinforcement Learning</w:t>
      </w:r>
      <w:r>
        <w:rPr>
          <w:rFonts w:ascii="Arial" w:hAnsi="Arial"/>
          <w:i/>
          <w:sz w:val="20"/>
        </w:rPr>
        <w:t>) pada platform BlueROV2 dieksplorasi oleh Mari dkk. (2026) [19]. Pengaruh dinamika kabel</w:t>
      </w:r>
      <w:r>
        <w:rPr>
          <w:rFonts w:ascii="Arial" w:hAnsi="Arial"/>
          <w:sz w:val="20"/>
        </w:rPr>
        <w:t>tether</w:t>
      </w:r>
      <w:r>
        <w:rPr>
          <w:rFonts w:ascii="Arial" w:hAnsi="Arial"/>
          <w:i/>
          <w:sz w:val="20"/>
        </w:rPr>
        <w:t>dan sistem multi-wahana dianalisis oleh Franchi dkk. (2022) serta Gaggero dkk. (2024) menggunakan sensor tegangan dan sistem penangkap gerak (</w:t>
      </w:r>
      <w:r>
        <w:rPr>
          <w:rFonts w:ascii="Arial" w:hAnsi="Arial"/>
          <w:sz w:val="20"/>
        </w:rPr>
        <w:t>motion capture),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i/>
          <w:sz w:val="20"/>
        </w:rPr>
        <w:t>Kendali Kokoh dan Estimasi Adaptif</w:t>
      </w:r>
      <w:r>
        <w:rPr>
          <w:rFonts w:ascii="Arial" w:hAnsi="Arial"/>
          <w:sz w:val="20"/>
        </w:rPr>
        <w:t>: Kendali trajektori berbasis pemicu kejadian (event-triggered</w:t>
      </w:r>
      <w:r>
        <w:rPr>
          <w:rFonts w:ascii="Arial" w:hAnsi="Arial"/>
          <w:i/>
          <w:sz w:val="20"/>
        </w:rPr>
        <w:t>) dengan</w:t>
      </w:r>
      <w:r>
        <w:rPr>
          <w:rFonts w:ascii="Arial" w:hAnsi="Arial"/>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ind w:left="567" w:hanging="283"/>
      </w:pPr>
      <w:r>
        <w:rPr>
          <w:rFonts w:ascii="Arial" w:hAnsi="Arial"/>
        </w:rPr>
        <w:t xml:space="preserve">•  </w:t>
      </w:r>
      <w:r>
        <w:rPr>
          <w:rFonts w:ascii="Arial" w:hAnsi="Arial"/>
          <w:i/>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i/>
          <w:sz w:val="20"/>
        </w:rPr>
        <w:t>Sumbu $$x_n$$</w:t>
      </w:r>
      <w:r>
        <w:rPr>
          <w:rFonts w:ascii="Arial" w:hAnsi="Arial"/>
          <w:sz w:val="20"/>
        </w:rPr>
        <w:t>: Mengarah horizontal ke arah Utara sejati (true North).</w:t>
      </w:r>
    </w:p>
    <w:p>
      <w:pPr>
        <w:spacing w:after="60"/>
        <w:ind w:left="567" w:hanging="283"/>
      </w:pPr>
      <w:r>
        <w:rPr>
          <w:rFonts w:ascii="Arial" w:hAnsi="Arial"/>
        </w:rPr>
        <w:t xml:space="preserve">•  </w:t>
      </w:r>
      <w:r>
        <w:rPr>
          <w:rFonts w:ascii="Arial" w:hAnsi="Arial"/>
          <w:i/>
          <w:sz w:val="20"/>
        </w:rPr>
        <w:t>Sumbu $$y_n$$</w:t>
      </w:r>
      <w:r>
        <w:rPr>
          <w:rFonts w:ascii="Arial" w:hAnsi="Arial"/>
          <w:sz w:val="20"/>
        </w:rPr>
        <w:t>: Mengarah horizontal ke arah Timur sejati (true East).</w:t>
      </w:r>
    </w:p>
    <w:p>
      <w:pPr>
        <w:spacing w:after="60"/>
        <w:ind w:left="567" w:hanging="283"/>
      </w:pPr>
      <w:r>
        <w:rPr>
          <w:rFonts w:ascii="Arial" w:hAnsi="Arial"/>
        </w:rPr>
        <w:t xml:space="preserve">•  </w:t>
      </w:r>
      <w:r>
        <w:rPr>
          <w:rFonts w:ascii="Arial" w:hAnsi="Arial"/>
          <w:i/>
          <w:sz w:val="20"/>
        </w:rPr>
        <w:t>Sumbu $$z_n$$</w:t>
      </w:r>
      <w:r>
        <w:rPr>
          <w:rFonts w:ascii="Arial" w:hAnsi="Arial"/>
          <w:sz w:val="20"/>
        </w:rPr>
        <w:t xml:space="preserve">: Mengarah vertikal tegak lurus ke bawah (Down)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i/>
          <w:sz w:val="20"/>
        </w:rPr>
        <w:t>Titik Asal Bodi ($$O_b$$)</w:t>
      </w:r>
      <w:r>
        <w:rPr>
          <w:rFonts w:ascii="Arial" w:hAnsi="Arial"/>
          <w:sz w:val="20"/>
        </w:rPr>
        <w:t>: Ditetapkan pada Pusat Geometris Wahana (Center of Origin</w:t>
      </w:r>
      <w:r>
        <w:rPr>
          <w:rFonts w:ascii="Arial" w:hAnsi="Arial"/>
          <w:i/>
          <w:sz w:val="20"/>
        </w:rPr>
        <w:t>/ CO), yang bertepatan dengan pusat geometris tabung tekanan akrilik utama (</w:t>
      </w:r>
      <w:r>
        <w:rPr>
          <w:rFonts w:ascii="Arial" w:hAnsi="Arial"/>
          <w:sz w:val="20"/>
        </w:rPr>
        <w:t>electronic enclosure).</w:t>
      </w:r>
    </w:p>
    <w:p>
      <w:pPr>
        <w:spacing w:after="60"/>
        <w:ind w:left="567" w:hanging="283"/>
      </w:pPr>
      <w:r>
        <w:rPr>
          <w:rFonts w:ascii="Arial" w:hAnsi="Arial"/>
        </w:rPr>
        <w:t xml:space="preserve">•  </w:t>
      </w:r>
      <w:r>
        <w:rPr>
          <w:rFonts w:ascii="Arial" w:hAnsi="Arial"/>
          <w:i/>
          <w:sz w:val="20"/>
        </w:rPr>
        <w:t>Sumbu Longitudinal ($$x_b$$)</w:t>
      </w:r>
      <w:r>
        <w:rPr>
          <w:rFonts w:ascii="Arial" w:hAnsi="Arial"/>
          <w:sz w:val="20"/>
        </w:rPr>
        <w:t>: Mengarah maju ke arah haluan wahana (Forward / Bow</w:t>
      </w:r>
      <w:r>
        <w:rPr>
          <w:rFonts w:ascii="Arial" w:hAnsi="Arial"/>
          <w:i/>
          <w:sz w:val="20"/>
        </w:rPr>
        <w:t>), mendefinisikan gerak translasi</w:t>
      </w:r>
      <w:r>
        <w:rPr>
          <w:rFonts w:ascii="Arial" w:hAnsi="Arial"/>
          <w:sz w:val="20"/>
        </w:rPr>
        <w:t>Surge.</w:t>
      </w:r>
    </w:p>
    <w:p>
      <w:pPr>
        <w:spacing w:after="60"/>
        <w:ind w:left="567" w:hanging="283"/>
      </w:pPr>
      <w:r>
        <w:rPr>
          <w:rFonts w:ascii="Arial" w:hAnsi="Arial"/>
        </w:rPr>
        <w:t xml:space="preserve">•  </w:t>
      </w:r>
      <w:r>
        <w:rPr>
          <w:rFonts w:ascii="Arial" w:hAnsi="Arial"/>
          <w:i/>
          <w:sz w:val="20"/>
        </w:rPr>
        <w:t>Sumbu Transversal ($$y_b$$)</w:t>
      </w:r>
      <w:r>
        <w:rPr>
          <w:rFonts w:ascii="Arial" w:hAnsi="Arial"/>
          <w:sz w:val="20"/>
        </w:rPr>
        <w:t>: Mengarah ke sisi kanan lambung wahana (Starboard</w:t>
      </w:r>
      <w:r>
        <w:rPr>
          <w:rFonts w:ascii="Arial" w:hAnsi="Arial"/>
          <w:i/>
          <w:sz w:val="20"/>
        </w:rPr>
        <w:t>), mendefinisikan gerak translasi</w:t>
      </w:r>
      <w:r>
        <w:rPr>
          <w:rFonts w:ascii="Arial" w:hAnsi="Arial"/>
          <w:sz w:val="20"/>
        </w:rPr>
        <w:t>Sway.</w:t>
      </w:r>
    </w:p>
    <w:p>
      <w:pPr>
        <w:spacing w:after="60"/>
        <w:ind w:left="567" w:hanging="283"/>
      </w:pPr>
      <w:r>
        <w:rPr>
          <w:rFonts w:ascii="Arial" w:hAnsi="Arial"/>
        </w:rPr>
        <w:t xml:space="preserve">•  </w:t>
      </w:r>
      <w:r>
        <w:rPr>
          <w:rFonts w:ascii="Arial" w:hAnsi="Arial"/>
          <w:i/>
          <w:sz w:val="20"/>
        </w:rPr>
        <w:t>Sumbu Normal ($$z_b$$)</w:t>
      </w:r>
      <w:r>
        <w:rPr>
          <w:rFonts w:ascii="Arial" w:hAnsi="Arial"/>
          <w:sz w:val="20"/>
        </w:rPr>
        <w:t>: Mengarah tegak lurus ke bawah menembus lunas wahana (Down / Keel</w:t>
      </w:r>
      <w:r>
        <w:rPr>
          <w:rFonts w:ascii="Arial" w:hAnsi="Arial"/>
          <w:i/>
          <w:sz w:val="20"/>
        </w:rPr>
        <w:t>), mendefinisikan gerak translasi</w:t>
      </w:r>
      <w:r>
        <w:rPr>
          <w:rFonts w:ascii="Arial" w:hAnsi="Arial"/>
          <w:sz w:val="20"/>
        </w:rPr>
        <w:t>Heave.</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i/>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ind w:left="567" w:hanging="340"/>
      </w:pPr>
      <w:r>
        <w:rPr>
          <w:b/>
        </w:rPr>
        <w:t xml:space="preserve">2.  </w:t>
      </w:r>
      <w:r>
        <w:rPr>
          <w:rFonts w:ascii="Arial" w:hAnsi="Arial"/>
          <w:i/>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ind w:left="567" w:hanging="340"/>
      </w:pPr>
      <w:r>
        <w:rPr>
          <w:b/>
        </w:rPr>
        <w:t xml:space="preserve">3.  </w:t>
      </w:r>
      <w:r>
        <w:rPr>
          <w:rFonts w:ascii="Arial" w:hAnsi="Arial"/>
          <w:i/>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ind w:left="567" w:hanging="340"/>
      </w:pPr>
      <w:r>
        <w:rPr>
          <w:b/>
        </w:rPr>
        <w:t xml:space="preserve">1.  </w:t>
      </w:r>
      <w:r>
        <w:rPr>
          <w:rFonts w:ascii="Arial" w:hAnsi="Arial"/>
          <w:i/>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i/>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ind w:left="567" w:hanging="340"/>
      </w:pPr>
      <w:r>
        <w:rPr>
          <w:b/>
        </w:rPr>
        <w:t xml:space="preserve">1.  </w:t>
      </w:r>
      <w:r>
        <w:rPr>
          <w:rFonts w:ascii="Arial" w:hAnsi="Arial"/>
          <w:i/>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i/>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i/>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i/>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i/>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i/>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i/>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i/>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ind w:left="567" w:hanging="340"/>
      </w:pPr>
      <w:r>
        <w:rPr>
          <w:b/>
        </w:rPr>
        <w:t xml:space="preserve">1.  </w:t>
      </w:r>
      <w:r>
        <w:rPr>
          <w:rFonts w:ascii="Arial" w:hAnsi="Arial"/>
          <w:i/>
          <w:sz w:val="20"/>
        </w:rPr>
        <w:t>Topside/Onboard Visual Target Kalman Filter (`AUVVisualKalmanFilter`)</w:t>
      </w:r>
      <w:r>
        <w:rPr>
          <w:rFonts w:ascii="Arial" w:hAnsi="Arial"/>
          <w:sz w:val="20"/>
        </w:rPr>
        <w:t>: Penapis Kalman linier diskrit 8-dimensi untuk melacak kotak pembatas (bounding box) target visual deteksi YOLO monokuler pada laju 30 FPS.</w:t>
      </w:r>
    </w:p>
    <w:p>
      <w:pPr>
        <w:spacing w:after="60"/>
        <w:ind w:left="567" w:hanging="340"/>
      </w:pPr>
      <w:r>
        <w:rPr>
          <w:b/>
        </w:rPr>
        <w:t xml:space="preserve">2.  </w:t>
      </w:r>
      <w:r>
        <w:rPr>
          <w:rFonts w:ascii="Arial" w:hAnsi="Arial"/>
          <w:i/>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(state transition matrix).</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i/>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i/>
          <w:sz w:val="20"/>
        </w:rPr>
        <w:t>Sensor Kecepatan DVL / Model Estimasi Samping</w:t>
      </w:r>
      <w:r>
        <w:rPr>
          <w:rFonts w:ascii="Arial" w:hAnsi="Arial"/>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i/>
          <w:sz w:val="20"/>
        </w:rPr>
        <w:t>[1]</w:t>
      </w:r>
      <w:r>
        <w:rPr>
          <w:rFonts w:ascii="Arial" w:hAnsi="Arial"/>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ind w:left="567" w:hanging="283"/>
      </w:pPr>
      <w:r>
        <w:rPr>
          <w:rFonts w:ascii="Arial" w:hAnsi="Arial"/>
        </w:rPr>
        <w:t xml:space="preserve">•  </w:t>
      </w:r>
      <w:r>
        <w:rPr>
          <w:rFonts w:ascii="Arial" w:hAnsi="Arial"/>
          <w:i/>
          <w:sz w:val="20"/>
        </w:rPr>
        <w:t>[2]</w:t>
      </w:r>
      <w:r>
        <w:rPr>
          <w:rFonts w:ascii="Arial" w:hAnsi="Arial"/>
          <w:sz w:val="20"/>
        </w:rPr>
        <w:t xml:space="preserve"> Alinei-Poiană, T., Rețe, D., Martinovici, D., Maer, V. M., &amp; Bușoniu, L. (2024). A BlueROV2-Based Platform for Underwater Mapping Experiments. IFAC-PapersOnLine, 58(20), 470–475. https://doi.org/10.1016/j.ifacol.2024.10.098</w:t>
      </w:r>
    </w:p>
    <w:p>
      <w:pPr>
        <w:spacing w:after="60"/>
        <w:ind w:left="567" w:hanging="283"/>
      </w:pPr>
      <w:r>
        <w:rPr>
          <w:rFonts w:ascii="Arial" w:hAnsi="Arial"/>
        </w:rPr>
        <w:t xml:space="preserve">•  </w:t>
      </w:r>
      <w:r>
        <w:rPr>
          <w:rFonts w:ascii="Arial" w:hAnsi="Arial"/>
          <w:i/>
          <w:sz w:val="20"/>
        </w:rPr>
        <w:t>[3]</w:t>
      </w:r>
      <w:r>
        <w:rPr>
          <w:rFonts w:ascii="Arial" w:hAnsi="Arial"/>
          <w:sz w:val="20"/>
        </w:rPr>
        <w:t xml:space="preserve"> Blue Robotics (2024). BlueROV2 Heavy Configuration Retrofit Operating Guide and Technical Specifications. Blue Robotics Inc., Torrance, CA, USA.</w:t>
      </w:r>
    </w:p>
    <w:p>
      <w:pPr>
        <w:spacing w:after="60"/>
        <w:ind w:left="567" w:hanging="283"/>
      </w:pPr>
      <w:r>
        <w:rPr>
          <w:rFonts w:ascii="Arial" w:hAnsi="Arial"/>
        </w:rPr>
        <w:t xml:space="preserve">•  </w:t>
      </w:r>
      <w:r>
        <w:rPr>
          <w:rFonts w:ascii="Arial" w:hAnsi="Arial"/>
          <w:i/>
          <w:sz w:val="20"/>
        </w:rPr>
        <w:t>[4]</w:t>
      </w:r>
      <w:r>
        <w:rPr>
          <w:rFonts w:ascii="Arial" w:hAnsi="Arial"/>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ind w:left="567" w:hanging="283"/>
      </w:pPr>
      <w:r>
        <w:rPr>
          <w:rFonts w:ascii="Arial" w:hAnsi="Arial"/>
        </w:rPr>
        <w:t xml:space="preserve">•  </w:t>
      </w:r>
      <w:r>
        <w:rPr>
          <w:rFonts w:ascii="Arial" w:hAnsi="Arial"/>
          <w:i/>
          <w:sz w:val="20"/>
        </w:rPr>
        <w:t>[5]</w:t>
      </w:r>
      <w:r>
        <w:rPr>
          <w:rFonts w:ascii="Arial" w:hAnsi="Arial"/>
          <w:sz w:val="20"/>
        </w:rPr>
        <w:t xml:space="preserve"> Det Norske Veritas (DNV) (2021). Environmental Conditions and Environmental Loads / Modelling and Analysis of Marine Operations. Recommended Practice DNVGL-RP-N103, Oslo, Norway.</w:t>
      </w:r>
    </w:p>
    <w:p>
      <w:pPr>
        <w:spacing w:after="60"/>
        <w:ind w:left="567" w:hanging="283"/>
      </w:pPr>
      <w:r>
        <w:rPr>
          <w:rFonts w:ascii="Arial" w:hAnsi="Arial"/>
        </w:rPr>
        <w:t xml:space="preserve">•  </w:t>
      </w:r>
      <w:r>
        <w:rPr>
          <w:rFonts w:ascii="Arial" w:hAnsi="Arial"/>
          <w:i/>
          <w:sz w:val="20"/>
        </w:rPr>
        <w:t>[6]</w:t>
      </w:r>
      <w:r>
        <w:rPr>
          <w:rFonts w:ascii="Arial" w:hAnsi="Arial"/>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ind w:left="567" w:hanging="283"/>
      </w:pPr>
      <w:r>
        <w:rPr>
          <w:rFonts w:ascii="Arial" w:hAnsi="Arial"/>
        </w:rPr>
        <w:t xml:space="preserve">•  </w:t>
      </w:r>
      <w:r>
        <w:rPr>
          <w:rFonts w:ascii="Arial" w:hAnsi="Arial"/>
          <w:i/>
          <w:sz w:val="20"/>
        </w:rPr>
        <w:t>[7]</w:t>
      </w:r>
      <w:r>
        <w:rPr>
          <w:rFonts w:ascii="Arial" w:hAnsi="Arial"/>
          <w:sz w:val="20"/>
        </w:rPr>
        <w:t xml:space="preserve"> Fossen, T. I. (2021). Handbook of Marine Craft Hydrodynamics and Motion Control. John Wiley &amp; Sons, 2nd Edition, Hoboken, NJ, USA.</w:t>
      </w:r>
    </w:p>
    <w:p>
      <w:pPr>
        <w:spacing w:after="60"/>
        <w:ind w:left="567" w:hanging="283"/>
      </w:pPr>
      <w:r>
        <w:rPr>
          <w:rFonts w:ascii="Arial" w:hAnsi="Arial"/>
        </w:rPr>
        <w:t xml:space="preserve">•  </w:t>
      </w:r>
      <w:r>
        <w:rPr>
          <w:rFonts w:ascii="Arial" w:hAnsi="Arial"/>
          <w:i/>
          <w:sz w:val="20"/>
        </w:rPr>
        <w:t>[8]</w:t>
      </w:r>
      <w:r>
        <w:rPr>
          <w:rFonts w:ascii="Arial" w:hAnsi="Arial"/>
          <w:sz w:val="20"/>
        </w:rPr>
        <w:t xml:space="preserve"> Franchi, M., Ridolfi, A., &amp; Allotta, B. (2022). Tethered Multi-Robot Systems in Marine Environments: A Review. Current Robotics Reports, 3(4), 229–239. https://doi.org/10.1007/s43154-022-00091-x</w:t>
      </w:r>
    </w:p>
    <w:p>
      <w:pPr>
        <w:spacing w:after="60"/>
        <w:ind w:left="567" w:hanging="283"/>
      </w:pPr>
      <w:r>
        <w:rPr>
          <w:rFonts w:ascii="Arial" w:hAnsi="Arial"/>
        </w:rPr>
        <w:t xml:space="preserve">•  </w:t>
      </w:r>
      <w:r>
        <w:rPr>
          <w:rFonts w:ascii="Arial" w:hAnsi="Arial"/>
          <w:i/>
          <w:sz w:val="20"/>
        </w:rPr>
        <w:t>[9]</w:t>
      </w:r>
      <w:r>
        <w:rPr>
          <w:rFonts w:ascii="Arial" w:hAnsi="Arial"/>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ind w:left="567" w:hanging="283"/>
      </w:pPr>
      <w:r>
        <w:rPr>
          <w:rFonts w:ascii="Arial" w:hAnsi="Arial"/>
        </w:rPr>
        <w:t xml:space="preserve">•  </w:t>
      </w:r>
      <w:r>
        <w:rPr>
          <w:rFonts w:ascii="Arial" w:hAnsi="Arial"/>
          <w:i/>
          <w:sz w:val="20"/>
        </w:rPr>
        <w:t>[10]</w:t>
      </w:r>
      <w:r>
        <w:rPr>
          <w:rFonts w:ascii="Arial" w:hAnsi="Arial"/>
          <w:sz w:val="20"/>
        </w:rPr>
        <w:t xml:space="preserve"> Ge, Z., Yang, F., Lu, W., Wei, P., Ying, Y., &amp; Peng, C. (2025). A Navigation System for ROV's Inspection on Fish Net Cage. IFAC-PapersOnLine, arXiv:2503.00482.</w:t>
      </w:r>
    </w:p>
    <w:p>
      <w:pPr>
        <w:spacing w:after="60"/>
        <w:ind w:left="567" w:hanging="283"/>
      </w:pPr>
      <w:r>
        <w:rPr>
          <w:rFonts w:ascii="Arial" w:hAnsi="Arial"/>
        </w:rPr>
        <w:t xml:space="preserve">•  </w:t>
      </w:r>
      <w:r>
        <w:rPr>
          <w:rFonts w:ascii="Arial" w:hAnsi="Arial"/>
          <w:i/>
          <w:sz w:val="20"/>
        </w:rPr>
        <w:t>[11]</w:t>
      </w:r>
      <w:r>
        <w:rPr>
          <w:rFonts w:ascii="Arial" w:hAnsi="Arial"/>
          <w:sz w:val="20"/>
        </w:rPr>
        <w:t xml:space="preserve"> Gieraths, M., Kuchelmeister, F., &amp; Albiez, J. (2023). Modular Hardware Architecture for the Development of Underwater Vehicles Based on Systems Engineering. Sensors, 23(17), 7481. https://doi.org/10.3390/s23177481</w:t>
      </w:r>
    </w:p>
    <w:p>
      <w:pPr>
        <w:spacing w:after="60"/>
        <w:ind w:left="567" w:hanging="283"/>
      </w:pPr>
      <w:r>
        <w:rPr>
          <w:rFonts w:ascii="Arial" w:hAnsi="Arial"/>
        </w:rPr>
        <w:t xml:space="preserve">•  </w:t>
      </w:r>
      <w:r>
        <w:rPr>
          <w:rFonts w:ascii="Arial" w:hAnsi="Arial"/>
          <w:i/>
          <w:sz w:val="20"/>
        </w:rPr>
        <w:t>[12]</w:t>
      </w:r>
      <w:r>
        <w:rPr>
          <w:rFonts w:ascii="Arial" w:hAnsi="Arial"/>
          <w:sz w:val="20"/>
        </w:rPr>
        <w:t xml:space="preserve"> Hong, L., Wang, X., &amp; Zhang, D. (2024). CFD-Based Hydrodynamic Performance Investigation of Autonomous Underwater Vehicles: A Survey. Ocean Engineering, 305, 117911. https://doi.org/10.1016/j.oceaneng.2024.117911</w:t>
      </w:r>
    </w:p>
    <w:p>
      <w:pPr>
        <w:spacing w:after="60"/>
        <w:ind w:left="567" w:hanging="283"/>
      </w:pPr>
      <w:r>
        <w:rPr>
          <w:rFonts w:ascii="Arial" w:hAnsi="Arial"/>
        </w:rPr>
        <w:t xml:space="preserve">•  </w:t>
      </w:r>
      <w:r>
        <w:rPr>
          <w:rFonts w:ascii="Arial" w:hAnsi="Arial"/>
          <w:i/>
          <w:sz w:val="20"/>
        </w:rPr>
        <w:t>[13]</w:t>
      </w:r>
      <w:r>
        <w:rPr>
          <w:rFonts w:ascii="Arial" w:hAnsi="Arial"/>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ind w:left="567" w:hanging="283"/>
      </w:pPr>
      <w:r>
        <w:rPr>
          <w:rFonts w:ascii="Arial" w:hAnsi="Arial"/>
        </w:rPr>
        <w:t xml:space="preserve">•  </w:t>
      </w:r>
      <w:r>
        <w:rPr>
          <w:rFonts w:ascii="Arial" w:hAnsi="Arial"/>
          <w:i/>
          <w:sz w:val="20"/>
        </w:rPr>
        <w:t>[14]</w:t>
      </w:r>
      <w:r>
        <w:rPr>
          <w:rFonts w:ascii="Arial" w:hAnsi="Arial"/>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ind w:left="567" w:hanging="283"/>
      </w:pPr>
      <w:r>
        <w:rPr>
          <w:rFonts w:ascii="Arial" w:hAnsi="Arial"/>
        </w:rPr>
        <w:t xml:space="preserve">•  </w:t>
      </w:r>
      <w:r>
        <w:rPr>
          <w:rFonts w:ascii="Arial" w:hAnsi="Arial"/>
          <w:i/>
          <w:sz w:val="20"/>
        </w:rPr>
        <w:t>[15]</w:t>
      </w:r>
      <w:r>
        <w:rPr>
          <w:rFonts w:ascii="Arial" w:hAnsi="Arial"/>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ind w:left="567" w:hanging="283"/>
      </w:pPr>
      <w:r>
        <w:rPr>
          <w:rFonts w:ascii="Arial" w:hAnsi="Arial"/>
        </w:rPr>
        <w:t xml:space="preserve">•  </w:t>
      </w:r>
      <w:r>
        <w:rPr>
          <w:rFonts w:ascii="Arial" w:hAnsi="Arial"/>
          <w:i/>
          <w:sz w:val="20"/>
        </w:rPr>
        <w:t>[16]</w:t>
      </w:r>
      <w:r>
        <w:rPr>
          <w:rFonts w:ascii="Arial" w:hAnsi="Arial"/>
          <w:sz w:val="20"/>
        </w:rPr>
        <w:t xml:space="preserve"> Khalid, A., Sarwat, A., &amp; Riggs, H. (Eds.). (2024). Applications and Optimizations of Kalman Filter and Their Variants. IntechOpen, London, UK. https://doi.org/10.5772/intechopen.109154</w:t>
      </w:r>
    </w:p>
    <w:p>
      <w:pPr>
        <w:spacing w:after="60"/>
        <w:ind w:left="567" w:hanging="283"/>
      </w:pPr>
      <w:r>
        <w:rPr>
          <w:rFonts w:ascii="Arial" w:hAnsi="Arial"/>
        </w:rPr>
        <w:t xml:space="preserve">•  </w:t>
      </w:r>
      <w:r>
        <w:rPr>
          <w:rFonts w:ascii="Arial" w:hAnsi="Arial"/>
          <w:i/>
          <w:sz w:val="20"/>
        </w:rPr>
        <w:t>[17]</w:t>
      </w:r>
      <w:r>
        <w:rPr>
          <w:rFonts w:ascii="Arial" w:hAnsi="Arial"/>
          <w:sz w:val="20"/>
        </w:rPr>
        <w:t xml:space="preserve"> Kim, Y. V. (Ed.). (2023). Kalman Filter - Engineering Applications. IntechOpen, London, UK. https://doi.org/10.5772/intechopen.100722</w:t>
      </w:r>
    </w:p>
    <w:p>
      <w:pPr>
        <w:spacing w:after="60"/>
        <w:ind w:left="567" w:hanging="283"/>
      </w:pPr>
      <w:r>
        <w:rPr>
          <w:rFonts w:ascii="Arial" w:hAnsi="Arial"/>
        </w:rPr>
        <w:t xml:space="preserve">•  </w:t>
      </w:r>
      <w:r>
        <w:rPr>
          <w:rFonts w:ascii="Arial" w:hAnsi="Arial"/>
          <w:i/>
          <w:sz w:val="20"/>
        </w:rPr>
        <w:t>[18]</w:t>
      </w:r>
      <w:r>
        <w:rPr>
          <w:rFonts w:ascii="Arial" w:hAnsi="Arial"/>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ind w:left="567" w:hanging="283"/>
      </w:pPr>
      <w:r>
        <w:rPr>
          <w:rFonts w:ascii="Arial" w:hAnsi="Arial"/>
        </w:rPr>
        <w:t xml:space="preserve">•  </w:t>
      </w:r>
      <w:r>
        <w:rPr>
          <w:rFonts w:ascii="Arial" w:hAnsi="Arial"/>
          <w:i/>
          <w:sz w:val="20"/>
        </w:rPr>
        <w:t>[19]</w:t>
      </w:r>
      <w:r>
        <w:rPr>
          <w:rFonts w:ascii="Arial" w:hAnsi="Arial"/>
          <w:sz w:val="20"/>
        </w:rPr>
        <w:t xml:space="preserve"> Mari, Z., Nawaf, M. M., &amp; Drap, P. (2026). Deep Reinforcement Learning for Autonomous Underwater Navigation: A Comparative Study with DWA and Digital Twin Validation. Sensors, 26(2), 512. https://doi.org/10.3390/s26020512</w:t>
      </w:r>
    </w:p>
    <w:p>
      <w:pPr>
        <w:spacing w:after="60"/>
        <w:ind w:left="567" w:hanging="283"/>
      </w:pPr>
      <w:r>
        <w:rPr>
          <w:rFonts w:ascii="Arial" w:hAnsi="Arial"/>
        </w:rPr>
        <w:t xml:space="preserve">•  </w:t>
      </w:r>
      <w:r>
        <w:rPr>
          <w:rFonts w:ascii="Arial" w:hAnsi="Arial"/>
          <w:i/>
          <w:sz w:val="20"/>
        </w:rPr>
        <w:t>[20]</w:t>
      </w:r>
      <w:r>
        <w:rPr>
          <w:rFonts w:ascii="Arial" w:hAnsi="Arial"/>
          <w:sz w:val="20"/>
        </w:rPr>
        <w:t xml:space="preserve"> McIvor, E., Sklivanitis, G., &amp; Pados, D. A. (2024). A Generalizable Entity-Component-System Architecture for Underwater ROV Control. In IEEE/OES OCEANS 2024 - Singapore, pp. 1–7. https://doi.org/10.1109/OCEANS51537.2024.10682121</w:t>
      </w:r>
    </w:p>
    <w:p>
      <w:pPr>
        <w:spacing w:after="60"/>
        <w:ind w:left="567" w:hanging="283"/>
      </w:pPr>
      <w:r>
        <w:rPr>
          <w:rFonts w:ascii="Arial" w:hAnsi="Arial"/>
        </w:rPr>
        <w:t xml:space="preserve">•  </w:t>
      </w:r>
      <w:r>
        <w:rPr>
          <w:rFonts w:ascii="Arial" w:hAnsi="Arial"/>
          <w:i/>
          <w:sz w:val="20"/>
        </w:rPr>
        <w:t>[21]</w:t>
      </w:r>
      <w:r>
        <w:rPr>
          <w:rFonts w:ascii="Arial" w:hAnsi="Arial"/>
          <w:sz w:val="20"/>
        </w:rPr>
        <w:t xml:space="preserve"> Ng, P., &amp; Krieg, M. (2024). Modifications to ArduSub That Improve BlueROV SITL Accuracy and Design of Hybrid Autopilot. Applied Sciences, 14(17), 7453. https://doi.org/10.3390/app14177453</w:t>
      </w:r>
    </w:p>
    <w:p>
      <w:pPr>
        <w:spacing w:after="60"/>
        <w:ind w:left="567" w:hanging="283"/>
      </w:pPr>
      <w:r>
        <w:rPr>
          <w:rFonts w:ascii="Arial" w:hAnsi="Arial"/>
        </w:rPr>
        <w:t xml:space="preserve">•  </w:t>
      </w:r>
      <w:r>
        <w:rPr>
          <w:rFonts w:ascii="Arial" w:hAnsi="Arial"/>
          <w:i/>
          <w:sz w:val="20"/>
        </w:rPr>
        <w:t>[22]</w:t>
      </w:r>
      <w:r>
        <w:rPr>
          <w:rFonts w:ascii="Arial" w:hAnsi="Arial"/>
          <w:sz w:val="20"/>
        </w:rPr>
        <w:t xml:space="preserve"> Pandian, R. S., Sakthivel, P., &amp; Palanisamy, V. (2023). Path Planning and Obstacle Avoidance for AUV: A Review. Ocean Engineering, 285, 115456. https://doi.org/10.1016/j.oceaneng.2023.115456</w:t>
      </w:r>
    </w:p>
    <w:p>
      <w:pPr>
        <w:spacing w:after="60"/>
        <w:ind w:left="567" w:hanging="283"/>
      </w:pPr>
      <w:r>
        <w:rPr>
          <w:rFonts w:ascii="Arial" w:hAnsi="Arial"/>
        </w:rPr>
        <w:t xml:space="preserve">•  </w:t>
      </w:r>
      <w:r>
        <w:rPr>
          <w:rFonts w:ascii="Arial" w:hAnsi="Arial"/>
          <w:i/>
          <w:sz w:val="20"/>
        </w:rPr>
        <w:t>[23]</w:t>
      </w:r>
      <w:r>
        <w:rPr>
          <w:rFonts w:ascii="Arial" w:hAnsi="Arial"/>
          <w:sz w:val="20"/>
        </w:rPr>
        <w:t xml:space="preserve"> Rusu, C., Radu, V., &amp; Costanzi, R. (2023). Small Modular AUV Based on 3D Printing Technology: Design, Implementation and Experimental Validation. Sensors, 23(14), 6331. https://doi.org/10.3390/s23146331</w:t>
      </w:r>
    </w:p>
    <w:p>
      <w:pPr>
        <w:spacing w:after="60"/>
        <w:ind w:left="567" w:hanging="283"/>
      </w:pPr>
      <w:r>
        <w:rPr>
          <w:rFonts w:ascii="Arial" w:hAnsi="Arial"/>
        </w:rPr>
        <w:t xml:space="preserve">•  </w:t>
      </w:r>
      <w:r>
        <w:rPr>
          <w:rFonts w:ascii="Arial" w:hAnsi="Arial"/>
          <w:i/>
          <w:sz w:val="20"/>
        </w:rPr>
        <w:t>[24]</w:t>
      </w:r>
      <w:r>
        <w:rPr>
          <w:rFonts w:ascii="Arial" w:hAnsi="Arial"/>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ind w:left="567" w:hanging="283"/>
      </w:pPr>
      <w:r>
        <w:rPr>
          <w:rFonts w:ascii="Arial" w:hAnsi="Arial"/>
        </w:rPr>
        <w:t xml:space="preserve">•  </w:t>
      </w:r>
      <w:r>
        <w:rPr>
          <w:rFonts w:ascii="Arial" w:hAnsi="Arial"/>
          <w:i/>
          <w:sz w:val="20"/>
        </w:rPr>
        <w:t>[25]</w:t>
      </w:r>
      <w:r>
        <w:rPr>
          <w:rFonts w:ascii="Arial" w:hAnsi="Arial"/>
          <w:sz w:val="20"/>
        </w:rPr>
        <w:t xml:space="preserve"> Särkkä, S., &amp; Svensson, L. (2023). Bayesian Filtering and Smoothing. Cambridge University Press, 2nd Edition, Cambridge, UK. https://doi.org/10.1017/9781108910002</w:t>
      </w:r>
    </w:p>
    <w:p>
      <w:pPr>
        <w:spacing w:after="60"/>
        <w:ind w:left="567" w:hanging="283"/>
      </w:pPr>
      <w:r>
        <w:rPr>
          <w:rFonts w:ascii="Arial" w:hAnsi="Arial"/>
        </w:rPr>
        <w:t xml:space="preserve">•  </w:t>
      </w:r>
      <w:r>
        <w:rPr>
          <w:rFonts w:ascii="Arial" w:hAnsi="Arial"/>
          <w:i/>
          <w:sz w:val="20"/>
        </w:rPr>
        <w:t>[26]</w:t>
      </w:r>
      <w:r>
        <w:rPr>
          <w:rFonts w:ascii="Arial" w:hAnsi="Arial"/>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ind w:left="567" w:hanging="283"/>
      </w:pPr>
      <w:r>
        <w:rPr>
          <w:rFonts w:ascii="Arial" w:hAnsi="Arial"/>
        </w:rPr>
        <w:t xml:space="preserve">•  </w:t>
      </w:r>
      <w:r>
        <w:rPr>
          <w:rFonts w:ascii="Arial" w:hAnsi="Arial"/>
          <w:i/>
          <w:sz w:val="20"/>
        </w:rPr>
        <w:t>[27]</w:t>
      </w:r>
      <w:r>
        <w:rPr>
          <w:rFonts w:ascii="Arial" w:hAnsi="Arial"/>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ind w:left="567" w:hanging="283"/>
      </w:pPr>
      <w:r>
        <w:rPr>
          <w:rFonts w:ascii="Arial" w:hAnsi="Arial"/>
        </w:rPr>
        <w:t xml:space="preserve">•  </w:t>
      </w:r>
      <w:r>
        <w:rPr>
          <w:rFonts w:ascii="Arial" w:hAnsi="Arial"/>
          <w:i/>
          <w:sz w:val="20"/>
        </w:rPr>
        <w:t>[28]</w:t>
      </w:r>
      <w:r>
        <w:rPr>
          <w:rFonts w:ascii="Arial" w:hAnsi="Arial"/>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ind w:left="567" w:hanging="283"/>
      </w:pPr>
      <w:r>
        <w:rPr>
          <w:rFonts w:ascii="Arial" w:hAnsi="Arial"/>
        </w:rPr>
        <w:t xml:space="preserve">•  </w:t>
      </w:r>
      <w:r>
        <w:rPr>
          <w:rFonts w:ascii="Arial" w:hAnsi="Arial"/>
          <w:i/>
          <w:sz w:val="20"/>
        </w:rPr>
        <w:t>[29]</w:t>
      </w:r>
      <w:r>
        <w:rPr>
          <w:rFonts w:ascii="Arial" w:hAnsi="Arial"/>
          <w:sz w:val="20"/>
        </w:rPr>
        <w:t xml:space="preserve"> Ulin-Avila, E., &amp; Ponce-Hernandez, J. (2021). Kalman Filter Estimation and Its Implementation</w:t>
      </w:r>
      <w:r>
        <w:rPr>
          <w:rFonts w:ascii="Arial" w:hAnsi="Arial"/>
          <w:i/>
          <w:sz w:val="20"/>
        </w:rPr>
        <w:t>. In</w:t>
      </w:r>
      <w:r>
        <w:rPr>
          <w:rFonts w:ascii="Arial" w:hAnsi="Arial"/>
          <w:sz w:val="20"/>
        </w:rPr>
        <w:t>Adaptive Filtering - Recent Advances and Practical Implementation, IntechOpen, London, UK. https://doi.org/10.5772/intechopen.97406</w:t>
      </w:r>
    </w:p>
    <w:p>
      <w:pPr>
        <w:spacing w:after="60"/>
        <w:ind w:left="567" w:hanging="283"/>
      </w:pPr>
      <w:r>
        <w:rPr>
          <w:rFonts w:ascii="Arial" w:hAnsi="Arial"/>
        </w:rPr>
        <w:t xml:space="preserve">•  </w:t>
      </w:r>
      <w:r>
        <w:rPr>
          <w:rFonts w:ascii="Arial" w:hAnsi="Arial"/>
          <w:i/>
          <w:sz w:val="20"/>
        </w:rPr>
        <w:t>[30]</w:t>
      </w:r>
      <w:r>
        <w:rPr>
          <w:rFonts w:ascii="Arial" w:hAnsi="Arial"/>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i/>
          <w:sz w:val="20"/>
        </w:rPr>
        <w:t>[31]</w:t>
      </w:r>
      <w:r>
        <w:rPr>
          <w:rFonts w:ascii="Arial" w:hAnsi="Arial"/>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ind w:left="567" w:hanging="283"/>
      </w:pPr>
      <w:r>
        <w:rPr>
          <w:rFonts w:ascii="Arial" w:hAnsi="Arial"/>
        </w:rPr>
        <w:t xml:space="preserve">•  </w:t>
      </w:r>
      <w:r>
        <w:rPr>
          <w:rFonts w:ascii="Arial" w:hAnsi="Arial"/>
          <w:i/>
          <w:sz w:val="20"/>
        </w:rPr>
        <w:t>[32]</w:t>
      </w:r>
      <w:r>
        <w:rPr>
          <w:rFonts w:ascii="Arial" w:hAnsi="Arial"/>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ind w:left="567" w:hanging="283"/>
      </w:pPr>
      <w:r>
        <w:rPr>
          <w:rFonts w:ascii="Arial" w:hAnsi="Arial"/>
        </w:rPr>
        <w:t xml:space="preserve">•  </w:t>
      </w:r>
      <w:r>
        <w:rPr>
          <w:rFonts w:ascii="Arial" w:hAnsi="Arial"/>
          <w:i/>
          <w:sz w:val="20"/>
        </w:rPr>
        <w:t>[33]</w:t>
      </w:r>
      <w:r>
        <w:rPr>
          <w:rFonts w:ascii="Arial" w:hAnsi="Arial"/>
          <w:sz w:val="20"/>
        </w:rPr>
        <w:t xml:space="preserve"> Wang, D., Wang, Y., Liu, J., &amp; Zhang, Y. (2023). An Integrated Dynamic Modeling Method for Underwater Vehicle with Hull, Propeller and Rudder. Ocean Engineering, 282, 115036. https://doi.org/10.1016/j.oceaneng.2023.115036</w:t>
      </w:r>
    </w:p>
    <w:p>
      <w:pPr>
        <w:spacing w:after="60"/>
        <w:ind w:left="567" w:hanging="283"/>
      </w:pPr>
      <w:r>
        <w:rPr>
          <w:rFonts w:ascii="Arial" w:hAnsi="Arial"/>
        </w:rPr>
        <w:t xml:space="preserve">•  </w:t>
      </w:r>
      <w:r>
        <w:rPr>
          <w:rFonts w:ascii="Arial" w:hAnsi="Arial"/>
          <w:i/>
          <w:sz w:val="20"/>
        </w:rPr>
        <w:t>[34]</w:t>
      </w:r>
      <w:r>
        <w:rPr>
          <w:rFonts w:ascii="Arial" w:hAnsi="Arial"/>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ind w:left="567" w:hanging="283"/>
      </w:pPr>
      <w:r>
        <w:rPr>
          <w:rFonts w:ascii="Arial" w:hAnsi="Arial"/>
        </w:rPr>
        <w:t xml:space="preserve">•  </w:t>
      </w:r>
      <w:r>
        <w:rPr>
          <w:rFonts w:ascii="Arial" w:hAnsi="Arial"/>
          <w:i/>
          <w:sz w:val="20"/>
        </w:rPr>
        <w:t>[35]</w:t>
      </w:r>
      <w:r>
        <w:rPr>
          <w:rFonts w:ascii="Arial" w:hAnsi="Arial"/>
          <w:sz w:val="20"/>
        </w:rPr>
        <w:t xml:space="preserve"> Westman, E., Kaess, M., &amp; Hollinger, G. A. (2021). Towards Modular and Accessible AUV Systems. In 2021 IEEE Aerospace Conference (50100), pp. 1–10. https://doi.org/10.1109/AERO50100.2021.9438312</w:t>
      </w:r>
    </w:p>
    <w:p>
      <w:pPr>
        <w:spacing w:after="60"/>
        <w:ind w:left="567" w:hanging="283"/>
      </w:pPr>
      <w:r>
        <w:rPr>
          <w:rFonts w:ascii="Arial" w:hAnsi="Arial"/>
        </w:rPr>
        <w:t xml:space="preserve">•  </w:t>
      </w:r>
      <w:r>
        <w:rPr>
          <w:rFonts w:ascii="Arial" w:hAnsi="Arial"/>
          <w:i/>
          <w:sz w:val="20"/>
        </w:rPr>
        <w:t>[36]</w:t>
      </w:r>
      <w:r>
        <w:rPr>
          <w:rFonts w:ascii="Arial" w:hAnsi="Arial"/>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ind w:left="567" w:hanging="283"/>
      </w:pPr>
      <w:r>
        <w:rPr>
          <w:rFonts w:ascii="Arial" w:hAnsi="Arial"/>
        </w:rPr>
        <w:t xml:space="preserve">•  </w:t>
      </w:r>
      <w:r>
        <w:rPr>
          <w:rFonts w:ascii="Arial" w:hAnsi="Arial"/>
          <w:i/>
          <w:sz w:val="20"/>
        </w:rPr>
        <w:t>[37]</w:t>
      </w:r>
      <w:r>
        <w:rPr>
          <w:rFonts w:ascii="Arial" w:hAnsi="Arial"/>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ind w:left="567" w:hanging="283"/>
      </w:pPr>
      <w:r>
        <w:rPr>
          <w:rFonts w:ascii="Arial" w:hAnsi="Arial"/>
        </w:rPr>
        <w:t xml:space="preserve">•  </w:t>
      </w:r>
      <w:r>
        <w:rPr>
          <w:rFonts w:ascii="Arial" w:hAnsi="Arial"/>
          <w:i/>
          <w:sz w:val="20"/>
        </w:rPr>
        <w:t>[38]</w:t>
      </w:r>
      <w:r>
        <w:rPr>
          <w:rFonts w:ascii="Arial" w:hAnsi="Arial"/>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ind w:left="567" w:hanging="283"/>
      </w:pPr>
      <w:r>
        <w:rPr>
          <w:rFonts w:ascii="Arial" w:hAnsi="Arial"/>
        </w:rPr>
        <w:t xml:space="preserve">•  </w:t>
      </w:r>
      <w:r>
        <w:rPr>
          <w:rFonts w:ascii="Arial" w:hAnsi="Arial"/>
          <w:i/>
          <w:sz w:val="20"/>
        </w:rPr>
        <w:t>[39]</w:t>
      </w:r>
      <w:r>
        <w:rPr>
          <w:rFonts w:ascii="Arial" w:hAnsi="Arial"/>
          <w:sz w:val="20"/>
        </w:rPr>
        <w:t xml:space="preserve"> Zhang, B., Ji, D., Liu, S., Zhu, X., &amp; Xu, W. (2023). Autonomous Underwater Vehicle Navigation: A Review. Ocean Engineering, 273, 113861. https://doi.org/10.1016/j.oceaneng.2023.113861</w:t>
      </w:r>
    </w:p>
    <w:p>
      <w:pPr>
        <w:spacing w:after="60"/>
        <w:ind w:left="567" w:hanging="283"/>
      </w:pPr>
      <w:r>
        <w:rPr>
          <w:rFonts w:ascii="Arial" w:hAnsi="Arial"/>
        </w:rPr>
        <w:t xml:space="preserve">•  </w:t>
      </w:r>
      <w:r>
        <w:rPr>
          <w:rFonts w:ascii="Arial" w:hAnsi="Arial"/>
          <w:i/>
          <w:sz w:val="20"/>
        </w:rPr>
        <w:t>[40]</w:t>
      </w:r>
      <w:r>
        <w:rPr>
          <w:rFonts w:ascii="Arial" w:hAnsi="Arial"/>
          <w:sz w:val="20"/>
        </w:rPr>
        <w:t xml:space="preserve"> Zhang, Y., Zhang, J., Guo, Z., Zhang, L., &amp; Shang, Y. (2025). An Adaptive NMPC for ROVs Trajectory Tracking with Environmental Disturbances and Model Uncertainties. Brodogradnja, 76(1), 1–25. https://doi.org/10.21278/brod76101</w:t>
      </w:r>
    </w:p>
    <w:p>
      <w:pPr>
        <w:spacing w:after="60"/>
        <w:ind w:left="567" w:hanging="283"/>
      </w:pPr>
      <w:r>
        <w:rPr>
          <w:rFonts w:ascii="Arial" w:hAnsi="Arial"/>
        </w:rPr>
        <w:t xml:space="preserve">•  </w:t>
      </w:r>
      <w:r>
        <w:rPr>
          <w:rFonts w:ascii="Arial" w:hAnsi="Arial"/>
          <w:i/>
          <w:sz w:val="20"/>
        </w:rPr>
        <w:t>[41]</w:t>
      </w:r>
      <w:r>
        <w:rPr>
          <w:rFonts w:ascii="Arial" w:hAnsi="Arial"/>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