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w:t>
        <w:br/>
        <w:t>TINJAUAN PUSTAKA</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spacing w:before="160" w:after="60" w:line="276" w:lineRule="auto"/>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Vu dkk. (2021)</w:t>
            </w:r>
            <w:r>
              <w:rPr>
                <w:rFonts w:ascii="Arial" w:hAnsi="Arial"/>
                <w:b w:val="0"/>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Ismail dkk. (2021)</w:t>
            </w:r>
            <w:r>
              <w:rPr>
                <w:rFonts w:ascii="Arial" w:hAnsi="Arial"/>
                <w:b w:val="0"/>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von Benzon dkk. (2022)</w:t>
            </w:r>
            <w:r>
              <w:rPr>
                <w:rFonts w:ascii="Arial" w:hAnsi="Arial"/>
                <w:b w:val="0"/>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Ahmed dkk. (2023)</w:t>
            </w:r>
            <w:r>
              <w:rPr>
                <w:rFonts w:ascii="Arial" w:hAnsi="Arial"/>
                <w:b w:val="0"/>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Wang dkk. (2023)</w:t>
            </w:r>
            <w:r>
              <w:rPr>
                <w:rFonts w:ascii="Arial" w:hAnsi="Arial"/>
                <w:b w:val="0"/>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Alinei-Poiană dkk. (2024)</w:t>
            </w:r>
            <w:r>
              <w:rPr>
                <w:rFonts w:ascii="Arial" w:hAnsi="Arial"/>
                <w:b w:val="0"/>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Ng &amp; Krieg (2024)</w:t>
            </w:r>
            <w:r>
              <w:rPr>
                <w:rFonts w:ascii="Arial" w:hAnsi="Arial"/>
                <w:b w:val="0"/>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Suárez dkk. (2024)</w:t>
            </w:r>
            <w:r>
              <w:rPr>
                <w:rFonts w:ascii="Arial" w:hAnsi="Arial"/>
                <w:b w:val="0"/>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Wei dkk. (2025)</w:t>
            </w:r>
            <w:r>
              <w:rPr>
                <w:rFonts w:ascii="Arial" w:hAnsi="Arial"/>
                <w:b w:val="0"/>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real-time atau alokasi pendorong berlebih.</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Llorente-Vidrio dkk. (2025)</w:t>
            </w:r>
            <w:r>
              <w:rPr>
                <w:rFonts w:ascii="Arial" w:hAnsi="Arial"/>
                <w:b w:val="0"/>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i/>
          <w:sz w:val="20"/>
        </w:rPr>
        <w:t>(PMM), hingga simulasi</w:t>
      </w:r>
      <w:r>
        <w:rPr>
          <w:rFonts w:ascii="Arial" w:hAnsi="Arial"/>
          <w:b w:val="0"/>
          <w:sz w:val="20"/>
        </w:rPr>
        <w:t>Computational Fluid Dynamics</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fully-actuated</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thruster</w:t>
      </w:r>
      <w:r>
        <w:rPr>
          <w:rFonts w:ascii="Arial" w:hAnsi="Arial"/>
          <w:b w:val="0"/>
          <w:i/>
          <w:sz w:val="20"/>
        </w:rPr>
        <w:t>[20]. Zuluaga dkk. (2022) serta Gieraths dkk. (2023) menetapkan metodologi</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digital twin</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tether</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(event-triggered</w:t>
      </w:r>
      <w:r>
        <w:rPr>
          <w:rFonts w:ascii="Arial" w:hAnsi="Arial"/>
          <w:b w:val="0"/>
          <w:i/>
          <w:sz w:val="20"/>
        </w:rPr>
        <w:t>) dengan</w:t>
      </w:r>
      <w:r>
        <w:rPr>
          <w:rFonts w:ascii="Arial" w:hAnsi="Arial"/>
          <w:b w:val="0"/>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spacing w:before="160" w:after="80"/>
        <w:jc w:val="center"/>
      </w:pPr>
      <w:r>
        <w:drawing>
          <wp:inline xmlns:a="http://schemas.openxmlformats.org/drawingml/2006/main" xmlns:pic="http://schemas.openxmlformats.org/drawingml/2006/picture">
            <wp:extent cx="3780000" cy="3895420"/>
            <wp:docPr id="1" name="Picture 1"/>
            <wp:cNvGraphicFramePr>
              <a:graphicFrameLocks noChangeAspect="1"/>
            </wp:cNvGraphicFramePr>
            <a:graphic>
              <a:graphicData uri="http://schemas.openxmlformats.org/drawingml/2006/picture">
                <pic:pic>
                  <pic:nvPicPr>
                    <pic:cNvPr id="0" name="sname_fossen_coordinate_system.png"/>
                    <pic:cNvPicPr/>
                  </pic:nvPicPr>
                  <pic:blipFill>
                    <a:blip r:embed="rId10"/>
                    <a:stretch>
                      <a:fillRect/>
                    </a:stretch>
                  </pic:blipFill>
                  <pic:spPr>
                    <a:xfrm>
                      <a:off x="0" y="0"/>
                      <a:ext cx="3780000" cy="3895420"/>
                    </a:xfrm>
                    <a:prstGeom prst="rect"/>
                  </pic:spPr>
                </pic:pic>
              </a:graphicData>
            </a:graphic>
          </wp:inline>
        </w:drawing>
      </w:r>
    </w:p>
    <w:p>
      <w:pPr>
        <w:spacing w:before="80" w:after="160" w:line="276" w:lineRule="auto"/>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xml:space="preserve">: Mengarah vertikal tegak lurus ke bawah (Down)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(Forward / Bow</w:t>
      </w:r>
      <w:r>
        <w:rPr>
          <w:rFonts w:ascii="Arial" w:hAnsi="Arial"/>
          <w:b w:val="0"/>
          <w:i/>
          <w:sz w:val="20"/>
        </w:rPr>
        <w:t>), mendefinisikan gerak translasi</w:t>
      </w:r>
      <w:r>
        <w:rPr>
          <w:rFonts w:ascii="Arial" w:hAnsi="Arial"/>
          <w:b w:val="0"/>
          <w:sz w:val="20"/>
        </w:rPr>
        <w:t>Surge.</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(Starboard</w:t>
      </w:r>
      <w:r>
        <w:rPr>
          <w:rFonts w:ascii="Arial" w:hAnsi="Arial"/>
          <w:b w:val="0"/>
          <w:i/>
          <w:sz w:val="20"/>
        </w:rPr>
        <w:t>), mendefinisikan gerak translasi</w:t>
      </w:r>
      <w:r>
        <w:rPr>
          <w:rFonts w:ascii="Arial" w:hAnsi="Arial"/>
          <w:b w:val="0"/>
          <w:sz w:val="20"/>
        </w:rPr>
        <w:t>Sway.</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(Down / Keel</w:t>
      </w:r>
      <w:r>
        <w:rPr>
          <w:rFonts w:ascii="Arial" w:hAnsi="Arial"/>
          <w:b w:val="0"/>
          <w:i/>
          <w:sz w:val="20"/>
        </w:rPr>
        <w:t>), mendefinisikan gerak translasi</w:t>
      </w:r>
      <w:r>
        <w:rPr>
          <w:rFonts w:ascii="Arial" w:hAnsi="Arial"/>
          <w:b w:val="0"/>
          <w:sz w:val="20"/>
        </w:rPr>
        <w:t>Heave.</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spacing w:before="160" w:after="60" w:line="276" w:lineRule="auto"/>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567"/>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spacing w:before="160" w:after="60" w:line="276" w:lineRule="auto"/>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r>
        <w:trPr>
          <w:cantSplit/>
        </w:trP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BLDC Underwater Thruster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(state transition matrix).</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sectPr w:rsidR="00FC693F" w:rsidRPr="0006063C" w:rsidSect="00034616">
      <w:headerReference w:type="default" r:id="rId9"/>
      <w:pgSz w:w="9978" w:h="14173"/>
      <w:pgMar w:top="1276" w:right="1276" w:bottom="1276" w:left="1276" w:header="720" w:footer="720" w:gutter="0"/>
      <w:cols w:space="720"/>
      <w:docGrid w:linePitch="360"/>
      <w:pgNumType w:fmt="decimal" w:start="1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