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10"/>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left"/>
        <w:tblLook w:firstColumn="1" w:firstRow="1" w:lastColumn="0" w:lastRow="0" w:noHBand="0" w:noVBand="1" w:val="04A0"/>
      </w:tblPr>
      <w:tblGrid>
        <w:gridCol w:w="2475"/>
        <w:gridCol w:w="2475"/>
        <w:gridCol w:w="2475"/>
      </w:tblGrid>
      <w:tr>
        <w:tc>
          <w:tcPr>
            <w:tcW w:type="dxa" w:w="3118"/>
          </w:tcPr>
          <w:p>
            <w:pPr>
              <w:jc w:val="left"/>
            </w:pPr>
            <w:r>
              <w:rPr>
                <w:rFonts w:ascii="Arial" w:hAnsi="Arial"/>
              </w:rPr>
              <w:t>Nama Mahasiswa</w:t>
            </w:r>
          </w:p>
        </w:tc>
        <w:tc>
          <w:tcPr>
            <w:tcW w:type="dxa" w:w="283"/>
          </w:tcPr>
          <w:p>
            <w:pPr>
              <w:jc w:val="left"/>
            </w:pPr>
            <w:r>
              <w:rPr>
                <w:rFonts w:ascii="Arial" w:hAnsi="Arial"/>
              </w:rPr>
              <w:t>:</w:t>
            </w:r>
          </w:p>
        </w:tc>
        <w:tc>
          <w:tcPr>
            <w:tcW w:type="dxa" w:w="4025"/>
          </w:tcPr>
          <w:p>
            <w:pPr>
              <w:jc w:val="left"/>
            </w:pPr>
            <w:r>
              <w:rPr>
                <w:rFonts w:ascii="Arial" w:hAnsi="Arial"/>
                <w:b/>
              </w:rPr>
              <w:t>MUH. RADHI SYAFIQ GHANIM. S</w:t>
            </w:r>
          </w:p>
        </w:tc>
      </w:tr>
      <w:tr>
        <w:tc>
          <w:tcPr>
            <w:tcW w:type="dxa" w:w="3118"/>
          </w:tcPr>
          <w:p>
            <w:pPr>
              <w:jc w:val="left"/>
            </w:pPr>
            <w:r>
              <w:rPr>
                <w:rFonts w:ascii="Arial" w:hAnsi="Arial"/>
              </w:rPr>
              <w:t>Nomor Induk Mahasiswa (NIM)</w:t>
            </w:r>
          </w:p>
        </w:tc>
        <w:tc>
          <w:tcPr>
            <w:tcW w:type="dxa" w:w="283"/>
          </w:tcPr>
          <w:p>
            <w:pPr>
              <w:jc w:val="left"/>
            </w:pPr>
            <w:r>
              <w:rPr>
                <w:rFonts w:ascii="Arial" w:hAnsi="Arial"/>
              </w:rPr>
              <w:t>:</w:t>
            </w:r>
          </w:p>
        </w:tc>
        <w:tc>
          <w:tcPr>
            <w:tcW w:type="dxa" w:w="4025"/>
          </w:tcPr>
          <w:p>
            <w:pPr>
              <w:jc w:val="left"/>
            </w:pPr>
            <w:r>
              <w:rPr>
                <w:rFonts w:ascii="Arial" w:hAnsi="Arial"/>
                <w:b/>
              </w:rPr>
              <w:t>D021201006</w:t>
            </w:r>
          </w:p>
        </w:tc>
      </w:tr>
      <w:tr>
        <w:tc>
          <w:tcPr>
            <w:tcW w:type="dxa" w:w="3118"/>
          </w:tcPr>
          <w:p>
            <w:pPr>
              <w:jc w:val="left"/>
            </w:pPr>
            <w:r>
              <w:rPr>
                <w:rFonts w:ascii="Arial" w:hAnsi="Arial"/>
              </w:rPr>
              <w:t>Program Studi</w:t>
            </w:r>
          </w:p>
        </w:tc>
        <w:tc>
          <w:tcPr>
            <w:tcW w:type="dxa" w:w="283"/>
          </w:tcPr>
          <w:p>
            <w:pPr>
              <w:jc w:val="left"/>
            </w:pPr>
            <w:r>
              <w:rPr>
                <w:rFonts w:ascii="Arial" w:hAnsi="Arial"/>
              </w:rPr>
              <w:t>:</w:t>
            </w:r>
          </w:p>
        </w:tc>
        <w:tc>
          <w:tcPr>
            <w:tcW w:type="dxa" w:w="4025"/>
          </w:tcPr>
          <w:p>
            <w:pPr>
              <w:jc w:val="left"/>
            </w:pPr>
            <w:r>
              <w:rPr>
                <w:rFonts w:ascii="Arial" w:hAnsi="Arial"/>
              </w:rPr>
              <w:t>Teknik Mesin</w:t>
            </w:r>
          </w:p>
        </w:tc>
      </w:tr>
      <w:tr>
        <w:tc>
          <w:tcPr>
            <w:tcW w:type="dxa" w:w="3118"/>
          </w:tcPr>
          <w:p>
            <w:pPr>
              <w:jc w:val="left"/>
            </w:pPr>
            <w:r>
              <w:rPr>
                <w:rFonts w:ascii="Arial" w:hAnsi="Arial"/>
              </w:rPr>
              <w:t>Departemen</w:t>
            </w:r>
          </w:p>
        </w:tc>
        <w:tc>
          <w:tcPr>
            <w:tcW w:type="dxa" w:w="283"/>
          </w:tcPr>
          <w:p>
            <w:pPr>
              <w:jc w:val="left"/>
            </w:pPr>
            <w:r>
              <w:rPr>
                <w:rFonts w:ascii="Arial" w:hAnsi="Arial"/>
              </w:rPr>
              <w:t>:</w:t>
            </w:r>
          </w:p>
        </w:tc>
        <w:tc>
          <w:tcPr>
            <w:tcW w:type="dxa" w:w="4025"/>
          </w:tcPr>
          <w:p>
            <w:pPr>
              <w:jc w:val="left"/>
            </w:pPr>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DAFTAR ISI</w:t>
      </w:r>
      <w:r>
        <w:rPr>
          <w:rFonts w:ascii="Arial" w:hAnsi="Arial"/>
          <w:b/>
          <w:sz w:val="19"/>
        </w:rPr>
        <w:tab/>
        <w:t>vi</w:t>
      </w:r>
    </w:p>
    <w:p>
      <w:pPr>
        <w:tabs>
          <w:tab w:pos="7427" w:val="right" w:leader="dot"/>
        </w:tabs>
        <w:spacing w:line="276" w:lineRule="auto" w:after="40"/>
      </w:pPr>
      <w:r>
        <w:rPr>
          <w:rFonts w:ascii="Arial" w:hAnsi="Arial"/>
          <w:b/>
          <w:sz w:val="19"/>
        </w:rPr>
        <w:t>DAFTAR TABEL</w:t>
      </w:r>
      <w:r>
        <w:rPr>
          <w:rFonts w:ascii="Arial" w:hAnsi="Arial"/>
          <w:b/>
          <w:sz w:val="19"/>
        </w:rPr>
        <w:tab/>
        <w:t>vii</w:t>
      </w:r>
    </w:p>
    <w:p>
      <w:pPr>
        <w:tabs>
          <w:tab w:pos="7427" w:val="right" w:leader="dot"/>
        </w:tabs>
        <w:spacing w:line="276" w:lineRule="auto" w:after="40"/>
      </w:pPr>
      <w:r>
        <w:rPr>
          <w:rFonts w:ascii="Arial" w:hAnsi="Arial"/>
          <w:b/>
          <w:sz w:val="19"/>
        </w:rPr>
        <w:t>DAFTAR GAMBAR</w:t>
      </w:r>
      <w:r>
        <w:rPr>
          <w:rFonts w:ascii="Arial" w:hAnsi="Arial"/>
          <w:b/>
          <w:sz w:val="19"/>
        </w:rPr>
        <w:tab/>
        <w:t>viii</w:t>
      </w:r>
    </w:p>
    <w:p>
      <w:pPr>
        <w:tabs>
          <w:tab w:pos="7427" w:val="right" w:leader="dot"/>
        </w:tabs>
        <w:spacing w:line="276" w:lineRule="auto" w:after="40"/>
      </w:pPr>
      <w:r>
        <w:rPr>
          <w:rFonts w:ascii="Arial" w:hAnsi="Arial"/>
          <w:b/>
          <w:sz w:val="19"/>
        </w:rPr>
        <w:t>DAFTAR SINGKATAN, ISTILAH, DAN LAMBANG</w:t>
      </w:r>
      <w:r>
        <w:rPr>
          <w:rFonts w:ascii="Arial" w:hAnsi="Arial"/>
          <w:b/>
          <w:sz w:val="19"/>
        </w:rPr>
        <w:tab/>
        <w:t>ix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5</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10</w:t>
      </w:r>
    </w:p>
    <w:p>
      <w:pPr>
        <w:tabs>
          <w:tab w:pos="7427" w:val="right" w:leader="dot"/>
        </w:tabs>
        <w:spacing w:line="276" w:lineRule="auto" w:after="40"/>
        <w:ind w:left="283"/>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t>10</w:t>
      </w:r>
    </w:p>
    <w:p>
      <w:pPr>
        <w:tabs>
          <w:tab w:pos="7427" w:val="right" w:leader="dot"/>
        </w:tabs>
        <w:spacing w:line="276" w:lineRule="auto" w:after="40"/>
        <w:ind w:left="283"/>
      </w:pPr>
      <w:r>
        <w:rPr>
          <w:rFonts w:ascii="Arial" w:hAnsi="Arial"/>
          <w:sz w:val="19"/>
        </w:rPr>
        <w:t>2.2 Sistem Koordinat dan Konvensi SNAME</w:t>
      </w:r>
      <w:r>
        <w:rPr>
          <w:rFonts w:ascii="Arial" w:hAnsi="Arial"/>
          <w:sz w:val="19"/>
        </w:rPr>
        <w:tab/>
        <w:t>13</w:t>
      </w:r>
    </w:p>
    <w:p>
      <w:pPr>
        <w:tabs>
          <w:tab w:pos="7427" w:val="right" w:leader="dot"/>
        </w:tabs>
        <w:spacing w:line="276" w:lineRule="auto" w:after="40"/>
        <w:ind w:left="283"/>
      </w:pPr>
      <w:r>
        <w:rPr>
          <w:rFonts w:ascii="Arial" w:hAnsi="Arial"/>
          <w:sz w:val="19"/>
        </w:rPr>
        <w:t>2.3 Penurunan Kinematika 6-DOF dan Matriks Jacobian</w:t>
      </w:r>
      <w:r>
        <w:rPr>
          <w:rFonts w:ascii="Arial" w:hAnsi="Arial"/>
          <w:sz w:val="19"/>
        </w:rPr>
        <w:tab/>
        <w:t>18</w:t>
      </w:r>
    </w:p>
    <w:p>
      <w:pPr>
        <w:tabs>
          <w:tab w:pos="7427" w:val="right" w:leader="dot"/>
        </w:tabs>
        <w:spacing w:line="276" w:lineRule="auto" w:after="40"/>
        <w:ind w:left="283"/>
      </w:pPr>
      <w:r>
        <w:rPr>
          <w:rFonts w:ascii="Arial" w:hAnsi="Arial"/>
          <w:sz w:val="19"/>
        </w:rPr>
        <w:t>2.4 Penurunan Dinamika Hidrodinamika 6-DOF (Persamaan Fossen)</w:t>
      </w:r>
      <w:r>
        <w:rPr>
          <w:rFonts w:ascii="Arial" w:hAnsi="Arial"/>
          <w:sz w:val="19"/>
        </w:rPr>
        <w:tab/>
        <w:t>24</w:t>
      </w:r>
    </w:p>
    <w:p>
      <w:pPr>
        <w:tabs>
          <w:tab w:pos="7427" w:val="right" w:leader="dot"/>
        </w:tabs>
        <w:spacing w:line="276" w:lineRule="auto" w:after="40"/>
        <w:ind w:left="283"/>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t>32</w:t>
      </w:r>
    </w:p>
    <w:p>
      <w:pPr>
        <w:tabs>
          <w:tab w:pos="7427" w:val="right" w:leader="dot"/>
        </w:tabs>
        <w:spacing w:line="276" w:lineRule="auto" w:after="40"/>
        <w:ind w:left="283"/>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t>37</w:t>
      </w:r>
    </w:p>
    <w:p>
      <w:pPr>
        <w:tabs>
          <w:tab w:pos="7427" w:val="right" w:leader="dot"/>
        </w:tabs>
        <w:spacing w:line="276" w:lineRule="auto" w:after="80"/>
      </w:pPr>
      <w:r>
        <w:rPr>
          <w:rFonts w:ascii="Arial" w:hAnsi="Arial"/>
          <w:b/>
          <w:sz w:val="19"/>
        </w:rPr>
        <w:t>BAB III: METODOLOGI PENELITIAN</w:t>
      </w:r>
      <w:r>
        <w:rPr>
          <w:rFonts w:ascii="Arial" w:hAnsi="Arial"/>
          <w:b/>
          <w:sz w:val="19"/>
        </w:rPr>
        <w:tab/>
        <w:t>52</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52</w:t>
      </w:r>
    </w:p>
    <w:p>
      <w:pPr>
        <w:tabs>
          <w:tab w:pos="7427" w:val="right" w:leader="dot"/>
        </w:tabs>
        <w:spacing w:line="276" w:lineRule="auto" w:after="40"/>
        <w:ind w:left="283"/>
      </w:pPr>
      <w:r>
        <w:rPr>
          <w:rFonts w:ascii="Arial" w:hAnsi="Arial"/>
          <w:sz w:val="19"/>
        </w:rPr>
        <w:t>3.2 Diagram Alir Penelitian</w:t>
      </w:r>
      <w:r>
        <w:rPr>
          <w:rFonts w:ascii="Arial" w:hAnsi="Arial"/>
          <w:sz w:val="19"/>
        </w:rPr>
        <w:tab/>
        <w:t>54</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56</w:t>
      </w:r>
    </w:p>
    <w:p>
      <w:pPr>
        <w:tabs>
          <w:tab w:pos="7427" w:val="right" w:leader="dot"/>
        </w:tabs>
        <w:spacing w:line="276" w:lineRule="auto" w:after="40"/>
        <w:ind w:left="283"/>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t>61</w:t>
      </w:r>
    </w:p>
    <w:p>
      <w:pPr>
        <w:tabs>
          <w:tab w:pos="7427" w:val="right" w:leader="dot"/>
        </w:tabs>
        <w:spacing w:line="276" w:lineRule="auto" w:after="40"/>
        <w:ind w:left="283"/>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t>64</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71</w:t>
      </w:r>
    </w:p>
    <w:p>
      <w:pPr>
        <w:tabs>
          <w:tab w:pos="7427" w:val="right" w:leader="dot"/>
        </w:tabs>
        <w:spacing w:line="276" w:lineRule="auto" w:after="80"/>
      </w:pPr>
      <w:r>
        <w:rPr>
          <w:rFonts w:ascii="Arial" w:hAnsi="Arial"/>
          <w:b/>
          <w:sz w:val="19"/>
        </w:rPr>
        <w:t>DAFTAR PUSTAKA</w:t>
      </w:r>
      <w:r>
        <w:rPr>
          <w:rFonts w:ascii="Arial" w:hAnsi="Arial"/>
          <w:b/>
          <w:sz w:val="19"/>
        </w:rPr>
        <w:tab/>
        <w:t>76</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2.1  Matriks Sintesis Literatur Terkini (2021–2025) Bidang Dinamika dan Kontrol AUV</w:t>
      </w:r>
      <w:r>
        <w:rPr>
          <w:rFonts w:ascii="Arial" w:hAnsi="Arial"/>
          <w:sz w:val="19"/>
        </w:rPr>
        <w:tab/>
        <w:t>11</w:t>
      </w:r>
    </w:p>
    <w:p>
      <w:pPr>
        <w:tabs>
          <w:tab w:pos="7427" w:val="right" w:leader="dot"/>
        </w:tabs>
        <w:spacing w:line="276" w:lineRule="auto" w:after="60"/>
      </w:pPr>
      <w:r>
        <w:rPr>
          <w:rFonts w:ascii="Arial" w:hAnsi="Arial"/>
          <w:sz w:val="19"/>
        </w:rPr>
        <w:t>Tabel 2.2  Notasi dan Konvensi 6 Derajat Kebebasan SNAME (1950) &amp; Fossen (2021)</w:t>
      </w:r>
      <w:r>
        <w:rPr>
          <w:rFonts w:ascii="Arial" w:hAnsi="Arial"/>
          <w:sz w:val="19"/>
        </w:rPr>
        <w:tab/>
        <w:t>15</w:t>
      </w:r>
    </w:p>
    <w:p>
      <w:pPr>
        <w:tabs>
          <w:tab w:pos="7427" w:val="right" w:leader="dot"/>
        </w:tabs>
        <w:spacing w:line="276" w:lineRule="auto" w:after="60"/>
      </w:pPr>
      <w:r>
        <w:rPr>
          <w:rFonts w:ascii="Arial" w:hAnsi="Arial"/>
          <w:sz w:val="19"/>
        </w:rPr>
        <w:t>Tabel 2.3  Koordinat Spasial dan Vektor Orientasi 8 Pendorong Wahana Over-Actuated</w:t>
      </w:r>
      <w:r>
        <w:rPr>
          <w:rFonts w:ascii="Arial" w:hAnsi="Arial"/>
          <w:sz w:val="19"/>
        </w:rPr>
        <w:tab/>
        <w:t>34</w:t>
      </w:r>
    </w:p>
    <w:p>
      <w:pPr>
        <w:tabs>
          <w:tab w:pos="7427" w:val="right" w:leader="dot"/>
        </w:tabs>
        <w:spacing w:line="276" w:lineRule="auto" w:after="60"/>
      </w:pPr>
      <w:r>
        <w:rPr>
          <w:rFonts w:ascii="Arial" w:hAnsi="Arial"/>
          <w:sz w:val="19"/>
        </w:rPr>
        <w:t>Tabel 3.1  Parameter Fisik dan Properti Benda Tegar Wahana Over-Actuated 8-Pendorong</w:t>
      </w:r>
      <w:r>
        <w:rPr>
          <w:rFonts w:ascii="Arial" w:hAnsi="Arial"/>
          <w:sz w:val="19"/>
        </w:rPr>
        <w:tab/>
        <w:t>57</w:t>
      </w:r>
    </w:p>
    <w:p>
      <w:pPr>
        <w:tabs>
          <w:tab w:pos="7427" w:val="right" w:leader="dot"/>
        </w:tabs>
        <w:spacing w:line="276" w:lineRule="auto" w:after="60"/>
      </w:pPr>
      <w:r>
        <w:rPr>
          <w:rFonts w:ascii="Arial" w:hAnsi="Arial"/>
          <w:sz w:val="19"/>
        </w:rPr>
        <w:t>Tabel 3.2  Koefisien Derivatif Massa Tambah Hidrodinamika Wahana</w:t>
      </w:r>
      <w:r>
        <w:rPr>
          <w:rFonts w:ascii="Arial" w:hAnsi="Arial"/>
          <w:sz w:val="19"/>
        </w:rPr>
        <w:tab/>
        <w:t>58</w:t>
      </w:r>
    </w:p>
    <w:p>
      <w:pPr>
        <w:tabs>
          <w:tab w:pos="7427" w:val="right" w:leader="dot"/>
        </w:tabs>
        <w:spacing w:line="276" w:lineRule="auto" w:after="60"/>
      </w:pPr>
      <w:r>
        <w:rPr>
          <w:rFonts w:ascii="Arial" w:hAnsi="Arial"/>
          <w:sz w:val="19"/>
        </w:rPr>
        <w:t>Tabel 3.3  Koefisien Redaman Hidrodinamika Linier dan Kuadratik Wahana</w:t>
      </w:r>
      <w:r>
        <w:rPr>
          <w:rFonts w:ascii="Arial" w:hAnsi="Arial"/>
          <w:sz w:val="19"/>
        </w:rPr>
        <w:tab/>
        <w:t>59</w:t>
      </w:r>
    </w:p>
    <w:p>
      <w:pPr>
        <w:tabs>
          <w:tab w:pos="7427" w:val="right" w:leader="dot"/>
        </w:tabs>
        <w:spacing w:line="276" w:lineRule="auto" w:after="60"/>
      </w:pPr>
      <w:r>
        <w:rPr>
          <w:rFonts w:ascii="Arial" w:hAnsi="Arial"/>
          <w:sz w:val="19"/>
        </w:rPr>
        <w:t>Tabel 3.4  Posisi Spasial dan Vektor Satuan Gaya Dorong 8-Pendorong Bervektor</w:t>
      </w:r>
      <w:r>
        <w:rPr>
          <w:rFonts w:ascii="Arial" w:hAnsi="Arial"/>
          <w:sz w:val="19"/>
        </w:rPr>
        <w:tab/>
        <w:t>60</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64</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2.1  Sistem Kerangka Acuan Inersia Bumi (Fn - NED) dan Kerangka Acuan Bergerak Bodi (Fb - FRD) Konvensi SNAME (1950) dan Fossen (2021)</w:t>
      </w:r>
      <w:r>
        <w:rPr>
          <w:rFonts w:ascii="Arial" w:hAnsi="Arial"/>
          <w:sz w:val="19"/>
        </w:rPr>
        <w:tab/>
        <w:t>13</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54</w:t>
      </w:r>
    </w:p>
    <w:p>
      <w:pPr>
        <w:tabs>
          <w:tab w:pos="7427" w:val="right" w:leader="dot"/>
        </w:tabs>
        <w:spacing w:line="276" w:lineRule="auto" w:after="60"/>
      </w:pPr>
      <w:r>
        <w:rPr>
          <w:rFonts w:ascii="Arial" w:hAnsi="Arial"/>
          <w:sz w:val="19"/>
        </w:rPr>
        <w:t>Gambar 3.2  Arsitektur Simulasi Software-In-The-Loop (SITL) Sistem AUV</w:t>
      </w:r>
      <w:r>
        <w:rPr>
          <w:rFonts w:ascii="Arial" w:hAnsi="Arial"/>
          <w:sz w:val="19"/>
        </w:rPr>
        <w:tab/>
        <w:t>62</w:t>
      </w:r>
    </w:p>
    <w:p>
      <w:pPr>
        <w:tabs>
          <w:tab w:pos="7427" w:val="right" w:leader="dot"/>
        </w:tabs>
        <w:spacing w:line="276" w:lineRule="auto" w:after="60"/>
      </w:pPr>
      <w:r>
        <w:rPr>
          <w:rFonts w:ascii="Arial" w:hAnsi="Arial"/>
          <w:sz w:val="19"/>
        </w:rPr>
        <w:t>Gambar 3.3  Arsitektur Integrasi Hardware-In-The-Loop (HITL) Mekatronika AUV</w:t>
      </w:r>
      <w:r>
        <w:rPr>
          <w:rFonts w:ascii="Arial" w:hAnsi="Arial"/>
          <w:sz w:val="19"/>
        </w:rPr>
        <w:tab/>
        <w:t>64</w:t>
      </w:r>
    </w:p>
    <w:p>
      <w:pPr>
        <w:tabs>
          <w:tab w:pos="7427" w:val="right" w:leader="dot"/>
        </w:tabs>
        <w:spacing w:line="276" w:lineRule="auto" w:after="60"/>
      </w:pPr>
      <w:r>
        <w:rPr>
          <w:rFonts w:ascii="Arial" w:hAnsi="Arial"/>
          <w:sz w:val="19"/>
        </w:rPr>
        <w:t>Gambar 3.4  Rangka (Frame) dan Lambung Tekanan Kustom AUV 8-Pendorong</w:t>
      </w:r>
      <w:r>
        <w:rPr>
          <w:rFonts w:ascii="Arial" w:hAnsi="Arial"/>
          <w:sz w:val="19"/>
        </w:rPr>
        <w:tab/>
        <w:t>65</w:t>
      </w:r>
    </w:p>
    <w:p>
      <w:pPr>
        <w:tabs>
          <w:tab w:pos="7427" w:val="right" w:leader="dot"/>
        </w:tabs>
        <w:spacing w:line="276" w:lineRule="auto" w:after="60"/>
      </w:pPr>
      <w:r>
        <w:rPr>
          <w:rFonts w:ascii="Arial" w:hAnsi="Arial"/>
          <w:sz w:val="19"/>
        </w:rPr>
        <w:t>Gambar 3.5  Papan Pengendali Penerbangan (Flight Controller) Pixhawk 2.4.8</w:t>
      </w:r>
      <w:r>
        <w:rPr>
          <w:rFonts w:ascii="Arial" w:hAnsi="Arial"/>
          <w:sz w:val="19"/>
        </w:rPr>
        <w:tab/>
        <w:t>65</w:t>
      </w:r>
    </w:p>
    <w:p>
      <w:pPr>
        <w:tabs>
          <w:tab w:pos="7427" w:val="right" w:leader="dot"/>
        </w:tabs>
        <w:spacing w:line="276" w:lineRule="auto" w:after="60"/>
      </w:pPr>
      <w:r>
        <w:rPr>
          <w:rFonts w:ascii="Arial" w:hAnsi="Arial"/>
          <w:sz w:val="19"/>
        </w:rPr>
        <w:t>Gambar 3.6  Komputer Pendamping (Companion Computer) Raspberry Pi 4B</w:t>
      </w:r>
      <w:r>
        <w:rPr>
          <w:rFonts w:ascii="Arial" w:hAnsi="Arial"/>
          <w:sz w:val="19"/>
        </w:rPr>
        <w:tab/>
        <w:t>66</w:t>
      </w:r>
    </w:p>
    <w:p>
      <w:pPr>
        <w:tabs>
          <w:tab w:pos="7427" w:val="right" w:leader="dot"/>
        </w:tabs>
        <w:spacing w:line="276" w:lineRule="auto" w:after="60"/>
      </w:pPr>
      <w:r>
        <w:rPr>
          <w:rFonts w:ascii="Arial" w:hAnsi="Arial"/>
          <w:sz w:val="19"/>
        </w:rPr>
        <w:t>Gambar 3.7  Modul Pengendali Kecepatan Elektronik (ESC EMAX BLHeli 30A)</w:t>
      </w:r>
      <w:r>
        <w:rPr>
          <w:rFonts w:ascii="Arial" w:hAnsi="Arial"/>
          <w:sz w:val="19"/>
        </w:rPr>
        <w:tab/>
        <w:t>66</w:t>
      </w:r>
    </w:p>
    <w:p>
      <w:pPr>
        <w:tabs>
          <w:tab w:pos="7427" w:val="right" w:leader="dot"/>
        </w:tabs>
        <w:spacing w:line="276" w:lineRule="auto" w:after="60"/>
      </w:pPr>
      <w:r>
        <w:rPr>
          <w:rFonts w:ascii="Arial" w:hAnsi="Arial"/>
          <w:sz w:val="19"/>
        </w:rPr>
        <w:t>Gambar 3.8  Motor Pendorong Bawah Air (BLDC Underwater Thruster)</w:t>
      </w:r>
      <w:r>
        <w:rPr>
          <w:rFonts w:ascii="Arial" w:hAnsi="Arial"/>
          <w:sz w:val="19"/>
        </w:rPr>
        <w:tab/>
        <w:t>67</w:t>
      </w:r>
    </w:p>
    <w:p>
      <w:pPr>
        <w:tabs>
          <w:tab w:pos="7427" w:val="right" w:leader="dot"/>
        </w:tabs>
        <w:spacing w:line="276" w:lineRule="auto" w:after="60"/>
      </w:pPr>
      <w:r>
        <w:rPr>
          <w:rFonts w:ascii="Arial" w:hAnsi="Arial"/>
          <w:sz w:val="19"/>
        </w:rPr>
        <w:t>Gambar 3.9  Sumber Daya Baterai Li-Po 4S 14.8V 6000 mAh dan Pengisi Daya SKYRC IMAX B6AC V2</w:t>
      </w:r>
      <w:r>
        <w:rPr>
          <w:rFonts w:ascii="Arial" w:hAnsi="Arial"/>
          <w:sz w:val="19"/>
        </w:rPr>
        <w:tab/>
        <w:t>67</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p>
      <w:pPr>
        <w:sectPr>
          <w:headerReference w:type="default" r:id="rId9"/>
          <w:pgSz w:w="9978" w:h="14173"/>
          <w:pgMar w:top="1276" w:right="1276" w:bottom="1276" w:left="1276" w:header="720" w:footer="720" w:gutter="0"/>
          <w:cols w:space="720"/>
          <w:titlePg/>
          <w:docGrid w:linePitch="360"/>
          <w:pgNumType w:fmt="lowerRoman" w:start="1"/>
        </w:sectPr>
      </w:pPr>
    </w:p>
    <w:p>
      <w:pPr>
        <w:spacing w:before="240" w:after="240"/>
        <w:jc w:val="center"/>
      </w:pPr>
      <w:r>
        <w:rPr>
          <w:rFonts w:ascii="Arial" w:hAnsi="Arial"/>
          <w:b/>
          <w:sz w:val="22"/>
        </w:rPr>
        <w:t>BAB I</w:t>
        <w:br/>
        <w:t>PENDAHULUAN</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p>
      <w:r>
        <w:br w:type="page"/>
      </w:r>
    </w:p>
    <w:p>
      <w:pPr>
        <w:spacing w:before="240" w:after="240"/>
        <w:jc w:val="center"/>
      </w:pPr>
      <w:r>
        <w:rPr>
          <w:rFonts w:ascii="Arial" w:hAnsi="Arial"/>
          <w:b/>
          <w:sz w:val="22"/>
        </w:rPr>
        <w:t>BAB II</w:t>
        <w:br/>
        <w:t>TINJAUAN PUSTAKA</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 (CWNA) dan penapis non-linier seperti</w:t>
      </w:r>
      <w:r>
        <w:rPr>
          <w:rFonts w:ascii="Arial" w:hAnsi="Arial"/>
          <w:sz w:val="20"/>
        </w:rPr>
        <w:t>Extended Kalman Filter</w:t>
      </w:r>
      <w:r>
        <w:rPr>
          <w:rFonts w:ascii="Arial" w:hAnsi="Arial"/>
          <w:i/>
          <w:sz w:val="20"/>
        </w:rPr>
        <w:t>(EKF) [25]. Khalid dkk. (2024) serta Kim (2023) mendokumentasikan aplikasi</w:t>
      </w:r>
      <w:r>
        <w:rPr>
          <w:rFonts w:ascii="Arial" w:hAnsi="Arial"/>
          <w:sz w:val="20"/>
        </w:rPr>
        <w:t>Kalman Filter</w:t>
      </w:r>
      <w:r>
        <w:rPr>
          <w:rFonts w:ascii="Arial" w:hAnsi="Arial"/>
          <w:i/>
          <w:sz w:val="20"/>
        </w:rPr>
        <w:t>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sz w:val="20"/>
        </w:rPr>
        <w:t>ocean current disturbance observer</w:t>
      </w:r>
      <w:r>
        <w:rPr>
          <w:rFonts w:ascii="Arial" w:hAnsi="Arial"/>
          <w:i/>
          <w:sz w:val="20"/>
        </w:rPr>
        <w:t>) secara</w:t>
      </w:r>
      <w:r>
        <w:rPr>
          <w:rFonts w:ascii="Arial" w:hAnsi="Arial"/>
          <w:sz w:val="20"/>
        </w:rPr>
        <w:t>real-time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spacing w:before="160" w:after="60" w:line="276" w:lineRule="auto"/>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(Research Gap)</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Vu dkk. (2021)</w:t>
            </w:r>
            <w:r>
              <w:rPr>
                <w:rFonts w:ascii="Arial" w:hAnsi="Arial"/>
                <w:b w:val="0"/>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Ismail dkk. (2021)</w:t>
            </w:r>
            <w:r>
              <w:rPr>
                <w:rFonts w:ascii="Arial" w:hAnsi="Arial"/>
                <w:b w:val="0"/>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von Benzon dkk. (2022)</w:t>
            </w:r>
            <w:r>
              <w:rPr>
                <w:rFonts w:ascii="Arial" w:hAnsi="Arial"/>
                <w:b w:val="0"/>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Ahmed dkk. (2023)</w:t>
            </w:r>
            <w:r>
              <w:rPr>
                <w:rFonts w:ascii="Arial" w:hAnsi="Arial"/>
                <w:b w:val="0"/>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Merupakan artikel survei literatur; tidak merumuskan arsitektur kendali alokasi daya dorong atau implementasi software-in-the-loop terpadu.</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Wang dkk. (2023)</w:t>
            </w:r>
            <w:r>
              <w:rPr>
                <w:rFonts w:ascii="Arial" w:hAnsi="Arial"/>
                <w:b w:val="0"/>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Alinei-Poiană dkk. (2024)</w:t>
            </w:r>
            <w:r>
              <w:rPr>
                <w:rFonts w:ascii="Arial" w:hAnsi="Arial"/>
                <w:b w:val="0"/>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Eksperimen pemetaan bawah air (underwater mapping)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Ng &amp; Krieg (2024)</w:t>
            </w:r>
            <w:r>
              <w:rPr>
                <w:rFonts w:ascii="Arial" w:hAnsi="Arial"/>
                <w:b w:val="0"/>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Suárez dkk. (2024)</w:t>
            </w:r>
            <w:r>
              <w:rPr>
                <w:rFonts w:ascii="Arial" w:hAnsi="Arial"/>
                <w:b w:val="0"/>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dinamika dan kendali kokoh wahana bawah air memanfaatkan aljabar dual quaternions.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Wei dkk. (2025)</w:t>
            </w:r>
            <w:r>
              <w:rPr>
                <w:rFonts w:ascii="Arial" w:hAnsi="Arial"/>
                <w:b w:val="0"/>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real-time atau alokasi pendorong berlebih.</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Llorente-Vidrio dkk. (2025)</w:t>
            </w:r>
            <w:r>
              <w:rPr>
                <w:rFonts w:ascii="Arial" w:hAnsi="Arial"/>
                <w:b w:val="0"/>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Robust sliding-mode control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(research gap</w:t>
      </w:r>
      <w:r>
        <w:rPr>
          <w:rFonts w:ascii="Arial" w:hAnsi="Arial"/>
          <w:i/>
          <w:sz w:val="20"/>
        </w:rPr>
        <w:t>) yang nyata: belum ada penelitian terdahulu yang menyatukan secara komprehensif formulasi matematis</w:t>
      </w:r>
      <w:r>
        <w:rPr>
          <w:rFonts w:ascii="Arial" w:hAnsi="Arial"/>
          <w:sz w:val="20"/>
        </w:rPr>
        <w:t>first-principles</w:t>
      </w:r>
      <w:r>
        <w:rPr>
          <w:rFonts w:ascii="Arial" w:hAnsi="Arial"/>
          <w:i/>
          <w:sz w:val="20"/>
        </w:rPr>
        <w:t>6-DOF Fossen lengkap, alokasi pendorong redundan $$6 \times 8$$, estimasi keadaan visual adaptif 8D CWNA dengan</w:t>
      </w:r>
      <w:r>
        <w:rPr>
          <w:rFonts w:ascii="Arial" w:hAnsi="Arial"/>
          <w:sz w:val="20"/>
        </w:rPr>
        <w:t>Mahalanobis distance gating,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Pengembangan komputasi dinamika dan arsitektur estimasi wahana over-actuated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i/>
          <w:sz w:val="20"/>
        </w:rPr>
        <w:t>(PMM), hingga simulasi</w:t>
      </w:r>
      <w:r>
        <w:rPr>
          <w:rFonts w:ascii="Arial" w:hAnsi="Arial"/>
          <w:b w:val="0"/>
          <w:sz w:val="20"/>
        </w:rPr>
        <w:t>Computational Fluid Dynamics</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fully-actuated</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thruster</w:t>
      </w:r>
      <w:r>
        <w:rPr>
          <w:rFonts w:ascii="Arial" w:hAnsi="Arial"/>
          <w:b w:val="0"/>
          <w:i/>
          <w:sz w:val="20"/>
        </w:rPr>
        <w:t>[20]. Zuluaga dkk. (2022) serta Gieraths dkk. (2023) menetapkan metodologi</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digital twin</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tether</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(event-triggered</w:t>
      </w:r>
      <w:r>
        <w:rPr>
          <w:rFonts w:ascii="Arial" w:hAnsi="Arial"/>
          <w:b w:val="0"/>
          <w:i/>
          <w:sz w:val="20"/>
        </w:rPr>
        <w:t>) dengan</w:t>
      </w:r>
      <w:r>
        <w:rPr>
          <w:rFonts w:ascii="Arial" w:hAnsi="Arial"/>
          <w:b w:val="0"/>
          <w:sz w:val="20"/>
        </w:rPr>
        <w:t>grey wolf optimized disturbance observer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spacing w:before="160" w:after="80"/>
        <w:jc w:val="center"/>
      </w:pPr>
      <w:r>
        <w:drawing>
          <wp:inline xmlns:a="http://schemas.openxmlformats.org/drawingml/2006/main" xmlns:pic="http://schemas.openxmlformats.org/drawingml/2006/picture">
            <wp:extent cx="3780000" cy="3895420"/>
            <wp:docPr id="2" name="Picture 2"/>
            <wp:cNvGraphicFramePr>
              <a:graphicFrameLocks noChangeAspect="1"/>
            </wp:cNvGraphicFramePr>
            <a:graphic>
              <a:graphicData uri="http://schemas.openxmlformats.org/drawingml/2006/picture">
                <pic:pic>
                  <pic:nvPicPr>
                    <pic:cNvPr id="0" name="sname_fossen_coordinate_system.png"/>
                    <pic:cNvPicPr/>
                  </pic:nvPicPr>
                  <pic:blipFill>
                    <a:blip r:embed="rId13"/>
                    <a:stretch>
                      <a:fillRect/>
                    </a:stretch>
                  </pic:blipFill>
                  <pic:spPr>
                    <a:xfrm>
                      <a:off x="0" y="0"/>
                      <a:ext cx="3780000" cy="3895420"/>
                    </a:xfrm>
                    <a:prstGeom prst="rect"/>
                  </pic:spPr>
                </pic:pic>
              </a:graphicData>
            </a:graphic>
          </wp:inline>
        </w:drawing>
      </w:r>
    </w:p>
    <w:p>
      <w:pPr>
        <w:spacing w:before="80" w:after="160" w:line="276" w:lineRule="auto"/>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North-East-Down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xml:space="preserve">: Mengarah vertikal tegak lurus ke bawah (Down)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Forward-Right-Down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(Forward / Bow</w:t>
      </w:r>
      <w:r>
        <w:rPr>
          <w:rFonts w:ascii="Arial" w:hAnsi="Arial"/>
          <w:b w:val="0"/>
          <w:i/>
          <w:sz w:val="20"/>
        </w:rPr>
        <w:t>), mendefinisikan gerak translasi</w:t>
      </w:r>
      <w:r>
        <w:rPr>
          <w:rFonts w:ascii="Arial" w:hAnsi="Arial"/>
          <w:b w:val="0"/>
          <w:sz w:val="20"/>
        </w:rPr>
        <w:t>Surge.</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(Starboard</w:t>
      </w:r>
      <w:r>
        <w:rPr>
          <w:rFonts w:ascii="Arial" w:hAnsi="Arial"/>
          <w:b w:val="0"/>
          <w:i/>
          <w:sz w:val="20"/>
        </w:rPr>
        <w:t>), mendefinisikan gerak translasi</w:t>
      </w:r>
      <w:r>
        <w:rPr>
          <w:rFonts w:ascii="Arial" w:hAnsi="Arial"/>
          <w:b w:val="0"/>
          <w:sz w:val="20"/>
        </w:rPr>
        <w:t>Sway.</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(Down / Keel</w:t>
      </w:r>
      <w:r>
        <w:rPr>
          <w:rFonts w:ascii="Arial" w:hAnsi="Arial"/>
          <w:b w:val="0"/>
          <w:i/>
          <w:sz w:val="20"/>
        </w:rPr>
        <w:t>), mendefinisikan gerak translasi</w:t>
      </w:r>
      <w:r>
        <w:rPr>
          <w:rFonts w:ascii="Arial" w:hAnsi="Arial"/>
          <w:b w:val="0"/>
          <w:sz w:val="20"/>
        </w:rPr>
        <w:t>Heave.</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spacing w:before="160" w:after="60" w:line="276" w:lineRule="auto"/>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Pitch</w:t>
      </w:r>
      <w:r>
        <w:rPr>
          <w:rFonts w:ascii="Arial" w:hAnsi="Arial"/>
          <w:i/>
          <w:sz w:val="20"/>
        </w:rPr>
        <w:t>,</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(Surge</w:t>
      </w:r>
      <w:r>
        <w:rPr>
          <w:rFonts w:ascii="Arial" w:hAnsi="Arial"/>
          <w:i/>
          <w:sz w:val="20"/>
        </w:rPr>
        <w:t>,</w:t>
      </w:r>
      <w:r>
        <w:rPr>
          <w:rFonts w:ascii="Arial" w:hAnsi="Arial"/>
          <w:sz w:val="20"/>
        </w:rPr>
        <w:t>Sway</w:t>
      </w:r>
      <w:r>
        <w:rPr>
          <w:rFonts w:ascii="Arial" w:hAnsi="Arial"/>
          <w:i/>
          <w:sz w:val="20"/>
        </w:rPr>
        <w:t>,</w:t>
      </w:r>
      <w:r>
        <w:rPr>
          <w:rFonts w:ascii="Arial" w:hAnsi="Arial"/>
          <w:sz w:val="20"/>
        </w:rPr>
        <w:t>Heave</w:t>
      </w:r>
      <w:r>
        <w:rPr>
          <w:rFonts w:ascii="Arial" w:hAnsi="Arial"/>
          <w:i/>
          <w:sz w:val="20"/>
        </w:rPr>
        <w:t>) dalam m/s, dan $$\boldsymbol{\nu}_2 = [p, q, r]^T \in \mathbb{R}^3$$ adalah kecepatan sudut bodi (</w:t>
      </w:r>
      <w:r>
        <w:rPr>
          <w:rFonts w:ascii="Arial" w:hAnsi="Arial"/>
          <w:sz w:val="20"/>
        </w:rPr>
        <w:t>Roll rate</w:t>
      </w:r>
      <w:r>
        <w:rPr>
          <w:rFonts w:ascii="Arial" w:hAnsi="Arial"/>
          <w:i/>
          <w:sz w:val="20"/>
        </w:rPr>
        <w:t>,</w:t>
      </w:r>
      <w:r>
        <w:rPr>
          <w:rFonts w:ascii="Arial" w:hAnsi="Arial"/>
          <w:sz w:val="20"/>
        </w:rPr>
        <w:t>Pitch rate</w:t>
      </w:r>
      <w:r>
        <w:rPr>
          <w:rFonts w:ascii="Arial" w:hAnsi="Arial"/>
          <w:i/>
          <w:sz w:val="20"/>
        </w:rPr>
        <w:t>,</w:t>
      </w:r>
      <w:r>
        <w:rPr>
          <w:rFonts w:ascii="Arial" w:hAnsi="Arial"/>
          <w:sz w:val="20"/>
        </w:rPr>
        <w:t>Yaw rate)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i/>
          <w:sz w:val="20"/>
        </w:rPr>
        <w:t>dan bervariasi lambat (</w:t>
      </w:r>
      <w:r>
        <w:rPr>
          <w:rFonts w:ascii="Arial" w:hAnsi="Arial"/>
          <w:sz w:val="20"/>
        </w:rPr>
        <w:t>slowly varying current):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(Coriolis acceleration theorem):</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 diletakkan di bagian atas bodi ($$z_b &lt; 0$$). Hal ini menghasilkan</w:t>
      </w:r>
      <w:r>
        <w:rPr>
          <w:rFonts w:ascii="Arial" w:hAnsi="Arial"/>
          <w:sz w:val="20"/>
        </w:rPr>
        <w:t>tinggi metasentris positif:</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(torsional stiffness springs):</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(Yaw-Pitch-Roll)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terlihat jelas bahwa ketika sudut pitch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i/>
          <w:sz w:val="20"/>
        </w:rPr>
        <w:t>hingga sudut vertikal ekstrim ($$\pm 90^\circ$$), integrasi numerik sudut Euler akan mengalami</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skew-symmetric cross-product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skew-symmetric:</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(hydrodynamic added mass)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(asymmetry)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over-actuated 8-pendorong</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(cross-flow drag) sesuai formulasi Morison [7], [31]:</w:t>
      </w:r>
    </w:p>
    <w:p>
      <w:pPr>
        <w:spacing w:before="120" w:after="12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(vortex shedding)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dan pitch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(actuator null-space</w:t>
      </w:r>
      <w:r>
        <w:rPr>
          <w:rFonts w:ascii="Arial" w:hAnsi="Arial"/>
          <w:i/>
          <w:sz w:val="20"/>
        </w:rPr>
        <w:t>) yang memungkinkan optimasi konsumsi energi listrik, penghindaran saturasi pendorong individual, serta kemampuan rekonfigurasi toleransi kesalahan (</w:t>
      </w:r>
      <w:r>
        <w:rPr>
          <w:rFonts w:ascii="Arial" w:hAnsi="Arial"/>
          <w:sz w:val="20"/>
        </w:rPr>
        <w:t>fault-tolerant control) [21], [32].</w:t>
      </w:r>
    </w:p>
    <w:p>
      <w:pPr>
        <w:spacing w:before="160" w:after="40"/>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567"/>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(Pulse Width Modulation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vectored</w:t>
      </w:r>
      <w:r>
        <w:rPr>
          <w:rFonts w:ascii="Arial" w:hAnsi="Arial"/>
          <w:i/>
          <w:sz w:val="20"/>
        </w:rPr>
        <w:t>dengan sudut canting $$\alpha = 45^\circ$$ ($$\pi/4\text{ rad}$$) terhadap sumbu longitudinal. Konfigurasi ini menghasilkan gaya translasi gabungan</w:t>
      </w:r>
      <w:r>
        <w:rPr>
          <w:rFonts w:ascii="Arial" w:hAnsi="Arial"/>
          <w:sz w:val="20"/>
        </w:rPr>
        <w:t>Surge</w:t>
      </w:r>
      <w:r>
        <w:rPr>
          <w:rFonts w:ascii="Arial" w:hAnsi="Arial"/>
          <w:i/>
          <w:sz w:val="20"/>
        </w:rPr>
        <w:t>($$X$$),</w:t>
      </w:r>
      <w:r>
        <w:rPr>
          <w:rFonts w:ascii="Arial" w:hAnsi="Arial"/>
          <w:sz w:val="20"/>
        </w:rPr>
        <w:t>Sway</w:t>
      </w:r>
      <w:r>
        <w:rPr>
          <w:rFonts w:ascii="Arial" w:hAnsi="Arial"/>
          <w:i/>
          <w:sz w:val="20"/>
        </w:rPr>
        <w:t>($$Y$$), dan momen rotasi</w:t>
      </w:r>
      <w:r>
        <w:rPr>
          <w:rFonts w:ascii="Arial" w:hAnsi="Arial"/>
          <w:sz w:val="20"/>
        </w:rPr>
        <w:t>Yaw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starboard-aft</w:t>
      </w:r>
      <w:r>
        <w:rPr>
          <w:rFonts w:ascii="Arial" w:hAnsi="Arial"/>
          <w:i/>
          <w:sz w:val="20"/>
        </w:rPr>
        <w:t>). Pendorong ini menghasilkan gaya translasi</w:t>
      </w:r>
      <w:r>
        <w:rPr>
          <w:rFonts w:ascii="Arial" w:hAnsi="Arial"/>
          <w:sz w:val="20"/>
        </w:rPr>
        <w:t>Heave</w:t>
      </w:r>
      <w:r>
        <w:rPr>
          <w:rFonts w:ascii="Arial" w:hAnsi="Arial"/>
          <w:i/>
          <w:sz w:val="20"/>
        </w:rPr>
        <w:t>($$Z$$), serta momen kendali aktif independen pada sumbu</w:t>
      </w:r>
      <w:r>
        <w:rPr>
          <w:rFonts w:ascii="Arial" w:hAnsi="Arial"/>
          <w:sz w:val="20"/>
        </w:rPr>
        <w:t>Roll</w:t>
      </w:r>
      <w:r>
        <w:rPr>
          <w:rFonts w:ascii="Arial" w:hAnsi="Arial"/>
          <w:i/>
          <w:sz w:val="20"/>
        </w:rPr>
        <w:t>($$K$$) dan sumbu</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spacing w:before="160" w:after="60" w:line="276" w:lineRule="auto"/>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rPr>
          <w:cantSplit/>
          <w:tblHeader/>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Kiri-Depan (Port-Fore)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Kanan-Depan (Starboard-Fore)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Kiri-Belakang (Port-Aft)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Kanan-Belakang (Starboard-Aft)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Kiri-Depan (Port-Fore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Kanan-Depan (Starboard-Fore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Kiri-Belakang (Port-Aft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Kanan-Belakang (Starboard-Aft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bl>
    <w:p>
      <w:pPr>
        <w:spacing w:after="8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maka komponen momen putar roll</w:t>
      </w:r>
      <w:r>
        <w:rPr>
          <w:rFonts w:ascii="Arial" w:hAnsi="Arial"/>
          <w:i/>
          <w:sz w:val="20"/>
        </w:rPr>
        <w:t>($$K$$) dan</w:t>
      </w:r>
      <w:r>
        <w:rPr>
          <w:rFonts w:ascii="Arial" w:hAnsi="Arial"/>
          <w:sz w:val="20"/>
        </w:rPr>
        <w:t>pitch</w:t>
      </w:r>
      <w:r>
        <w:rPr>
          <w:rFonts w:ascii="Arial" w:hAnsi="Arial"/>
          <w:i/>
          <w:sz w:val="20"/>
        </w:rPr>
        <w:t>($$M$$) bernilai nol. Komponen momen</w:t>
      </w:r>
      <w:r>
        <w:rPr>
          <w:rFonts w:ascii="Arial" w:hAnsi="Arial"/>
          <w:sz w:val="20"/>
        </w:rPr>
        <w:t>yaw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Karena sistem bersifat over-actuated</w:t>
      </w:r>
      <w:r>
        <w:rPr>
          <w:rFonts w:ascii="Arial" w:hAnsi="Arial"/>
          <w:i/>
          <w:sz w:val="20"/>
        </w:rPr>
        <w:t>, persamaan alokasi $$\boldsymbol{\tau} = \mathbf{T}_{6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sz w:val="20"/>
        </w:rPr>
        <w:t>constrained quadratic optimization)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 direduksi secara elegan menjadi rumus</w:t>
      </w:r>
      <w:r>
        <w:rPr>
          <w:rFonts w:ascii="Arial" w:hAnsi="Arial"/>
          <w:sz w:val="20"/>
        </w:rPr>
        <w:t>Moore-Penrose Pseudo-Inverse kanan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Algoritma ini diimplementasikan secara komputasional pada firmware</w:t>
      </w:r>
      <w:r>
        <w:rPr>
          <w:rFonts w:ascii="Arial" w:hAnsi="Arial"/>
          <w:i/>
          <w:sz w:val="20"/>
        </w:rPr>
        <w:t>ArduSub `-f</w:t>
      </w:r>
      <w:r>
        <w:rPr>
          <w:rFonts w:ascii="Arial" w:hAnsi="Arial"/>
          <w:sz w:val="20"/>
        </w:rPr>
        <w:t>vectored_6dof</w:t>
      </w:r>
      <w:r>
        <w:rPr>
          <w:rFonts w:ascii="Arial" w:hAnsi="Arial"/>
          <w:i/>
          <w:sz w:val="20"/>
        </w:rPr>
        <w:t>` di dalam mikrokontroler Pixhawk 2.4.8 pada frekuensi loop kendali 50 Hz, dilengkapi dengan logika</w:t>
      </w:r>
      <w:r>
        <w:rPr>
          <w:rFonts w:ascii="Arial" w:hAnsi="Arial"/>
          <w:sz w:val="20"/>
        </w:rPr>
        <w:t>thrust clipping and scaling untuk mencegah saturasi batas fisik motor BLDC Underwater Thruster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 derau sensor frekuensi tinggi, serta penurunan kualitas visual bawah air [2], [14], [16]. Untuk menjamin estimasi keadaan spasial dan pelacakan objek yang andal dan kokoh, penelitian ini merancang dan memformulasikan</w:t>
      </w:r>
      <w:r>
        <w:rPr>
          <w:rFonts w:ascii="Arial" w:hAnsi="Arial"/>
          <w:sz w:val="20"/>
        </w:rPr>
        <w:t>Suite Optimal Kalman Filter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 xml:space="preserve">Nilai Harapan Matematis (Mathematical Expectation)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(Error Covariance Matrix)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(state transition matrix).</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Bentuk Kovariansi Joseph</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posterior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(smooth </w:t>
      </w:r>
      <w:r>
        <w:rPr>
          <w:rFonts w:ascii="Arial" w:hAnsi="Arial"/>
          <w:sz w:val="20"/>
        </w:rPr>
        <w:t>$$C^1$$</w:t>
      </w:r>
      <w:r>
        <w:rPr>
          <w:rFonts w:ascii="Arial" w:hAnsi="Arial"/>
          <w:sz w:val="20"/>
        </w:rPr>
        <w:t xml:space="preserve"> mappings).</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 EKF menyelesaikan masalah ini dengan melakukan</w:t>
      </w:r>
      <w:r>
        <w:rPr>
          <w:rFonts w:ascii="Arial" w:hAnsi="Arial"/>
          <w:sz w:val="20"/>
        </w:rPr>
        <w:t>linearisasi deret Taylor orde pertama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deep learning</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Continuous White Noise Acceleration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 $$\text{conf}_k \in [0, 1]$$. Pada kondisi air keruh, deteksi dengan nilai keyakinan rendah mengandung variansi derau spasial yang jauh lebih besar. Untuk mengakomodasi fenomena ini secara stokastik, dikembangkan formulasi</w:t>
      </w:r>
      <w:r>
        <w:rPr>
          <w:rFonts w:ascii="Arial" w:hAnsi="Arial"/>
          <w:sz w:val="20"/>
        </w:rPr>
        <w:t>kovariansi pengukuran adaptif non-linier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(reject)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Jarak Mahalanobis</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 selama beberapa detik ($$\mathbf{z}_k = \emptyset$$), modul penapis Kalman beralih ke mode</w:t>
      </w:r>
      <w:r>
        <w:rPr>
          <w:rFonts w:ascii="Arial" w:hAnsi="Arial"/>
          <w:sz w:val="20"/>
        </w:rPr>
        <w:t>dead-reckoning murni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(state transient jump).</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 oleh</w:t>
      </w:r>
      <w:r>
        <w:rPr>
          <w:rFonts w:ascii="Arial" w:hAnsi="Arial"/>
          <w:sz w:val="20"/>
        </w:rPr>
        <w:t>Subsea Hydrodynamic Extended Kalman Filter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(bottom tracking).</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w:t>
      </w:r>
      <w:r>
        <w:rPr>
          <w:rFonts w:ascii="Arial" w:hAnsi="Arial"/>
          <w:sz w:val="20"/>
        </w:rPr>
        <w:t>attitude hold) dan peredaman aktif terhadap momen Munk hidrodinamika yang tidak stabil [21], [32].</w:t>
      </w:r>
    </w:p>
    <w:p>
      <w:r>
        <w:br w:type="page"/>
      </w:r>
    </w:p>
    <w:p>
      <w:pPr>
        <w:spacing w:before="240" w:after="240"/>
        <w:jc w:val="center"/>
      </w:pPr>
      <w:r>
        <w:rPr>
          <w:rFonts w:ascii="Arial" w:hAnsi="Arial"/>
          <w:b/>
          <w:sz w:val="22"/>
        </w:rPr>
        <w:t>BAB III</w:t>
        <w:br/>
        <w:t>METODOLOGI PENELITIAN</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over-actuated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i/>
          <w:sz w:val="20"/>
        </w:rPr>
        <w:t>Raspberry Pi 4B), integrasi sensor inersia dan sensor tekanan subsea pada</w:t>
      </w:r>
      <w:r>
        <w:rPr>
          <w:rFonts w:ascii="Arial" w:hAnsi="Arial"/>
          <w:b w:val="0"/>
          <w:sz w:val="20"/>
        </w:rPr>
        <w:t>flight controller</w:t>
      </w:r>
      <w:r>
        <w:rPr>
          <w:rFonts w:ascii="Arial" w:hAnsi="Arial"/>
          <w:b w:val="0"/>
          <w:i/>
          <w:sz w:val="20"/>
        </w:rPr>
        <w:t>Pixhawk 2.4.8, perakitan kabel komunikasi</w:t>
      </w:r>
      <w:r>
        <w:rPr>
          <w:rFonts w:ascii="Arial" w:hAnsi="Arial"/>
          <w:b w:val="0"/>
          <w:sz w:val="20"/>
        </w:rPr>
        <w:t>tether</w:t>
      </w:r>
      <w:r>
        <w:rPr>
          <w:rFonts w:ascii="Arial" w:hAnsi="Arial"/>
          <w:b w:val="0"/>
          <w:i/>
          <w:sz w:val="20"/>
        </w:rPr>
        <w:t>Ethernet Fathom-X, serta pengujian</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i/>
          <w:sz w:val="20"/>
        </w:rPr>
        <w:t>(SITL) berbasis robotik Gazebo Harmonic dan ROS 2 Jazzy Jalisco, akselerasi jaringan syaraf tiruan</w:t>
      </w:r>
      <w:r>
        <w:rPr>
          <w:rFonts w:ascii="Arial" w:hAnsi="Arial"/>
          <w:b w:val="0"/>
          <w:sz w:val="20"/>
        </w:rPr>
        <w:t>deep learning</w:t>
      </w:r>
      <w:r>
        <w:rPr>
          <w:rFonts w:ascii="Arial" w:hAnsi="Arial"/>
          <w:b w:val="0"/>
          <w:i/>
          <w:sz w:val="20"/>
        </w:rPr>
        <w:t>YOLO26 / YOLO-World, serta komputasi penapis</w:t>
      </w:r>
      <w:r>
        <w:rPr>
          <w:rFonts w:ascii="Arial" w:hAnsi="Arial"/>
          <w:b w:val="0"/>
          <w:sz w:val="20"/>
        </w:rPr>
        <w:t>8D Visual Target Kalman Filter.</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(scattering</w:t>
      </w:r>
      <w:r>
        <w:rPr>
          <w:rFonts w:ascii="Arial" w:hAnsi="Arial"/>
          <w:b w:val="0"/>
          <w:i/>
          <w:sz w:val="20"/>
        </w:rPr>
        <w:t>) khas lingkungan perairan, yang dimitigasi secara komputasional melalui algoritma prapemrosesan</w:t>
      </w:r>
      <w:r>
        <w:rPr>
          <w:rFonts w:ascii="Arial" w:hAnsi="Arial"/>
          <w:b w:val="0"/>
          <w:sz w:val="20"/>
        </w:rPr>
        <w:t>Contrast Limited Adaptive Histogram Equalization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spacing w:before="160" w:after="80"/>
        <w:jc w:val="center"/>
      </w:pPr>
      <w:r>
        <w:drawing>
          <wp:inline xmlns:a="http://schemas.openxmlformats.org/drawingml/2006/main" xmlns:pic="http://schemas.openxmlformats.org/drawingml/2006/picture">
            <wp:extent cx="3780000" cy="3508058"/>
            <wp:docPr id="3" name="Picture 3"/>
            <wp:cNvGraphicFramePr>
              <a:graphicFrameLocks noChangeAspect="1"/>
            </wp:cNvGraphicFramePr>
            <a:graphic>
              <a:graphicData uri="http://schemas.openxmlformats.org/drawingml/2006/picture">
                <pic:pic>
                  <pic:nvPicPr>
                    <pic:cNvPr id="0" name="diagram_alir_penelitian.png"/>
                    <pic:cNvPicPr/>
                  </pic:nvPicPr>
                  <pic:blipFill>
                    <a:blip r:embed="rId14"/>
                    <a:stretch>
                      <a:fillRect/>
                    </a:stretch>
                  </pic:blipFill>
                  <pic:spPr>
                    <a:xfrm>
                      <a:off x="0" y="0"/>
                      <a:ext cx="3780000" cy="3508058"/>
                    </a:xfrm>
                    <a:prstGeom prst="rect"/>
                  </pic:spPr>
                </pic:pic>
              </a:graphicData>
            </a:graphic>
          </wp:inline>
        </w:drawing>
      </w:r>
    </w:p>
    <w:p>
      <w:pPr>
        <w:spacing w:before="80" w:after="160" w:line="276" w:lineRule="auto"/>
        <w:jc w:val="center"/>
      </w:pPr>
      <w:r>
        <w:rPr>
          <w:rFonts w:ascii="Arial" w:hAnsi="Arial"/>
          <w:b/>
          <w:sz w:val="19"/>
        </w:rPr>
        <w:t xml:space="preserve">Gambar 3.1 </w:t>
      </w:r>
      <w:r>
        <w:rPr>
          <w:rFonts w:ascii="Arial" w:hAnsi="Arial"/>
          <w:b w:val="0"/>
          <w:sz w:val="19"/>
        </w:rPr>
        <w:t>Diagram alir tahapan penelitian komprehensif</w:t>
      </w:r>
    </w:p>
    <w:p>
      <w:pPr>
        <w:spacing w:before="160" w:after="40"/>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 dan alokasi gaya dorong</w:t>
      </w:r>
      <w:r>
        <w:rPr>
          <w:rFonts w:ascii="Arial" w:hAnsi="Arial"/>
          <w:sz w:val="20"/>
        </w:rPr>
        <w:t>over-actuated</w:t>
      </w:r>
      <w:r>
        <w:rPr>
          <w:rFonts w:ascii="Arial" w:hAnsi="Arial"/>
          <w:i/>
          <w:sz w:val="20"/>
        </w:rPr>
        <w:t>bergantung mutlak pada akurasi parameter fisik dan koefisien hidrodinamika wahana. Sub-bab ini merangkum identifikasi numerik dari parameter benda tegar (</w:t>
      </w:r>
      <w:r>
        <w:rPr>
          <w:rFonts w:ascii="Arial" w:hAnsi="Arial"/>
          <w:sz w:val="20"/>
        </w:rPr>
        <w:t>rigid-body</w:t>
      </w:r>
      <w:r>
        <w:rPr>
          <w:rFonts w:ascii="Arial" w:hAnsi="Arial"/>
          <w:i/>
          <w:sz w:val="20"/>
        </w:rPr>
        <w:t>), massa tambah hidrodinamika (</w:t>
      </w:r>
      <w:r>
        <w:rPr>
          <w:rFonts w:ascii="Arial" w:hAnsi="Arial"/>
          <w:sz w:val="20"/>
        </w:rPr>
        <w:t>added mass</w:t>
      </w:r>
      <w:r>
        <w:rPr>
          <w:rFonts w:ascii="Arial" w:hAnsi="Arial"/>
          <w:i/>
          <w:sz w:val="20"/>
        </w:rPr>
        <w:t>), redaman fluida (</w:t>
      </w:r>
      <w:r>
        <w:rPr>
          <w:rFonts w:ascii="Arial" w:hAnsi="Arial"/>
          <w:sz w:val="20"/>
        </w:rPr>
        <w:t>hydrodynamic damping</w:t>
      </w:r>
      <w:r>
        <w:rPr>
          <w:rFonts w:ascii="Arial" w:hAnsi="Arial"/>
          <w:i/>
          <w:sz w:val="20"/>
        </w:rPr>
        <w:t>), gaya pemulih hidrostatis (</w:t>
      </w:r>
      <w:r>
        <w:rPr>
          <w:rFonts w:ascii="Arial" w:hAnsi="Arial"/>
          <w:sz w:val="20"/>
        </w:rPr>
        <w:t>restoring forces),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High-Density Polyethylene (HDPE) [3]. Parameter massa total, dimensi fisik, dan posisi pusat massa/apung ditabulasikan pada Tabel 3.1.</w:t>
      </w:r>
    </w:p>
    <w:p>
      <w:pPr>
        <w:spacing w:before="160" w:after="60" w:line="276" w:lineRule="auto"/>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timbangan digital presisi [3]</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Volume Benaman Total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$$\nabla$$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$$0.0132$$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model CAD 3D &amp; hukum Archimedes</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distribusi massa ballast bawah [3],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Tawar Uji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$$\rho_{\text{fresh}}$$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kondisi fluida laboratorium</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Laut Nominal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$$\rho_{\text{salt}}$$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$$1025.0$$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oseanografi subsea DNV (2021) [5]</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jc w:val="center"/>
      </w:pPr>
      <w:r>
        <w:rPr>
          <w:rFonts w:ascii="Arial" w:hAnsi="Arial"/>
          <w:sz w:val="20"/>
        </w:rPr>
        <w:t>$$B_{\text{fresh}} = \rho_{\text{fresh}} g \nabla = 1000.0 \times 9.80665 \times 0.0132 = 129.448\text{ N}$$</w:t>
      </w:r>
    </w:p>
    <w:p>
      <w:pPr>
        <w:spacing w:before="120" w:after="12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(fail-safe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Planar Motion Mechanism (PMM) dan survei literatur wahana kelas BlueROV2 [1], [4], [7], [12], [26], [28], [31], [34], [37]:</w:t>
      </w:r>
    </w:p>
    <w:p>
      <w:pPr>
        <w:spacing w:before="120" w:after="12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spacing w:before="160" w:after="60" w:line="276" w:lineRule="auto"/>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frontal ramping</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samping tabung ganda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datar atas/bawah</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longitudinal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transversal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i/>
          <w:sz w:val="20"/>
        </w:rPr>
        <w:t>$$\mathbf{D}_{NL}$$) akibat pusaran turbulen (</w:t>
      </w:r>
      <w:r>
        <w:rPr>
          <w:rFonts w:ascii="Arial" w:hAnsi="Arial"/>
          <w:sz w:val="20"/>
        </w:rPr>
        <w:t>vortex shedding) di sekitar struktur kerangka terbuka [7], [31], [34]:</w:t>
      </w:r>
    </w:p>
    <w:p>
      <w:pPr>
        <w:spacing w:before="120" w:after="12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jc w:val="center"/>
      </w:pPr>
      <w:r>
        <w:rPr>
          <w:rFonts w:ascii="Arial" w:hAnsi="Arial"/>
          <w:sz w:val="20"/>
        </w:rPr>
        <w:t>$$\mathbf{D}_L = -\text{diag}\left( X_u, Y_v, Z_w, K_p, M_q, N_r  \right)$$</w:t>
      </w:r>
    </w:p>
    <w:p>
      <w:pPr>
        <w:spacing w:before="120" w:after="12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line="276" w:lineRule="auto"/>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rPr>
          <w:cantSplit/>
          <w:tblHeader/>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w:t>
            </w:r>
            <w:r>
              <w:rPr>
                <w:rFonts w:ascii="Arial" w:hAnsi="Arial"/>
                <w:b w:val="0"/>
                <w:sz w:val="17"/>
              </w:rPr>
              <w:t>$$u$$</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$$-4.03\text{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$$-18.18\text{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Sway (</w:t>
            </w:r>
            <w:r>
              <w:rPr>
                <w:rFonts w:ascii="Arial" w:hAnsi="Arial"/>
                <w:b w:val="0"/>
                <w:sz w:val="17"/>
              </w:rPr>
              <w:t>$$v$$</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$$-6.22\text{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$$-21.66\text{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w:t>
            </w:r>
            <w:r>
              <w:rPr>
                <w:rFonts w:ascii="Arial" w:hAnsi="Arial"/>
                <w:b w:val="0"/>
                <w:sz w:val="17"/>
              </w:rPr>
              <w:t>$$w$$</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$$-5.18\text{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$$-36.99\text{ N}\cdot\text{s}^2/\text{m}^2$$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Roll (</w:t>
            </w:r>
            <w:r>
              <w:rPr>
                <w:rFonts w:ascii="Arial" w:hAnsi="Arial"/>
                <w:b w:val="0"/>
                <w:sz w:val="17"/>
              </w:rPr>
              <w:t>$$p$$</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Pitch (</w:t>
            </w:r>
            <w:r>
              <w:rPr>
                <w:rFonts w:ascii="Arial" w:hAnsi="Arial"/>
                <w:b w:val="0"/>
                <w:sz w:val="17"/>
              </w:rPr>
              <w:t>$$q$$</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rPr>
          <w:cantSplit/>
        </w:trP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Yaw (</w:t>
            </w:r>
            <w:r>
              <w:rPr>
                <w:rFonts w:ascii="Arial" w:hAnsi="Arial"/>
                <w:b w:val="0"/>
                <w:sz w:val="17"/>
              </w:rPr>
              <w:t>$$r$$</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line="276" w:lineRule="auto"/>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238"/>
        <w:gridCol w:w="1238"/>
        <w:gridCol w:w="1238"/>
        <w:gridCol w:w="1238"/>
        <w:gridCol w:w="1238"/>
        <w:gridCol w:w="1238"/>
      </w:tblGrid>
      <w:tr>
        <w:trPr>
          <w:cantSplit/>
          <w:tblHeader/>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rPr>
          <w:cantSplit/>
        </w:trP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spacing w:before="160" w:after="80"/>
        <w:jc w:val="center"/>
      </w:pPr>
      <w:r>
        <w:drawing>
          <wp:inline xmlns:a="http://schemas.openxmlformats.org/drawingml/2006/main" xmlns:pic="http://schemas.openxmlformats.org/drawingml/2006/picture">
            <wp:extent cx="4608000" cy="3000558"/>
            <wp:docPr id="4" name="Picture 4"/>
            <wp:cNvGraphicFramePr>
              <a:graphicFrameLocks noChangeAspect="1"/>
            </wp:cNvGraphicFramePr>
            <a:graphic>
              <a:graphicData uri="http://schemas.openxmlformats.org/drawingml/2006/picture">
                <pic:pic>
                  <pic:nvPicPr>
                    <pic:cNvPr id="0" name="arsitektur_sitl.png"/>
                    <pic:cNvPicPr/>
                  </pic:nvPicPr>
                  <pic:blipFill>
                    <a:blip r:embed="rId15"/>
                    <a:stretch>
                      <a:fillRect/>
                    </a:stretch>
                  </pic:blipFill>
                  <pic:spPr>
                    <a:xfrm>
                      <a:off x="0" y="0"/>
                      <a:ext cx="4608000" cy="3000558"/>
                    </a:xfrm>
                    <a:prstGeom prst="rect"/>
                  </pic:spPr>
                </pic:pic>
              </a:graphicData>
            </a:graphic>
          </wp:inline>
        </w:drawing>
      </w:r>
    </w:p>
    <w:p>
      <w:pPr>
        <w:spacing w:before="80" w:after="160" w:line="276" w:lineRule="auto"/>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(lockstep simulation)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Untuk memfasilitasi pertukaran data antara simulator Gazebo Harmonic dan ekosistem komputasi robotika, diimplementasikan jembatan komunikasi ros_gz_bridge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before="160" w:after="80"/>
        <w:jc w:val="center"/>
      </w:pPr>
      <w:r>
        <w:drawing>
          <wp:inline xmlns:a="http://schemas.openxmlformats.org/drawingml/2006/main" xmlns:pic="http://schemas.openxmlformats.org/drawingml/2006/picture">
            <wp:extent cx="3780000" cy="3193953"/>
            <wp:docPr id="5" name="Picture 5"/>
            <wp:cNvGraphicFramePr>
              <a:graphicFrameLocks noChangeAspect="1"/>
            </wp:cNvGraphicFramePr>
            <a:graphic>
              <a:graphicData uri="http://schemas.openxmlformats.org/drawingml/2006/picture">
                <pic:pic>
                  <pic:nvPicPr>
                    <pic:cNvPr id="0" name="arsitektur_hitl.png"/>
                    <pic:cNvPicPr/>
                  </pic:nvPicPr>
                  <pic:blipFill>
                    <a:blip r:embed="rId16"/>
                    <a:stretch>
                      <a:fillRect/>
                    </a:stretch>
                  </pic:blipFill>
                  <pic:spPr>
                    <a:xfrm>
                      <a:off x="0" y="0"/>
                      <a:ext cx="3780000" cy="3193953"/>
                    </a:xfrm>
                    <a:prstGeom prst="rect"/>
                  </pic:spPr>
                </pic:pic>
              </a:graphicData>
            </a:graphic>
          </wp:inline>
        </w:drawing>
      </w:r>
    </w:p>
    <w:p>
      <w:pPr>
        <w:spacing w:before="80" w:after="160" w:line="276" w:lineRule="auto"/>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line="276" w:lineRule="auto"/>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rPr>
          <w:cantSplit/>
          <w:tblHeader/>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Rangka &amp; Lambung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Custom-made AUV Hull &amp; Frame (Tabung Akrilik Silinder Kedap Air + Kerangka 8 Pendorong)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Mekanikal / Sealing O-Ring Ganda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Struktur fisik penahan tekanan hidrostatis dan dudukan geometris 8 pendorong bervektor</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Tekanan &amp; Kedalaman Digital Subsea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Modul Kamera Utama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Camera Rev 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uji alternatif resolusi tinggi Full HD 1080p / 720p dengan lensa sudut lebar</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Laptop dengan GPU NVIDIA (CUDA / TensorRT)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Pemrosesan visi YOLO pada GPU NVIDIA &amp; penapis Topside Visual Kalman Filter 8D</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Pengendali Kecepatan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ESC EMAX BLHeli 30A (Bidirectional Firmware)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Pengaturan komutasi dan kecepatan putar dua arah (maju-mundur) 8 motor pendorong BLDC</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BLDC Motor Underwater Thruster (12–24V, 4-Blade Propeller)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Fasa 3-Kawat ke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Catu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Baterai Li-Po 4S1P 14.8V kapasitas 6000 mAh (88.8 Wh)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Konektor Arus Tinggi XT90 / Power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Pencatu daya utama sistem propulsi pendorong dan modul elektronik internal wahana</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 Daya Baterai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SKYRC IMAX B6AC V2 Cerdas Mikroprosesor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Dual Input AC/DC, Port JST-XH Balance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Pengisian daya dan penyeimbangan tegangan tiap sel baterai Li-Po secara presisi dan aman</w:t>
            </w:r>
          </w:p>
        </w:tc>
      </w:tr>
      <w:tr>
        <w:trPr>
          <w:cantSplit/>
        </w:trP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Komunikasi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Tether Ethernet Subsea CAT5e/CAT6</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Antarmuka RJ45 (Bandwidth 100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Transmisi data aliran video H.264 dan komunikasi dua arah telemetri kendali MAVLink</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80"/>
        <w:jc w:val="center"/>
      </w:pPr>
      <w:r>
        <w:drawing>
          <wp:inline xmlns:a="http://schemas.openxmlformats.org/drawingml/2006/main" xmlns:pic="http://schemas.openxmlformats.org/drawingml/2006/picture">
            <wp:extent cx="4608000" cy="2536989"/>
            <wp:docPr id="6" name="Picture 6"/>
            <wp:cNvGraphicFramePr>
              <a:graphicFrameLocks noChangeAspect="1"/>
            </wp:cNvGraphicFramePr>
            <a:graphic>
              <a:graphicData uri="http://schemas.openxmlformats.org/drawingml/2006/picture">
                <pic:pic>
                  <pic:nvPicPr>
                    <pic:cNvPr id="0" name="placeholder_frame_hull.png"/>
                    <pic:cNvPicPr/>
                  </pic:nvPicPr>
                  <pic:blipFill>
                    <a:blip r:embed="rId17"/>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spacing w:before="160" w:after="80"/>
        <w:jc w:val="center"/>
      </w:pPr>
      <w:r>
        <w:drawing>
          <wp:inline xmlns:a="http://schemas.openxmlformats.org/drawingml/2006/main" xmlns:pic="http://schemas.openxmlformats.org/drawingml/2006/picture">
            <wp:extent cx="4608000" cy="2536989"/>
            <wp:docPr id="7" name="Picture 7"/>
            <wp:cNvGraphicFramePr>
              <a:graphicFrameLocks noChangeAspect="1"/>
            </wp:cNvGraphicFramePr>
            <a:graphic>
              <a:graphicData uri="http://schemas.openxmlformats.org/drawingml/2006/picture">
                <pic:pic>
                  <pic:nvPicPr>
                    <pic:cNvPr id="0" name="placeholder_pixhawk.png"/>
                    <pic:cNvPicPr/>
                  </pic:nvPicPr>
                  <pic:blipFill>
                    <a:blip r:embed="rId18"/>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spacing w:before="160" w:after="80"/>
        <w:jc w:val="center"/>
      </w:pPr>
      <w:r>
        <w:drawing>
          <wp:inline xmlns:a="http://schemas.openxmlformats.org/drawingml/2006/main" xmlns:pic="http://schemas.openxmlformats.org/drawingml/2006/picture">
            <wp:extent cx="4608000" cy="2536989"/>
            <wp:docPr id="8" name="Picture 8"/>
            <wp:cNvGraphicFramePr>
              <a:graphicFrameLocks noChangeAspect="1"/>
            </wp:cNvGraphicFramePr>
            <a:graphic>
              <a:graphicData uri="http://schemas.openxmlformats.org/drawingml/2006/picture">
                <pic:pic>
                  <pic:nvPicPr>
                    <pic:cNvPr id="0" name="placeholder_rpi4.png"/>
                    <pic:cNvPicPr/>
                  </pic:nvPicPr>
                  <pic:blipFill>
                    <a:blip r:embed="rId19"/>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spacing w:before="160" w:after="80"/>
        <w:jc w:val="center"/>
      </w:pPr>
      <w:r>
        <w:drawing>
          <wp:inline xmlns:a="http://schemas.openxmlformats.org/drawingml/2006/main" xmlns:pic="http://schemas.openxmlformats.org/drawingml/2006/picture">
            <wp:extent cx="4608000" cy="2536989"/>
            <wp:docPr id="9" name="Picture 9"/>
            <wp:cNvGraphicFramePr>
              <a:graphicFrameLocks noChangeAspect="1"/>
            </wp:cNvGraphicFramePr>
            <a:graphic>
              <a:graphicData uri="http://schemas.openxmlformats.org/drawingml/2006/picture">
                <pic:pic>
                  <pic:nvPicPr>
                    <pic:cNvPr id="0" name="placeholder_esc.png"/>
                    <pic:cNvPicPr/>
                  </pic:nvPicPr>
                  <pic:blipFill>
                    <a:blip r:embed="rId20"/>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3.7 </w:t>
      </w:r>
      <w:r>
        <w:rPr>
          <w:rFonts w:ascii="Arial" w:hAnsi="Arial"/>
          <w:b w:val="0"/>
          <w:sz w:val="19"/>
        </w:rPr>
        <w:t>Modul pengendali kecepatan elektronik (ESC EMAX BLHeli 30A)</w:t>
      </w:r>
    </w:p>
    <w:p>
      <w:pPr>
        <w:spacing w:before="160" w:after="80"/>
        <w:jc w:val="center"/>
      </w:pPr>
      <w:r>
        <w:drawing>
          <wp:inline xmlns:a="http://schemas.openxmlformats.org/drawingml/2006/main" xmlns:pic="http://schemas.openxmlformats.org/drawingml/2006/picture">
            <wp:extent cx="4608000" cy="2536989"/>
            <wp:docPr id="10" name="Picture 10"/>
            <wp:cNvGraphicFramePr>
              <a:graphicFrameLocks noChangeAspect="1"/>
            </wp:cNvGraphicFramePr>
            <a:graphic>
              <a:graphicData uri="http://schemas.openxmlformats.org/drawingml/2006/picture">
                <pic:pic>
                  <pic:nvPicPr>
                    <pic:cNvPr id="0" name="placeholder_thruster.png"/>
                    <pic:cNvPicPr/>
                  </pic:nvPicPr>
                  <pic:blipFill>
                    <a:blip r:embed="rId21"/>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spacing w:before="160" w:after="80"/>
        <w:jc w:val="center"/>
      </w:pPr>
      <w:r>
        <w:drawing>
          <wp:inline xmlns:a="http://schemas.openxmlformats.org/drawingml/2006/main" xmlns:pic="http://schemas.openxmlformats.org/drawingml/2006/picture">
            <wp:extent cx="4608000" cy="2536989"/>
            <wp:docPr id="11" name="Picture 11"/>
            <wp:cNvGraphicFramePr>
              <a:graphicFrameLocks noChangeAspect="1"/>
            </wp:cNvGraphicFramePr>
            <a:graphic>
              <a:graphicData uri="http://schemas.openxmlformats.org/drawingml/2006/picture">
                <pic:pic>
                  <pic:nvPicPr>
                    <pic:cNvPr id="0" name="placeholder_baterai.png"/>
                    <pic:cNvPicPr/>
                  </pic:nvPicPr>
                  <pic:blipFill>
                    <a:blip r:embed="rId22"/>
                    <a:stretch>
                      <a:fillRect/>
                    </a:stretch>
                  </pic:blipFill>
                  <pic:spPr>
                    <a:xfrm>
                      <a:off x="0" y="0"/>
                      <a:ext cx="4608000" cy="2536989"/>
                    </a:xfrm>
                    <a:prstGeom prst="rect"/>
                  </pic:spPr>
                </pic:pic>
              </a:graphicData>
            </a:graphic>
          </wp:inline>
        </w:drawing>
      </w:r>
    </w:p>
    <w:p>
      <w:pPr>
        <w:spacing w:before="80" w:after="160" w:line="276" w:lineRule="auto"/>
        <w:jc w:val="center"/>
      </w:pPr>
      <w:r>
        <w:rPr>
          <w:rFonts w:ascii="Arial" w:hAnsi="Arial"/>
          <w:b/>
          <w:sz w:val="19"/>
        </w:rPr>
        <w:t xml:space="preserve">Gambar 3.9 </w:t>
      </w:r>
      <w:r>
        <w:rPr>
          <w:rFonts w:ascii="Arial" w:hAnsi="Arial"/>
          <w:b w:val="0"/>
          <w:sz w:val="19"/>
        </w:rPr>
        <w:t>Sumber daya baterai Li-Po 4S 14.8V 6000 mAh dan pengisi daya SKYRC IMAX B6AC V2</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val="0"/>
          <w:sz w:val="20"/>
        </w:rPr>
        <w:t xml:space="preserve">1.  </w:t>
      </w:r>
      <w:r>
        <w:rPr>
          <w:rFonts w:ascii="Arial" w:hAnsi="Arial"/>
          <w:b w:val="0"/>
          <w:i/>
          <w:sz w:val="20"/>
        </w:rPr>
        <w:t>Akuisisi Data IMU dan Tekanan</w:t>
      </w:r>
      <w:r>
        <w:rPr>
          <w:rFonts w:ascii="Arial" w:hAnsi="Arial"/>
          <w:b w:val="0"/>
          <w:sz w:val="20"/>
        </w:rPr>
        <w:t xml:space="preserve">: Modul Python </w:t>
      </w:r>
      <w:r>
        <w:rPr>
          <w:rFonts w:ascii="Consolas" w:hAnsi="Consolas"/>
          <w:b w:val="0"/>
          <w:sz w:val="19"/>
        </w:rPr>
        <w:t>SubseaTelemetryBridge</w:t>
      </w:r>
      <w:r>
        <w:rPr>
          <w:rFonts w:ascii="Arial" w:hAnsi="Arial"/>
          <w:b w:val="0"/>
          <w:sz w:val="20"/>
        </w:rPr>
        <w:t xml:space="preserve"> pada berkas [</w:t>
      </w:r>
      <w:r>
        <w:rPr>
          <w:rFonts w:ascii="Consolas" w:hAnsi="Consolas"/>
          <w:b w:val="0"/>
          <w:sz w:val="19"/>
        </w:rPr>
        <w:t>auv_dynamics_hil_node.py</w:t>
      </w:r>
      <w:r>
        <w:rPr>
          <w:rFonts w:ascii="Arial" w:hAnsi="Arial"/>
          <w:b w:val="0"/>
          <w:sz w:val="20"/>
        </w:rPr>
        <w:t>](file:///home/radhi/Documents/AUV_GitHub_Upload/auv_dynamics_hil_node.py) melakukan polling</w:t>
      </w:r>
      <w:r>
        <w:rPr>
          <w:rFonts w:ascii="Arial" w:hAnsi="Arial"/>
          <w:b w:val="0"/>
          <w:i/>
          <w:sz w:val="20"/>
        </w:rPr>
        <w:t>data JSON pada endpoint `http://192.168.2.2:6040/mavlink/vehicles/1/components/1/messages` dengan batas waktu (</w:t>
      </w:r>
      <w:r>
        <w:rPr>
          <w:rFonts w:ascii="Arial" w:hAnsi="Arial"/>
          <w:b w:val="0"/>
          <w:sz w:val="20"/>
        </w:rPr>
        <w:t xml:space="preserve">timeout) </w:t>
      </w:r>
      <w:r>
        <w:rPr>
          <w:rFonts w:ascii="Arial" w:hAnsi="Arial"/>
          <w:b w:val="0"/>
          <w:sz w:val="20"/>
        </w:rPr>
        <w:t>$$0.25\text{ detik}$$</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Pengekstrakkan Pesan MAVLink</w:t>
      </w:r>
      <w:r>
        <w:rPr>
          <w:rFonts w:ascii="Arial" w:hAnsi="Arial"/>
          <w:b w:val="0"/>
          <w:sz w:val="20"/>
        </w:rPr>
        <w:t xml:space="preserve">: Pesan </w:t>
      </w:r>
      <w:r>
        <w:rPr>
          <w:rFonts w:ascii="Consolas" w:hAnsi="Consolas"/>
          <w:b w:val="0"/>
          <w:sz w:val="19"/>
        </w:rPr>
        <w:t>SCALED_IMU2</w:t>
      </w:r>
      <w:r>
        <w:rPr>
          <w:rFonts w:ascii="Arial" w:hAnsi="Arial"/>
          <w:b w:val="0"/>
          <w:sz w:val="20"/>
        </w:rPr>
        <w:t xml:space="preserve"> atau </w:t>
      </w:r>
      <w:r>
        <w:rPr>
          <w:rFonts w:ascii="Consolas" w:hAnsi="Consolas"/>
          <w:b w:val="0"/>
          <w:sz w:val="19"/>
        </w:rPr>
        <w:t>RAW_IMU</w:t>
      </w:r>
      <w:r>
        <w:rPr>
          <w:rFonts w:ascii="Arial" w:hAnsi="Arial"/>
          <w:b w:val="0"/>
          <w:sz w:val="20"/>
        </w:rPr>
        <w:t xml:space="preserve"> diekstraksi untuk memperoleh percepatan linier tiga sumbu (</w:t>
      </w:r>
      <w:r>
        <w:rPr>
          <w:rFonts w:ascii="Arial" w:hAnsi="Arial"/>
          <w:b w:val="0"/>
          <w:sz w:val="20"/>
        </w:rPr>
        <w:t>$$a_x, a_y, a_z$$</w:t>
      </w:r>
      <w:r>
        <w:rPr>
          <w:rFonts w:ascii="Arial" w:hAnsi="Arial"/>
          <w:b w:val="0"/>
          <w:sz w:val="20"/>
        </w:rPr>
        <w:t>) dan kecepatan sudut (</w:t>
      </w:r>
      <w:r>
        <w:rPr>
          <w:rFonts w:ascii="Arial" w:hAnsi="Arial"/>
          <w:b w:val="0"/>
          <w:sz w:val="20"/>
        </w:rPr>
        <w:t>$$p, q, r$$</w:t>
      </w:r>
      <w:r>
        <w:rPr>
          <w:rFonts w:ascii="Arial" w:hAnsi="Arial"/>
          <w:b w:val="0"/>
          <w:sz w:val="20"/>
        </w:rPr>
        <w:t xml:space="preserve">). Pesan </w:t>
      </w:r>
      <w:r>
        <w:rPr>
          <w:rFonts w:ascii="Consolas" w:hAnsi="Consolas"/>
          <w:b w:val="0"/>
          <w:sz w:val="19"/>
        </w:rPr>
        <w:t>ATTITUDE</w:t>
      </w:r>
      <w:r>
        <w:rPr>
          <w:rFonts w:ascii="Arial" w:hAnsi="Arial"/>
          <w:b w:val="0"/>
          <w:sz w:val="20"/>
        </w:rPr>
        <w:t xml:space="preserve"> diekstraksi untuk memperoleh orientasi Euler (</w:t>
      </w:r>
      <w:r>
        <w:rPr>
          <w:rFonts w:ascii="Arial" w:hAnsi="Arial"/>
          <w:b w:val="0"/>
          <w:sz w:val="20"/>
        </w:rPr>
        <w:t>$$\phi, \theta, \psi$$</w:t>
      </w:r>
      <w:r>
        <w:rPr>
          <w:rFonts w:ascii="Arial" w:hAnsi="Arial"/>
          <w:b w:val="0"/>
          <w:sz w:val="20"/>
        </w:rPr>
        <w:t xml:space="preserve">). Pesan </w:t>
      </w:r>
      <w:r>
        <w:rPr>
          <w:rFonts w:ascii="Consolas" w:hAnsi="Consolas"/>
          <w:b w:val="0"/>
          <w:sz w:val="19"/>
        </w:rPr>
        <w:t>SCALED_PRESSURE2</w:t>
      </w:r>
      <w:r>
        <w:rPr>
          <w:rFonts w:ascii="Arial" w:hAnsi="Arial"/>
          <w:b w:val="0"/>
          <w:sz w:val="20"/>
        </w:rPr>
        <w:t xml:space="preserve"> diekstraksi untuk memperoleh tekanan absolut subsea (</w:t>
      </w:r>
      <w:r>
        <w:rPr>
          <w:rFonts w:ascii="Arial" w:hAnsi="Arial"/>
          <w:b w:val="0"/>
          <w:sz w:val="20"/>
        </w:rPr>
        <w:t>$$P_{\text{fluid}}$$</w:t>
      </w:r>
      <w:r>
        <w:rPr>
          <w:rFonts w:ascii="Arial" w:hAnsi="Arial"/>
          <w:b w:val="0"/>
          <w:sz w:val="20"/>
        </w:rPr>
        <w:t xml:space="preserve">). Pesan </w:t>
      </w:r>
      <w:r>
        <w:rPr>
          <w:rFonts w:ascii="Consolas" w:hAnsi="Consolas"/>
          <w:b w:val="0"/>
          <w:sz w:val="19"/>
        </w:rPr>
        <w:t>SERVO_OUTPUT_RAW</w:t>
      </w:r>
      <w:r>
        <w:rPr>
          <w:rFonts w:ascii="Arial" w:hAnsi="Arial"/>
          <w:b w:val="0"/>
          <w:sz w:val="20"/>
        </w:rPr>
        <w:t xml:space="preserve"> diekstraksi untuk merekam sinyal PWM dari delapan pendorong secara simultan.</w:t>
      </w:r>
    </w:p>
    <w:p>
      <w:pPr>
        <w:spacing w:after="60" w:line="276" w:lineRule="auto"/>
        <w:ind w:left="567" w:hanging="340"/>
      </w:pPr>
      <w:r>
        <w:rPr>
          <w:rFonts w:ascii="Arial" w:hAnsi="Arial"/>
          <w:b w:val="0"/>
          <w:sz w:val="20"/>
        </w:rPr>
        <w:t xml:space="preserve">3.  </w:t>
      </w:r>
      <w:r>
        <w:rPr>
          <w:rFonts w:ascii="Arial" w:hAnsi="Arial"/>
          <w:b w:val="0"/>
          <w:i/>
          <w:sz w:val="20"/>
        </w:rPr>
        <w:t>Kalibrasi Tekanan Atmosfer Otomatis</w:t>
      </w:r>
      <w:r>
        <w:rPr>
          <w:rFonts w:ascii="Arial" w:hAnsi="Arial"/>
          <w:b w:val="0"/>
          <w:sz w:val="20"/>
        </w:rPr>
        <w:t>: Saat node diinisialisasi di permukaan air, sistem secara otomatis mengambil sampel baseline tekanan atmosfer sebanyak 10 sampel untuk mengkalibrasi tekanan udara lokal (</w:t>
      </w:r>
      <w:r>
        <w:rPr>
          <w:rFonts w:ascii="Arial" w:hAnsi="Arial"/>
          <w:b w:val="0"/>
          <w:sz w:val="20"/>
        </w:rPr>
        <w:t>$$P_{\text{atm}}$$</w:t>
      </w:r>
      <w:r>
        <w:rPr>
          <w:rFonts w:ascii="Arial" w:hAnsi="Arial"/>
          <w:b w:val="0"/>
          <w:sz w:val="20"/>
        </w:rPr>
        <w:t>). Kedalaman subsea dihitung secara langsung menggunakan persamaan hidrostatik:</w:t>
      </w:r>
    </w:p>
    <w:p>
      <w:pPr>
        <w:spacing w:before="120" w:after="12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val="0"/>
          <w:sz w:val="20"/>
        </w:rPr>
        <w:t xml:space="preserve">1.  </w:t>
      </w:r>
      <w:r>
        <w:rPr>
          <w:rFonts w:ascii="Arial" w:hAnsi="Arial"/>
          <w:b w:val="0"/>
          <w:i/>
          <w:sz w:val="20"/>
        </w:rPr>
        <w:t>Prapemrosesan Peningkatan Kontras Adaptif (CLAHE)</w:t>
      </w:r>
      <w:r>
        <w:rPr>
          <w:rFonts w:ascii="Arial" w:hAnsi="Arial"/>
          <w:b w:val="0"/>
          <w:sz w:val="20"/>
        </w:rPr>
        <w:t>: Citra RGB yang diterima didegradasi oleh partikel air dikonversi ke ruang warna CIE LAB. Saluran kecerahan (Luminance channel</w:t>
      </w:r>
      <w:r>
        <w:rPr>
          <w:rFonts w:ascii="Arial" w:hAnsi="Arial"/>
          <w:b w:val="0"/>
          <w:i/>
          <w:sz w:val="20"/>
        </w:rPr>
        <w:t>$$L$$) ditingkatkan menggunakan operator CLAHE (</w:t>
      </w:r>
      <w:r>
        <w:rPr>
          <w:rFonts w:ascii="Arial" w:hAnsi="Arial"/>
          <w:b w:val="0"/>
          <w:sz w:val="20"/>
        </w:rPr>
        <w:t>Contrast Limited Adaptive Histogram Equalization</w:t>
      </w:r>
      <w:r>
        <w:rPr>
          <w:rFonts w:ascii="Arial" w:hAnsi="Arial"/>
          <w:b w:val="0"/>
          <w:i/>
          <w:sz w:val="20"/>
        </w:rPr>
        <w:t>) dengan parameter ambang klip (</w:t>
      </w:r>
      <w:r>
        <w:rPr>
          <w:rFonts w:ascii="Arial" w:hAnsi="Arial"/>
          <w:b w:val="0"/>
          <w:sz w:val="20"/>
        </w:rPr>
        <w:t>clip limit</w:t>
      </w:r>
      <w:r>
        <w:rPr>
          <w:rFonts w:ascii="Arial" w:hAnsi="Arial"/>
          <w:b w:val="0"/>
          <w:i/>
          <w:sz w:val="20"/>
        </w:rPr>
        <w:t>) $$2.5$$ dan ukuran kisi ubin (</w:t>
      </w:r>
      <w:r>
        <w:rPr>
          <w:rFonts w:ascii="Arial" w:hAnsi="Arial"/>
          <w:b w:val="0"/>
          <w:sz w:val="20"/>
        </w:rPr>
        <w:t xml:space="preserve">tile grid size) </w:t>
      </w:r>
      <w:r>
        <w:rPr>
          <w:rFonts w:ascii="Arial" w:hAnsi="Arial"/>
          <w:b w:val="0"/>
          <w:sz w:val="20"/>
        </w:rPr>
        <w:t>$$8 \times 8$$</w:t>
      </w:r>
      <w:r>
        <w:rPr>
          <w:rFonts w:ascii="Arial" w:hAnsi="Arial"/>
          <w:b w:val="0"/>
          <w:sz w:val="20"/>
        </w:rPr>
        <w:t>:</w:t>
      </w:r>
    </w:p>
    <w:p>
      <w:pPr>
        <w:spacing w:before="120" w:after="12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(edge sharpness) target bawah air dan menetralkan kabut warna hijau/biru tanpa memperkuat derau latar belakang [2].</w:t>
      </w:r>
    </w:p>
    <w:p>
      <w:pPr>
        <w:spacing w:after="60" w:line="276" w:lineRule="auto"/>
        <w:ind w:left="567" w:hanging="340"/>
      </w:pPr>
      <w:r>
        <w:rPr>
          <w:rFonts w:ascii="Arial" w:hAnsi="Arial"/>
          <w:b w:val="0"/>
          <w:sz w:val="20"/>
        </w:rPr>
        <w:t xml:space="preserve">2.  </w:t>
      </w:r>
      <w:r>
        <w:rPr>
          <w:rFonts w:ascii="Arial" w:hAnsi="Arial"/>
          <w:b w:val="0"/>
          <w:i/>
          <w:sz w:val="20"/>
        </w:rPr>
        <w:t>Inferensi Deteksi Objek YOLO26 World</w:t>
      </w:r>
      <w:r>
        <w:rPr>
          <w:rFonts w:ascii="Arial" w:hAnsi="Arial"/>
          <w:b w:val="0"/>
          <w:sz w:val="20"/>
        </w:rPr>
        <w:t>: Citra yang telah ditingkatkan diumpankan ke arsitektur jaringan syaraf tiruan YOLO26 World</w:t>
      </w:r>
      <w:r>
        <w:rPr>
          <w:rFonts w:ascii="Arial" w:hAnsi="Arial"/>
          <w:b w:val="0"/>
          <w:i/>
          <w:sz w:val="20"/>
        </w:rPr>
        <w:t>(atau model kustom</w:t>
      </w:r>
      <w:r>
        <w:rPr>
          <w:rFonts w:ascii="Arial" w:hAnsi="Arial"/>
          <w:b w:val="0"/>
          <w:sz w:val="20"/>
        </w:rPr>
        <w:t xml:space="preserve">fine-tuned 11 kelas bawah air) pada resolusi spasial </w:t>
      </w:r>
      <w:r>
        <w:rPr>
          <w:rFonts w:ascii="Arial" w:hAnsi="Arial"/>
          <w:b w:val="0"/>
          <w:sz w:val="20"/>
        </w:rPr>
        <w:t>$$1024 \times 1024$$</w:t>
      </w:r>
      <w:r>
        <w:rPr>
          <w:rFonts w:ascii="Arial" w:hAnsi="Arial"/>
          <w:b w:val="0"/>
          <w:sz w:val="20"/>
        </w:rPr>
        <w:t xml:space="preserve"> piksel. Model dieksekusi dengan akselerasi perangkat keras GPU NVIDIA RTX 4070 Laptop (CUDA) menggunakan presisi floating point 16-bit (FP16). Keluaran deteksi berupa koordinat kotak pembatas (</w:t>
      </w:r>
      <w:r>
        <w:rPr>
          <w:rFonts w:ascii="Arial" w:hAnsi="Arial"/>
          <w:b w:val="0"/>
          <w:i/>
          <w:sz w:val="20"/>
        </w:rPr>
        <w:t>bounding box</w:t>
      </w:r>
      <w:r>
        <w:rPr>
          <w:rFonts w:ascii="Arial" w:hAnsi="Arial"/>
          <w:b w:val="0"/>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i/>
          <w:sz w:val="20"/>
        </w:rPr>
        <w:t>Mekanisme Penjembatan Oklusi (</w:t>
      </w:r>
      <w:r>
        <w:rPr>
          <w:rFonts w:ascii="Arial" w:hAnsi="Arial"/>
          <w:b w:val="0"/>
          <w:sz w:val="20"/>
        </w:rPr>
        <w:t>Occlusion Bridging):</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Stabilitas Pitch Aktif (Active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(swaying).</w:t>
      </w:r>
    </w:p>
    <w:p>
      <w:pPr>
        <w:spacing w:after="60" w:line="276" w:lineRule="auto"/>
        <w:ind w:left="567" w:hanging="340"/>
      </w:pPr>
      <w:r>
        <w:rPr>
          <w:rFonts w:ascii="Arial" w:hAnsi="Arial"/>
          <w:b w:val="0"/>
          <w:sz w:val="20"/>
        </w:rPr>
        <w:t xml:space="preserve">2.  </w:t>
      </w:r>
      <w:r>
        <w:rPr>
          <w:rFonts w:ascii="Arial" w:hAnsi="Arial"/>
          <w:b w:val="0"/>
          <w:i/>
          <w:sz w:val="20"/>
        </w:rPr>
        <w:t>Injeksi Gangguan Arus Laut (</w:t>
      </w:r>
      <w:r>
        <w:rPr>
          <w:rFonts w:ascii="Arial" w:hAnsi="Arial"/>
          <w:b w:val="0"/>
          <w:sz w:val="20"/>
        </w:rPr>
        <w:t>Ocean Current Disturbance): Pada detik ke-</w:t>
      </w:r>
      <w:r>
        <w:rPr>
          <w:rFonts w:ascii="Arial" w:hAnsi="Arial"/>
          <w:b w:val="0"/>
          <w:sz w:val="20"/>
        </w:rPr>
        <w:t>$$15$$</w:t>
      </w:r>
      <w:r>
        <w:rPr>
          <w:rFonts w:ascii="Arial" w:hAnsi="Arial"/>
          <w:b w:val="0"/>
          <w:sz w:val="20"/>
        </w:rPr>
        <w:t>, fluida virtual Gazebo diinjeksikan vektor arus laut konstan:</w:t>
      </w:r>
    </w:p>
    <w:p>
      <w:pPr>
        <w:spacing w:before="120" w:after="12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 dan</w:t>
      </w:r>
      <w:r>
        <w:rPr>
          <w:rFonts w:ascii="Arial" w:hAnsi="Arial"/>
          <w:sz w:val="20"/>
        </w:rPr>
        <w:t>companion computer</w:t>
      </w:r>
      <w:r>
        <w:rPr>
          <w:rFonts w:ascii="Arial" w:hAnsi="Arial"/>
          <w:i/>
          <w:sz w:val="20"/>
        </w:rPr>
        <w:t>ARM</w:t>
      </w:r>
      <w:r>
        <w:rPr>
          <w:rFonts w:ascii="Arial" w:hAnsi="Arial"/>
          <w:sz w:val="20"/>
        </w:rPr>
        <w:t>) agar memenuhi standar operasi deterministik tanpa keterlambatan (</w:t>
      </w:r>
      <w:r>
        <w:rPr>
          <w:rFonts w:ascii="Arial" w:hAnsi="Arial"/>
          <w:i/>
          <w:sz w:val="20"/>
        </w:rPr>
        <w:t>zero-lag</w:t>
      </w:r>
      <w:r>
        <w:rPr>
          <w:rFonts w:ascii="Arial" w:hAnsi="Arial"/>
          <w:sz w:val="20"/>
        </w:rPr>
        <w:t xml:space="preserve">real-time constraint)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hardware timer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 deviasi standar (</w:t>
      </w:r>
      <w:r>
        <w:rPr>
          <w:rFonts w:ascii="Arial" w:hAnsi="Arial"/>
          <w:b w:val="0"/>
          <w:sz w:val="20"/>
        </w:rPr>
        <w:t>jitter</w:t>
      </w:r>
      <w:r>
        <w:rPr>
          <w:rFonts w:ascii="Arial" w:hAnsi="Arial"/>
          <w:b w:val="0"/>
          <w:i/>
          <w:sz w:val="20"/>
        </w:rPr>
        <w:t>), dan waktu eksekusi terburuk (</w:t>
      </w:r>
      <w:r>
        <w:rPr>
          <w:rFonts w:ascii="Arial" w:hAnsi="Arial"/>
          <w:b w:val="0"/>
          <w:sz w:val="20"/>
        </w:rPr>
        <w:t>worst-case execution time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jc w:val="center"/>
      </w:pPr>
      <w:r>
        <w:rPr>
          <w:rFonts w:ascii="Arial" w:hAnsi="Arial"/>
          <w:sz w:val="20"/>
        </w:rPr>
        <w:t>$$\text{RMSE} = \sqrt{\frac{1}{N} \sum_{k=1}^N \left( x_k^{\text{true}} - \hat{x}_k  \right)^2}$$</w:t>
      </w:r>
    </w:p>
    <w:p>
      <w:pPr>
        <w:spacing w:before="120" w:after="40"/>
      </w:pPr>
      <w:r>
        <w:rPr>
          <w:rFonts w:ascii="Arial" w:hAnsi="Arial"/>
          <w:b/>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jc w:val="center"/>
      </w:pPr>
      <w:r>
        <w:rPr>
          <w:rFonts w:ascii="Arial" w:hAnsi="Arial"/>
          <w:sz w:val="20"/>
        </w:rPr>
        <w:t>$$\text{MAE} = \frac{1}{N} \sum_{k=1}^N \left| x_k^{\text{true}} - \hat{x}_k  \right|$$</w:t>
      </w:r>
    </w:p>
    <w:p>
      <w:pPr>
        <w:spacing w:before="120" w:after="40"/>
      </w:pPr>
      <w:r>
        <w:rPr>
          <w:rFonts w:ascii="Arial" w:hAnsi="Arial"/>
          <w:b/>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jc w:val="center"/>
      </w:pPr>
      <w:r>
        <w:rPr>
          <w:rFonts w:ascii="Arial" w:hAnsi="Arial"/>
          <w:sz w:val="20"/>
        </w:rPr>
        <w:t>$$\text{TSR} = \left( \frac{N_{\text{success}}}{N_{\text{total}}}  \right) \times 100\%$$</w:t>
      </w:r>
    </w:p>
    <w:p>
      <w:pPr>
        <w:spacing w:before="120" w:after="40"/>
      </w:pPr>
      <w:r>
        <w:rPr>
          <w:rFonts w:ascii="Arial" w:hAnsi="Arial"/>
          <w:b/>
          <w:sz w:val="20"/>
        </w:rPr>
        <w:t xml:space="preserve">4. Waktu Pemulihan Oklusi (Occlusion Recovery Time / </w:t>
      </w:r>
      <w:r>
        <w:rPr>
          <w:rFonts w:ascii="Arial" w:hAnsi="Arial"/>
          <w:b/>
          <w:sz w:val="20"/>
        </w:rPr>
        <w:t>$$t_{\text{rec}}$$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p>
      <w:r>
        <w:br w:type="page"/>
      </w:r>
    </w:p>
    <w:p>
      <w:pPr>
        <w:spacing w:before="240" w:after="240"/>
        <w:jc w:val="center"/>
      </w:pPr>
      <w:r>
        <w:rPr>
          <w:rFonts w:ascii="Arial" w:hAnsi="Arial"/>
          <w:b/>
          <w:sz w:val="22"/>
        </w:rPr>
        <w:t>DAFTAR PUSTAKA</w:t>
      </w:r>
    </w:p>
    <w:p>
      <w:pPr>
        <w:spacing w:after="60" w:line="276" w:lineRule="auto"/>
        <w:ind w:left="567" w:hanging="454"/>
      </w:pPr>
      <w:r>
        <w:rPr>
          <w:rFonts w:ascii="Arial" w:hAnsi="Arial"/>
          <w:b w:val="0"/>
          <w:i/>
          <w:sz w:val="20"/>
        </w:rPr>
        <w:t>[1]</w:t>
      </w:r>
      <w:r>
        <w:rPr>
          <w:rFonts w:ascii="Arial" w:hAnsi="Arial"/>
          <w:b w:val="0"/>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line="276" w:lineRule="auto"/>
        <w:ind w:left="567" w:hanging="454"/>
      </w:pPr>
      <w:r>
        <w:rPr>
          <w:rFonts w:ascii="Arial" w:hAnsi="Arial"/>
          <w:b w:val="0"/>
          <w:i/>
          <w:sz w:val="20"/>
        </w:rPr>
        <w:t>[2]</w:t>
      </w:r>
      <w:r>
        <w:rPr>
          <w:rFonts w:ascii="Arial" w:hAnsi="Arial"/>
          <w:b w:val="0"/>
          <w:sz w:val="20"/>
        </w:rPr>
        <w:t xml:space="preserve"> Alinei-Poiană, T., Rețe, D., Martinovici, D., Maer, V. M., &amp; Bușoniu, L. (2024). A BlueROV2-Based Platform for Underwater Mapping Experiments. IFAC-PapersOnLine, 58(20), 470–475. https://doi.org/10.1016/j.ifacol.2024.10.098</w:t>
      </w:r>
    </w:p>
    <w:p>
      <w:pPr>
        <w:spacing w:after="60" w:line="276" w:lineRule="auto"/>
        <w:ind w:left="567" w:hanging="454"/>
      </w:pPr>
      <w:r>
        <w:rPr>
          <w:rFonts w:ascii="Arial" w:hAnsi="Arial"/>
          <w:b w:val="0"/>
          <w:i/>
          <w:sz w:val="20"/>
        </w:rPr>
        <w:t>[3]</w:t>
      </w:r>
      <w:r>
        <w:rPr>
          <w:rFonts w:ascii="Arial" w:hAnsi="Arial"/>
          <w:b w:val="0"/>
          <w:sz w:val="20"/>
        </w:rPr>
        <w:t xml:space="preserve"> Blue Robotics (2024). BlueROV2 Heavy Configuration Retrofit Operating Guide and Technical Specifications. Blue Robotics Inc., Torrance, CA, USA.</w:t>
      </w:r>
    </w:p>
    <w:p>
      <w:pPr>
        <w:spacing w:after="60" w:line="276" w:lineRule="auto"/>
        <w:ind w:left="567" w:hanging="454"/>
      </w:pPr>
      <w:r>
        <w:rPr>
          <w:rFonts w:ascii="Arial" w:hAnsi="Arial"/>
          <w:b w:val="0"/>
          <w:i/>
          <w:sz w:val="20"/>
        </w:rPr>
        <w:t>[4]</w:t>
      </w:r>
      <w:r>
        <w:rPr>
          <w:rFonts w:ascii="Arial" w:hAnsi="Arial"/>
          <w:b w:val="0"/>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line="276" w:lineRule="auto"/>
        <w:ind w:left="567" w:hanging="454"/>
      </w:pPr>
      <w:r>
        <w:rPr>
          <w:rFonts w:ascii="Arial" w:hAnsi="Arial"/>
          <w:b w:val="0"/>
          <w:i/>
          <w:sz w:val="20"/>
        </w:rPr>
        <w:t>[5]</w:t>
      </w:r>
      <w:r>
        <w:rPr>
          <w:rFonts w:ascii="Arial" w:hAnsi="Arial"/>
          <w:b w:val="0"/>
          <w:sz w:val="20"/>
        </w:rPr>
        <w:t xml:space="preserve"> Det Norske Veritas (DNV) (2021). Environmental Conditions and Environmental Loads / Modelling and Analysis of Marine Operations. Recommended Practice DNVGL-RP-N103, Oslo, Norway.</w:t>
      </w:r>
    </w:p>
    <w:p>
      <w:pPr>
        <w:spacing w:after="60" w:line="276" w:lineRule="auto"/>
        <w:ind w:left="567" w:hanging="454"/>
      </w:pPr>
      <w:r>
        <w:rPr>
          <w:rFonts w:ascii="Arial" w:hAnsi="Arial"/>
          <w:b w:val="0"/>
          <w:i/>
          <w:sz w:val="20"/>
        </w:rPr>
        <w:t>[6]</w:t>
      </w:r>
      <w:r>
        <w:rPr>
          <w:rFonts w:ascii="Arial" w:hAnsi="Arial"/>
          <w:b w:val="0"/>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line="276" w:lineRule="auto"/>
        <w:ind w:left="567" w:hanging="454"/>
      </w:pPr>
      <w:r>
        <w:rPr>
          <w:rFonts w:ascii="Arial" w:hAnsi="Arial"/>
          <w:b w:val="0"/>
          <w:i/>
          <w:sz w:val="20"/>
        </w:rPr>
        <w:t>[7]</w:t>
      </w:r>
      <w:r>
        <w:rPr>
          <w:rFonts w:ascii="Arial" w:hAnsi="Arial"/>
          <w:b w:val="0"/>
          <w:sz w:val="20"/>
        </w:rPr>
        <w:t xml:space="preserve"> Fossen, T. I. (2021). Handbook of Marine Craft Hydrodynamics and Motion Control. John Wiley &amp; Sons, 2nd Edition, Hoboken, NJ, USA.</w:t>
      </w:r>
    </w:p>
    <w:p>
      <w:pPr>
        <w:spacing w:after="60" w:line="276" w:lineRule="auto"/>
        <w:ind w:left="567" w:hanging="454"/>
      </w:pPr>
      <w:r>
        <w:rPr>
          <w:rFonts w:ascii="Arial" w:hAnsi="Arial"/>
          <w:b w:val="0"/>
          <w:i/>
          <w:sz w:val="20"/>
        </w:rPr>
        <w:t>[8]</w:t>
      </w:r>
      <w:r>
        <w:rPr>
          <w:rFonts w:ascii="Arial" w:hAnsi="Arial"/>
          <w:b w:val="0"/>
          <w:sz w:val="20"/>
        </w:rPr>
        <w:t xml:space="preserve"> Franchi, M., Ridolfi, A., &amp; Allotta, B. (2022). Tethered Multi-Robot Systems in Marine Environments: A Review. Current Robotics Reports, 3(4), 229–239. https://doi.org/10.1007/s43154-022-00091-x</w:t>
      </w:r>
    </w:p>
    <w:p>
      <w:pPr>
        <w:spacing w:after="60" w:line="276" w:lineRule="auto"/>
        <w:ind w:left="567" w:hanging="454"/>
      </w:pPr>
      <w:r>
        <w:rPr>
          <w:rFonts w:ascii="Arial" w:hAnsi="Arial"/>
          <w:b w:val="0"/>
          <w:i/>
          <w:sz w:val="20"/>
        </w:rPr>
        <w:t>[9]</w:t>
      </w:r>
      <w:r>
        <w:rPr>
          <w:rFonts w:ascii="Arial" w:hAnsi="Arial"/>
          <w:b w:val="0"/>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line="276" w:lineRule="auto"/>
        <w:ind w:left="567" w:hanging="454"/>
      </w:pPr>
      <w:r>
        <w:rPr>
          <w:rFonts w:ascii="Arial" w:hAnsi="Arial"/>
          <w:b w:val="0"/>
          <w:i/>
          <w:sz w:val="20"/>
        </w:rPr>
        <w:t>[10]</w:t>
      </w:r>
      <w:r>
        <w:rPr>
          <w:rFonts w:ascii="Arial" w:hAnsi="Arial"/>
          <w:b w:val="0"/>
          <w:sz w:val="20"/>
        </w:rPr>
        <w:t xml:space="preserve"> Ge, Z., Yang, F., Lu, W., Wei, P., Ying, Y., &amp; Peng, C. (2025). A Navigation System for ROV's Inspection on Fish Net Cage. IFAC-PapersOnLine, arXiv:2503.00482.</w:t>
      </w:r>
    </w:p>
    <w:p>
      <w:pPr>
        <w:spacing w:after="60" w:line="276" w:lineRule="auto"/>
        <w:ind w:left="567" w:hanging="454"/>
      </w:pPr>
      <w:r>
        <w:rPr>
          <w:rFonts w:ascii="Arial" w:hAnsi="Arial"/>
          <w:b w:val="0"/>
          <w:i/>
          <w:sz w:val="20"/>
        </w:rPr>
        <w:t>[11]</w:t>
      </w:r>
      <w:r>
        <w:rPr>
          <w:rFonts w:ascii="Arial" w:hAnsi="Arial"/>
          <w:b w:val="0"/>
          <w:sz w:val="20"/>
        </w:rPr>
        <w:t xml:space="preserve"> Gieraths, M., Kuchelmeister, F., &amp; Albiez, J. (2023). Modular Hardware Architecture for the Development of Underwater Vehicles Based on Systems Engineering. Sensors, 23(17), 7481. https://doi.org/10.3390/s23177481</w:t>
      </w:r>
    </w:p>
    <w:p>
      <w:pPr>
        <w:spacing w:after="60" w:line="276" w:lineRule="auto"/>
        <w:ind w:left="567" w:hanging="454"/>
      </w:pPr>
      <w:r>
        <w:rPr>
          <w:rFonts w:ascii="Arial" w:hAnsi="Arial"/>
          <w:b w:val="0"/>
          <w:i/>
          <w:sz w:val="20"/>
        </w:rPr>
        <w:t>[12]</w:t>
      </w:r>
      <w:r>
        <w:rPr>
          <w:rFonts w:ascii="Arial" w:hAnsi="Arial"/>
          <w:b w:val="0"/>
          <w:sz w:val="20"/>
        </w:rPr>
        <w:t xml:space="preserve"> Hong, L., Wang, X., &amp; Zhang, D. (2024). CFD-Based Hydrodynamic Performance Investigation of Autonomous Underwater Vehicles: A Survey. Ocean Engineering, 305, 117911. https://doi.org/10.1016/j.oceaneng.2024.117911</w:t>
      </w:r>
    </w:p>
    <w:p>
      <w:pPr>
        <w:spacing w:after="60" w:line="276" w:lineRule="auto"/>
        <w:ind w:left="567" w:hanging="454"/>
      </w:pPr>
      <w:r>
        <w:rPr>
          <w:rFonts w:ascii="Arial" w:hAnsi="Arial"/>
          <w:b w:val="0"/>
          <w:i/>
          <w:sz w:val="20"/>
        </w:rPr>
        <w:t>[13]</w:t>
      </w:r>
      <w:r>
        <w:rPr>
          <w:rFonts w:ascii="Arial" w:hAnsi="Arial"/>
          <w:b w:val="0"/>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line="276" w:lineRule="auto"/>
        <w:ind w:left="567" w:hanging="454"/>
      </w:pPr>
      <w:r>
        <w:rPr>
          <w:rFonts w:ascii="Arial" w:hAnsi="Arial"/>
          <w:b w:val="0"/>
          <w:i/>
          <w:sz w:val="20"/>
        </w:rPr>
        <w:t>[14]</w:t>
      </w:r>
      <w:r>
        <w:rPr>
          <w:rFonts w:ascii="Arial" w:hAnsi="Arial"/>
          <w:b w:val="0"/>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line="276" w:lineRule="auto"/>
        <w:ind w:left="567" w:hanging="454"/>
      </w:pPr>
      <w:r>
        <w:rPr>
          <w:rFonts w:ascii="Arial" w:hAnsi="Arial"/>
          <w:b w:val="0"/>
          <w:i/>
          <w:sz w:val="20"/>
        </w:rPr>
        <w:t>[15]</w:t>
      </w:r>
      <w:r>
        <w:rPr>
          <w:rFonts w:ascii="Arial" w:hAnsi="Arial"/>
          <w:b w:val="0"/>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line="276" w:lineRule="auto"/>
        <w:ind w:left="567" w:hanging="454"/>
      </w:pPr>
      <w:r>
        <w:rPr>
          <w:rFonts w:ascii="Arial" w:hAnsi="Arial"/>
          <w:b w:val="0"/>
          <w:i/>
          <w:sz w:val="20"/>
        </w:rPr>
        <w:t>[16]</w:t>
      </w:r>
      <w:r>
        <w:rPr>
          <w:rFonts w:ascii="Arial" w:hAnsi="Arial"/>
          <w:b w:val="0"/>
          <w:sz w:val="20"/>
        </w:rPr>
        <w:t xml:space="preserve"> Khalid, A., Sarwat, A., &amp; Riggs, H. (Eds.). (2024). Applications and Optimizations of Kalman Filter and Their Variants. IntechOpen, London, UK. https://doi.org/10.5772/intechopen.109154</w:t>
      </w:r>
    </w:p>
    <w:p>
      <w:pPr>
        <w:spacing w:after="60" w:line="276" w:lineRule="auto"/>
        <w:ind w:left="567" w:hanging="454"/>
      </w:pPr>
      <w:r>
        <w:rPr>
          <w:rFonts w:ascii="Arial" w:hAnsi="Arial"/>
          <w:b w:val="0"/>
          <w:i/>
          <w:sz w:val="20"/>
        </w:rPr>
        <w:t>[17]</w:t>
      </w:r>
      <w:r>
        <w:rPr>
          <w:rFonts w:ascii="Arial" w:hAnsi="Arial"/>
          <w:b w:val="0"/>
          <w:sz w:val="20"/>
        </w:rPr>
        <w:t xml:space="preserve"> Kim, Y. V. (Ed.). (2023). Kalman Filter - Engineering Applications. IntechOpen, London, UK. https://doi.org/10.5772/intechopen.100722</w:t>
      </w:r>
    </w:p>
    <w:p>
      <w:pPr>
        <w:spacing w:after="60" w:line="276" w:lineRule="auto"/>
        <w:ind w:left="567" w:hanging="454"/>
      </w:pPr>
      <w:r>
        <w:rPr>
          <w:rFonts w:ascii="Arial" w:hAnsi="Arial"/>
          <w:b w:val="0"/>
          <w:i/>
          <w:sz w:val="20"/>
        </w:rPr>
        <w:t>[18]</w:t>
      </w:r>
      <w:r>
        <w:rPr>
          <w:rFonts w:ascii="Arial" w:hAnsi="Arial"/>
          <w:b w:val="0"/>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line="276" w:lineRule="auto"/>
        <w:ind w:left="567" w:hanging="454"/>
      </w:pPr>
      <w:r>
        <w:rPr>
          <w:rFonts w:ascii="Arial" w:hAnsi="Arial"/>
          <w:b w:val="0"/>
          <w:i/>
          <w:sz w:val="20"/>
        </w:rPr>
        <w:t>[19]</w:t>
      </w:r>
      <w:r>
        <w:rPr>
          <w:rFonts w:ascii="Arial" w:hAnsi="Arial"/>
          <w:b w:val="0"/>
          <w:sz w:val="20"/>
        </w:rPr>
        <w:t xml:space="preserve"> Mari, Z., Nawaf, M. M., &amp; Drap, P. (2026). Deep Reinforcement Learning for Autonomous Underwater Navigation: A Comparative Study with DWA and Digital Twin Validation. Sensors, 26(2), 512. https://doi.org/10.3390/s26020512</w:t>
      </w:r>
    </w:p>
    <w:p>
      <w:pPr>
        <w:spacing w:after="60" w:line="276" w:lineRule="auto"/>
        <w:ind w:left="567" w:hanging="454"/>
      </w:pPr>
      <w:r>
        <w:rPr>
          <w:rFonts w:ascii="Arial" w:hAnsi="Arial"/>
          <w:b w:val="0"/>
          <w:i/>
          <w:sz w:val="20"/>
        </w:rPr>
        <w:t>[20]</w:t>
      </w:r>
      <w:r>
        <w:rPr>
          <w:rFonts w:ascii="Arial" w:hAnsi="Arial"/>
          <w:b w:val="0"/>
          <w:sz w:val="20"/>
        </w:rPr>
        <w:t xml:space="preserve"> McIvor, E., Sklivanitis, G., &amp; Pados, D. A. (2024). A Generalizable Entity-Component-System Architecture for Underwater ROV Control. In IEEE/OES OCEANS 2024 - Singapore, pp. 1–7. https://doi.org/10.1109/OCEANS51537.2024.10682121</w:t>
      </w:r>
    </w:p>
    <w:p>
      <w:pPr>
        <w:spacing w:after="60" w:line="276" w:lineRule="auto"/>
        <w:ind w:left="567" w:hanging="454"/>
      </w:pPr>
      <w:r>
        <w:rPr>
          <w:rFonts w:ascii="Arial" w:hAnsi="Arial"/>
          <w:b w:val="0"/>
          <w:i/>
          <w:sz w:val="20"/>
        </w:rPr>
        <w:t>[21]</w:t>
      </w:r>
      <w:r>
        <w:rPr>
          <w:rFonts w:ascii="Arial" w:hAnsi="Arial"/>
          <w:b w:val="0"/>
          <w:sz w:val="20"/>
        </w:rPr>
        <w:t xml:space="preserve"> Ng, P., &amp; Krieg, M. (2024). Modifications to ArduSub That Improve BlueROV SITL Accuracy and Design of Hybrid Autopilot. Applied Sciences, 14(17), 7453. https://doi.org/10.3390/app14177453</w:t>
      </w:r>
    </w:p>
    <w:p>
      <w:pPr>
        <w:spacing w:after="60" w:line="276" w:lineRule="auto"/>
        <w:ind w:left="567" w:hanging="454"/>
      </w:pPr>
      <w:r>
        <w:rPr>
          <w:rFonts w:ascii="Arial" w:hAnsi="Arial"/>
          <w:b w:val="0"/>
          <w:i/>
          <w:sz w:val="20"/>
        </w:rPr>
        <w:t>[22]</w:t>
      </w:r>
      <w:r>
        <w:rPr>
          <w:rFonts w:ascii="Arial" w:hAnsi="Arial"/>
          <w:b w:val="0"/>
          <w:sz w:val="20"/>
        </w:rPr>
        <w:t xml:space="preserve"> Pandian, R. S., Sakthivel, P., &amp; Palanisamy, V. (2023). Path Planning and Obstacle Avoidance for AUV: A Review. Ocean Engineering, 285, 115456. https://doi.org/10.1016/j.oceaneng.2023.115456</w:t>
      </w:r>
    </w:p>
    <w:p>
      <w:pPr>
        <w:spacing w:after="60" w:line="276" w:lineRule="auto"/>
        <w:ind w:left="567" w:hanging="454"/>
      </w:pPr>
      <w:r>
        <w:rPr>
          <w:rFonts w:ascii="Arial" w:hAnsi="Arial"/>
          <w:b w:val="0"/>
          <w:i/>
          <w:sz w:val="20"/>
        </w:rPr>
        <w:t>[23]</w:t>
      </w:r>
      <w:r>
        <w:rPr>
          <w:rFonts w:ascii="Arial" w:hAnsi="Arial"/>
          <w:b w:val="0"/>
          <w:sz w:val="20"/>
        </w:rPr>
        <w:t xml:space="preserve"> Rusu, C., Radu, V., &amp; Costanzi, R. (2023). Small Modular AUV Based on 3D Printing Technology: Design, Implementation and Experimental Validation. Sensors, 23(14), 6331. https://doi.org/10.3390/s23146331</w:t>
      </w:r>
    </w:p>
    <w:p>
      <w:pPr>
        <w:spacing w:after="60" w:line="276" w:lineRule="auto"/>
        <w:ind w:left="567" w:hanging="454"/>
      </w:pPr>
      <w:r>
        <w:rPr>
          <w:rFonts w:ascii="Arial" w:hAnsi="Arial"/>
          <w:b w:val="0"/>
          <w:i/>
          <w:sz w:val="20"/>
        </w:rPr>
        <w:t>[24]</w:t>
      </w:r>
      <w:r>
        <w:rPr>
          <w:rFonts w:ascii="Arial" w:hAnsi="Arial"/>
          <w:b w:val="0"/>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line="276" w:lineRule="auto"/>
        <w:ind w:left="567" w:hanging="454"/>
      </w:pPr>
      <w:r>
        <w:rPr>
          <w:rFonts w:ascii="Arial" w:hAnsi="Arial"/>
          <w:b w:val="0"/>
          <w:i/>
          <w:sz w:val="20"/>
        </w:rPr>
        <w:t>[25]</w:t>
      </w:r>
      <w:r>
        <w:rPr>
          <w:rFonts w:ascii="Arial" w:hAnsi="Arial"/>
          <w:b w:val="0"/>
          <w:sz w:val="20"/>
        </w:rPr>
        <w:t xml:space="preserve"> Särkkä, S., &amp; Svensson, L. (2023). Bayesian Filtering and Smoothing. Cambridge University Press, 2nd Edition, Cambridge, UK. https://doi.org/10.1017/9781108910002</w:t>
      </w:r>
    </w:p>
    <w:p>
      <w:pPr>
        <w:spacing w:after="60" w:line="276" w:lineRule="auto"/>
        <w:ind w:left="567" w:hanging="454"/>
      </w:pPr>
      <w:r>
        <w:rPr>
          <w:rFonts w:ascii="Arial" w:hAnsi="Arial"/>
          <w:b w:val="0"/>
          <w:i/>
          <w:sz w:val="20"/>
        </w:rPr>
        <w:t>[26]</w:t>
      </w:r>
      <w:r>
        <w:rPr>
          <w:rFonts w:ascii="Arial" w:hAnsi="Arial"/>
          <w:b w:val="0"/>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line="276" w:lineRule="auto"/>
        <w:ind w:left="567" w:hanging="454"/>
      </w:pPr>
      <w:r>
        <w:rPr>
          <w:rFonts w:ascii="Arial" w:hAnsi="Arial"/>
          <w:b w:val="0"/>
          <w:i/>
          <w:sz w:val="20"/>
        </w:rPr>
        <w:t>[27]</w:t>
      </w:r>
      <w:r>
        <w:rPr>
          <w:rFonts w:ascii="Arial" w:hAnsi="Arial"/>
          <w:b w:val="0"/>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line="276" w:lineRule="auto"/>
        <w:ind w:left="567" w:hanging="454"/>
      </w:pPr>
      <w:r>
        <w:rPr>
          <w:rFonts w:ascii="Arial" w:hAnsi="Arial"/>
          <w:b w:val="0"/>
          <w:i/>
          <w:sz w:val="20"/>
        </w:rPr>
        <w:t>[28]</w:t>
      </w:r>
      <w:r>
        <w:rPr>
          <w:rFonts w:ascii="Arial" w:hAnsi="Arial"/>
          <w:b w:val="0"/>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line="276" w:lineRule="auto"/>
        <w:ind w:left="567" w:hanging="454"/>
      </w:pPr>
      <w:r>
        <w:rPr>
          <w:rFonts w:ascii="Arial" w:hAnsi="Arial"/>
          <w:b w:val="0"/>
          <w:i/>
          <w:sz w:val="20"/>
        </w:rPr>
        <w:t>[29]</w:t>
      </w:r>
      <w:r>
        <w:rPr>
          <w:rFonts w:ascii="Arial" w:hAnsi="Arial"/>
          <w:b w:val="0"/>
          <w:sz w:val="20"/>
        </w:rPr>
        <w:t xml:space="preserve"> Ulin-Avila, E., &amp; Ponce-Hernandez, J. (2021). Kalman Filter Estimation and Its Implementation. In </w:t>
      </w:r>
      <w:r>
        <w:rPr>
          <w:rFonts w:ascii="Arial" w:hAnsi="Arial"/>
          <w:b w:val="0"/>
          <w:i/>
          <w:sz w:val="20"/>
        </w:rPr>
        <w:t>Adaptive Filtering - Recent Advances and Practical Implementation</w:t>
      </w:r>
      <w:r>
        <w:rPr>
          <w:rFonts w:ascii="Arial" w:hAnsi="Arial"/>
          <w:b w:val="0"/>
          <w:sz w:val="20"/>
        </w:rPr>
        <w:t>, IntechOpen, London, UK. https://doi.org/10.5772/intechopen.97406</w:t>
      </w:r>
    </w:p>
    <w:p>
      <w:pPr>
        <w:spacing w:after="60" w:line="276" w:lineRule="auto"/>
        <w:ind w:left="567" w:hanging="454"/>
      </w:pPr>
      <w:r>
        <w:rPr>
          <w:rFonts w:ascii="Arial" w:hAnsi="Arial"/>
          <w:b w:val="0"/>
          <w:i/>
          <w:sz w:val="20"/>
        </w:rPr>
        <w:t>[30]</w:t>
      </w:r>
      <w:r>
        <w:rPr>
          <w:rFonts w:ascii="Arial" w:hAnsi="Arial"/>
          <w:b w:val="0"/>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line="276" w:lineRule="auto"/>
        <w:ind w:left="567" w:hanging="454"/>
      </w:pPr>
      <w:r>
        <w:rPr>
          <w:rFonts w:ascii="Arial" w:hAnsi="Arial"/>
          <w:b w:val="0"/>
          <w:i/>
          <w:sz w:val="20"/>
        </w:rPr>
        <w:t>[31]</w:t>
      </w:r>
      <w:r>
        <w:rPr>
          <w:rFonts w:ascii="Arial" w:hAnsi="Arial"/>
          <w:b w:val="0"/>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line="276" w:lineRule="auto"/>
        <w:ind w:left="567" w:hanging="454"/>
      </w:pPr>
      <w:r>
        <w:rPr>
          <w:rFonts w:ascii="Arial" w:hAnsi="Arial"/>
          <w:b w:val="0"/>
          <w:i/>
          <w:sz w:val="20"/>
        </w:rPr>
        <w:t>[32]</w:t>
      </w:r>
      <w:r>
        <w:rPr>
          <w:rFonts w:ascii="Arial" w:hAnsi="Arial"/>
          <w:b w:val="0"/>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line="276" w:lineRule="auto"/>
        <w:ind w:left="567" w:hanging="454"/>
      </w:pPr>
      <w:r>
        <w:rPr>
          <w:rFonts w:ascii="Arial" w:hAnsi="Arial"/>
          <w:b w:val="0"/>
          <w:i/>
          <w:sz w:val="20"/>
        </w:rPr>
        <w:t>[33]</w:t>
      </w:r>
      <w:r>
        <w:rPr>
          <w:rFonts w:ascii="Arial" w:hAnsi="Arial"/>
          <w:b w:val="0"/>
          <w:sz w:val="20"/>
        </w:rPr>
        <w:t xml:space="preserve"> Wang, D., Wang, Y., Liu, J., &amp; Zhang, Y. (2023). An Integrated Dynamic Modeling Method for Underwater Vehicle with Hull, Propeller and Rudder. Ocean Engineering, 282, 115036. https://doi.org/10.1016/j.oceaneng.2023.115036</w:t>
      </w:r>
    </w:p>
    <w:p>
      <w:pPr>
        <w:spacing w:after="60" w:line="276" w:lineRule="auto"/>
        <w:ind w:left="567" w:hanging="454"/>
      </w:pPr>
      <w:r>
        <w:rPr>
          <w:rFonts w:ascii="Arial" w:hAnsi="Arial"/>
          <w:b w:val="0"/>
          <w:i/>
          <w:sz w:val="20"/>
        </w:rPr>
        <w:t>[34]</w:t>
      </w:r>
      <w:r>
        <w:rPr>
          <w:rFonts w:ascii="Arial" w:hAnsi="Arial"/>
          <w:b w:val="0"/>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line="276" w:lineRule="auto"/>
        <w:ind w:left="567" w:hanging="454"/>
      </w:pPr>
      <w:r>
        <w:rPr>
          <w:rFonts w:ascii="Arial" w:hAnsi="Arial"/>
          <w:b w:val="0"/>
          <w:i/>
          <w:sz w:val="20"/>
        </w:rPr>
        <w:t>[35]</w:t>
      </w:r>
      <w:r>
        <w:rPr>
          <w:rFonts w:ascii="Arial" w:hAnsi="Arial"/>
          <w:b w:val="0"/>
          <w:sz w:val="20"/>
        </w:rPr>
        <w:t xml:space="preserve"> Westman, E., Kaess, M., &amp; Hollinger, G. A. (2021). Towards Modular and Accessible AUV Systems. In 2021 IEEE Aerospace Conference (50100), pp. 1–10. https://doi.org/10.1109/AERO50100.2021.9438312</w:t>
      </w:r>
    </w:p>
    <w:p>
      <w:pPr>
        <w:spacing w:after="60" w:line="276" w:lineRule="auto"/>
        <w:ind w:left="567" w:hanging="454"/>
      </w:pPr>
      <w:r>
        <w:rPr>
          <w:rFonts w:ascii="Arial" w:hAnsi="Arial"/>
          <w:b w:val="0"/>
          <w:i/>
          <w:sz w:val="20"/>
        </w:rPr>
        <w:t>[36]</w:t>
      </w:r>
      <w:r>
        <w:rPr>
          <w:rFonts w:ascii="Arial" w:hAnsi="Arial"/>
          <w:b w:val="0"/>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line="276" w:lineRule="auto"/>
        <w:ind w:left="567" w:hanging="454"/>
      </w:pPr>
      <w:r>
        <w:rPr>
          <w:rFonts w:ascii="Arial" w:hAnsi="Arial"/>
          <w:b w:val="0"/>
          <w:i/>
          <w:sz w:val="20"/>
        </w:rPr>
        <w:t>[37]</w:t>
      </w:r>
      <w:r>
        <w:rPr>
          <w:rFonts w:ascii="Arial" w:hAnsi="Arial"/>
          <w:b w:val="0"/>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line="276" w:lineRule="auto"/>
        <w:ind w:left="567" w:hanging="454"/>
      </w:pPr>
      <w:r>
        <w:rPr>
          <w:rFonts w:ascii="Arial" w:hAnsi="Arial"/>
          <w:b w:val="0"/>
          <w:i/>
          <w:sz w:val="20"/>
        </w:rPr>
        <w:t>[38]</w:t>
      </w:r>
      <w:r>
        <w:rPr>
          <w:rFonts w:ascii="Arial" w:hAnsi="Arial"/>
          <w:b w:val="0"/>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line="276" w:lineRule="auto"/>
        <w:ind w:left="567" w:hanging="454"/>
      </w:pPr>
      <w:r>
        <w:rPr>
          <w:rFonts w:ascii="Arial" w:hAnsi="Arial"/>
          <w:b w:val="0"/>
          <w:i/>
          <w:sz w:val="20"/>
        </w:rPr>
        <w:t>[39]</w:t>
      </w:r>
      <w:r>
        <w:rPr>
          <w:rFonts w:ascii="Arial" w:hAnsi="Arial"/>
          <w:b w:val="0"/>
          <w:sz w:val="20"/>
        </w:rPr>
        <w:t xml:space="preserve"> Zhang, B., Ji, D., Liu, S., Zhu, X., &amp; Xu, W. (2023). Autonomous Underwater Vehicle Navigation: A Review. Ocean Engineering, 273, 113861. https://doi.org/10.1016/j.oceaneng.2023.113861</w:t>
      </w:r>
    </w:p>
    <w:p>
      <w:pPr>
        <w:spacing w:after="60" w:line="276" w:lineRule="auto"/>
        <w:ind w:left="567" w:hanging="454"/>
      </w:pPr>
      <w:r>
        <w:rPr>
          <w:rFonts w:ascii="Arial" w:hAnsi="Arial"/>
          <w:b w:val="0"/>
          <w:i/>
          <w:sz w:val="20"/>
        </w:rPr>
        <w:t>[40]</w:t>
      </w:r>
      <w:r>
        <w:rPr>
          <w:rFonts w:ascii="Arial" w:hAnsi="Arial"/>
          <w:b w:val="0"/>
          <w:sz w:val="20"/>
        </w:rPr>
        <w:t xml:space="preserve"> Zhang, Y., Zhang, J., Guo, Z., Zhang, L., &amp; Shang, Y. (2025). An Adaptive NMPC for ROVs Trajectory Tracking with Environmental Disturbances and Model Uncertainties. Brodogradnja, 76(1), 1–25. https://doi.org/10.21278/brod76101</w:t>
      </w:r>
    </w:p>
    <w:p>
      <w:pPr>
        <w:spacing w:after="60" w:line="276" w:lineRule="auto"/>
        <w:ind w:left="567" w:hanging="454"/>
      </w:pPr>
      <w:r>
        <w:rPr>
          <w:rFonts w:ascii="Arial" w:hAnsi="Arial"/>
          <w:b w:val="0"/>
          <w:i/>
          <w:sz w:val="20"/>
        </w:rPr>
        <w:t>[41]</w:t>
      </w:r>
      <w:r>
        <w:rPr>
          <w:rFonts w:ascii="Arial" w:hAnsi="Arial"/>
          <w:b w:val="0"/>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headerReference w:type="default" r:id="rId11"/>
      <w:footerReference w:type="default" r:id="rId12"/>
      <w:pgSz w:w="9978" w:h="14173"/>
      <w:pgMar w:top="1276" w:right="1276" w:bottom="1276" w:left="1276"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