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A37" w:rsidRPr="00125A37" w:rsidRDefault="00125A37" w:rsidP="00125A37">
      <w:pPr>
        <w:pStyle w:val="1"/>
        <w:numPr>
          <w:ilvl w:val="0"/>
          <w:numId w:val="0"/>
        </w:numPr>
      </w:pPr>
      <w:r w:rsidRPr="00125A37">
        <w:rPr>
          <w:rFonts w:hint="eastAsia"/>
        </w:rPr>
        <w:t>综合协议交易平台</w:t>
      </w:r>
    </w:p>
    <w:p w:rsidR="00125A37" w:rsidRPr="00E60A04" w:rsidRDefault="00125A37" w:rsidP="002A04AB">
      <w:pPr>
        <w:pStyle w:val="3"/>
        <w:numPr>
          <w:ilvl w:val="0"/>
          <w:numId w:val="0"/>
        </w:numPr>
      </w:pPr>
      <w:r w:rsidRPr="00E60A04">
        <w:rPr>
          <w:rFonts w:hint="eastAsia"/>
        </w:rPr>
        <w:t>综合协议交易平台</w:t>
      </w:r>
    </w:p>
    <w:p w:rsidR="00125A37" w:rsidRDefault="006C6655" w:rsidP="00125A37">
      <w:pPr>
        <w:pStyle w:val="a0"/>
        <w:spacing w:line="360" w:lineRule="auto"/>
        <w:ind w:firstLineChars="200"/>
      </w:pPr>
      <w:r>
        <w:rPr>
          <w:rFonts w:hint="eastAsia"/>
        </w:rPr>
        <w:t>深圳综合协议交易平台</w:t>
      </w:r>
      <w:r w:rsidR="00125A37">
        <w:rPr>
          <w:rFonts w:hint="eastAsia"/>
        </w:rPr>
        <w:t>简称“协议平台”或</w:t>
      </w:r>
      <w:r w:rsidR="00125A37">
        <w:rPr>
          <w:rFonts w:hint="eastAsia"/>
        </w:rPr>
        <w:t>INTS</w:t>
      </w:r>
      <w:r w:rsidR="00125A37">
        <w:rPr>
          <w:rFonts w:hint="eastAsia"/>
        </w:rPr>
        <w:t>，是为会员和合格投资者进行各类证券大宗交易或协议交易提供的交易系统；通过协议平台，会员和合格投资者可以进行证券大宗交易以及专项资产管理计划收益权份额等证券的协议交易。</w:t>
      </w:r>
    </w:p>
    <w:p w:rsidR="00125A37" w:rsidRPr="00E60A04" w:rsidRDefault="00125A37" w:rsidP="002A04AB">
      <w:pPr>
        <w:pStyle w:val="3"/>
        <w:numPr>
          <w:ilvl w:val="0"/>
          <w:numId w:val="0"/>
        </w:numPr>
      </w:pPr>
      <w:r w:rsidRPr="00E60A04">
        <w:rPr>
          <w:rFonts w:hint="eastAsia"/>
        </w:rPr>
        <w:t>申报时间</w:t>
      </w:r>
    </w:p>
    <w:p w:rsidR="00125A37" w:rsidRPr="00D7339B" w:rsidRDefault="00015242" w:rsidP="00125A37">
      <w:pPr>
        <w:pStyle w:val="a0"/>
        <w:spacing w:line="360" w:lineRule="auto"/>
      </w:pPr>
      <w:r>
        <w:rPr>
          <w:rFonts w:hint="eastAsia"/>
        </w:rPr>
        <w:t>综合</w:t>
      </w:r>
      <w:r w:rsidR="008B1643">
        <w:rPr>
          <w:rFonts w:hint="eastAsia"/>
        </w:rPr>
        <w:t>协议</w:t>
      </w:r>
      <w:r w:rsidR="00125A37" w:rsidRPr="00D7339B">
        <w:rPr>
          <w:rFonts w:hint="eastAsia"/>
        </w:rPr>
        <w:t>交易通信系统接受委托申报的时间为每周一至周五的上午</w:t>
      </w:r>
      <w:r w:rsidR="00125A37" w:rsidRPr="00D7339B">
        <w:rPr>
          <w:rFonts w:hint="eastAsia"/>
        </w:rPr>
        <w:t>9:15</w:t>
      </w:r>
      <w:r w:rsidR="00125A37" w:rsidRPr="00D7339B">
        <w:rPr>
          <w:rFonts w:hint="eastAsia"/>
        </w:rPr>
        <w:t>至</w:t>
      </w:r>
      <w:r w:rsidR="00125A37" w:rsidRPr="00D7339B">
        <w:rPr>
          <w:rFonts w:hint="eastAsia"/>
        </w:rPr>
        <w:t>11:30</w:t>
      </w:r>
      <w:r w:rsidR="00125A37" w:rsidRPr="00D7339B">
        <w:rPr>
          <w:rFonts w:hint="eastAsia"/>
        </w:rPr>
        <w:t>，下午</w:t>
      </w:r>
      <w:r w:rsidR="00125A37" w:rsidRPr="00D7339B">
        <w:rPr>
          <w:rFonts w:hint="eastAsia"/>
        </w:rPr>
        <w:t xml:space="preserve"> 13:00 </w:t>
      </w:r>
      <w:r w:rsidR="00125A37" w:rsidRPr="00D7339B">
        <w:rPr>
          <w:rFonts w:hint="eastAsia"/>
        </w:rPr>
        <w:t>至</w:t>
      </w:r>
      <w:r w:rsidR="00125A37" w:rsidRPr="00D7339B">
        <w:rPr>
          <w:rFonts w:hint="eastAsia"/>
        </w:rPr>
        <w:t xml:space="preserve"> 15:30</w:t>
      </w:r>
      <w:r w:rsidR="00125A37" w:rsidRPr="00D7339B">
        <w:rPr>
          <w:rFonts w:hint="eastAsia"/>
        </w:rPr>
        <w:t>。遇法定节假日和其他特殊情况，暂停协议交易。</w:t>
      </w:r>
    </w:p>
    <w:p w:rsidR="00125A37" w:rsidRPr="00E60A04" w:rsidRDefault="00125A37" w:rsidP="002A04AB">
      <w:pPr>
        <w:pStyle w:val="3"/>
        <w:numPr>
          <w:ilvl w:val="0"/>
          <w:numId w:val="0"/>
        </w:numPr>
      </w:pPr>
      <w:r w:rsidRPr="00E60A04">
        <w:rPr>
          <w:rFonts w:hint="eastAsia"/>
        </w:rPr>
        <w:t>平台业务</w:t>
      </w:r>
    </w:p>
    <w:p w:rsidR="00125A37" w:rsidRDefault="00125A37" w:rsidP="00125A37">
      <w:pPr>
        <w:pStyle w:val="a0"/>
        <w:numPr>
          <w:ilvl w:val="0"/>
          <w:numId w:val="2"/>
        </w:numPr>
        <w:spacing w:line="360" w:lineRule="auto"/>
      </w:pPr>
      <w:r>
        <w:rPr>
          <w:rFonts w:hint="eastAsia"/>
        </w:rPr>
        <w:t>权益类证券大宗交易：</w:t>
      </w:r>
      <w:r>
        <w:rPr>
          <w:rFonts w:hint="eastAsia"/>
        </w:rPr>
        <w:t>A</w:t>
      </w:r>
      <w:r>
        <w:rPr>
          <w:rFonts w:hint="eastAsia"/>
        </w:rPr>
        <w:t>股、</w:t>
      </w:r>
      <w:r>
        <w:rPr>
          <w:rFonts w:hint="eastAsia"/>
        </w:rPr>
        <w:t>B</w:t>
      </w:r>
      <w:r>
        <w:rPr>
          <w:rFonts w:hint="eastAsia"/>
        </w:rPr>
        <w:t>股、基金</w:t>
      </w:r>
    </w:p>
    <w:p w:rsidR="00125A37" w:rsidRDefault="00125A37" w:rsidP="00125A37">
      <w:pPr>
        <w:pStyle w:val="a0"/>
        <w:numPr>
          <w:ilvl w:val="0"/>
          <w:numId w:val="2"/>
        </w:numPr>
        <w:spacing w:line="360" w:lineRule="auto"/>
      </w:pPr>
      <w:r>
        <w:rPr>
          <w:rFonts w:hint="eastAsia"/>
        </w:rPr>
        <w:t>债券大宗交易：国债、企业债券、公司债券、分离交易的可转换公司债</w:t>
      </w:r>
      <w:proofErr w:type="gramStart"/>
      <w:r>
        <w:rPr>
          <w:rFonts w:hint="eastAsia"/>
        </w:rPr>
        <w:t>券</w:t>
      </w:r>
      <w:proofErr w:type="gramEnd"/>
      <w:r>
        <w:rPr>
          <w:rFonts w:hint="eastAsia"/>
        </w:rPr>
        <w:t>、可转</w:t>
      </w:r>
    </w:p>
    <w:p w:rsidR="00125A37" w:rsidRDefault="00125A37" w:rsidP="00125A37">
      <w:pPr>
        <w:pStyle w:val="a0"/>
        <w:spacing w:line="360" w:lineRule="auto"/>
        <w:ind w:firstLineChars="200"/>
      </w:pPr>
      <w:r>
        <w:rPr>
          <w:rFonts w:hint="eastAsia"/>
        </w:rPr>
        <w:t>换公司债券和债券质押式回购</w:t>
      </w:r>
    </w:p>
    <w:p w:rsidR="00125A37" w:rsidRPr="00594136" w:rsidRDefault="00125A37" w:rsidP="00125A37">
      <w:pPr>
        <w:pStyle w:val="a0"/>
        <w:numPr>
          <w:ilvl w:val="0"/>
          <w:numId w:val="3"/>
        </w:numPr>
        <w:spacing w:line="360" w:lineRule="auto"/>
      </w:pPr>
      <w:r>
        <w:rPr>
          <w:rFonts w:hint="eastAsia"/>
        </w:rPr>
        <w:t>专项资产管理计划收益权份额协议交易：专项资产管理计划</w:t>
      </w:r>
    </w:p>
    <w:p w:rsidR="00125A37" w:rsidRPr="00E60A04" w:rsidRDefault="00125A37" w:rsidP="002A04AB">
      <w:pPr>
        <w:pStyle w:val="3"/>
        <w:numPr>
          <w:ilvl w:val="0"/>
          <w:numId w:val="0"/>
        </w:numPr>
      </w:pPr>
      <w:r w:rsidRPr="00E60A04">
        <w:rPr>
          <w:rFonts w:hint="eastAsia"/>
        </w:rPr>
        <w:t>最低门槛</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1276"/>
        <w:gridCol w:w="4961"/>
      </w:tblGrid>
      <w:tr w:rsidR="00125A37" w:rsidTr="00A34215">
        <w:trPr>
          <w:trHeight w:val="155"/>
        </w:trPr>
        <w:tc>
          <w:tcPr>
            <w:tcW w:w="1526" w:type="dxa"/>
            <w:vMerge w:val="restart"/>
            <w:shd w:val="clear" w:color="auto" w:fill="auto"/>
          </w:tcPr>
          <w:p w:rsidR="00125A37" w:rsidRDefault="00125A37" w:rsidP="00A34215">
            <w:pPr>
              <w:pStyle w:val="a0"/>
              <w:spacing w:line="360" w:lineRule="auto"/>
              <w:ind w:firstLine="0"/>
            </w:pPr>
            <w:r>
              <w:rPr>
                <w:rFonts w:hint="eastAsia"/>
              </w:rPr>
              <w:t>证券品种</w:t>
            </w:r>
          </w:p>
        </w:tc>
        <w:tc>
          <w:tcPr>
            <w:tcW w:w="2410" w:type="dxa"/>
            <w:gridSpan w:val="2"/>
            <w:shd w:val="clear" w:color="auto" w:fill="auto"/>
          </w:tcPr>
          <w:p w:rsidR="00125A37" w:rsidRDefault="00125A37" w:rsidP="00A34215">
            <w:pPr>
              <w:pStyle w:val="a0"/>
              <w:spacing w:line="360" w:lineRule="auto"/>
              <w:ind w:firstLine="0"/>
              <w:jc w:val="center"/>
            </w:pPr>
            <w:r>
              <w:rPr>
                <w:rFonts w:hint="eastAsia"/>
              </w:rPr>
              <w:t>交易门槛</w:t>
            </w:r>
          </w:p>
        </w:tc>
        <w:tc>
          <w:tcPr>
            <w:tcW w:w="4961" w:type="dxa"/>
            <w:vMerge w:val="restart"/>
            <w:shd w:val="clear" w:color="auto" w:fill="auto"/>
          </w:tcPr>
          <w:p w:rsidR="00125A37" w:rsidRDefault="00125A37" w:rsidP="00A34215">
            <w:pPr>
              <w:pStyle w:val="a0"/>
              <w:spacing w:line="360" w:lineRule="auto"/>
              <w:ind w:firstLine="0"/>
            </w:pPr>
            <w:r>
              <w:rPr>
                <w:rFonts w:hint="eastAsia"/>
              </w:rPr>
              <w:t>价格区间</w:t>
            </w:r>
          </w:p>
        </w:tc>
      </w:tr>
      <w:tr w:rsidR="00125A37" w:rsidTr="00A34215">
        <w:trPr>
          <w:trHeight w:val="303"/>
        </w:trPr>
        <w:tc>
          <w:tcPr>
            <w:tcW w:w="1526" w:type="dxa"/>
            <w:vMerge/>
            <w:shd w:val="clear" w:color="auto" w:fill="auto"/>
          </w:tcPr>
          <w:p w:rsidR="00125A37" w:rsidRDefault="00125A37" w:rsidP="00A34215">
            <w:pPr>
              <w:pStyle w:val="a0"/>
              <w:spacing w:line="360" w:lineRule="auto"/>
              <w:ind w:firstLine="0"/>
            </w:pPr>
          </w:p>
        </w:tc>
        <w:tc>
          <w:tcPr>
            <w:tcW w:w="1134" w:type="dxa"/>
            <w:shd w:val="clear" w:color="auto" w:fill="auto"/>
          </w:tcPr>
          <w:p w:rsidR="00125A37" w:rsidRDefault="00125A37" w:rsidP="00A34215">
            <w:pPr>
              <w:pStyle w:val="a0"/>
              <w:spacing w:line="360" w:lineRule="auto"/>
              <w:ind w:firstLine="0"/>
            </w:pPr>
            <w:r>
              <w:rPr>
                <w:rFonts w:hint="eastAsia"/>
              </w:rPr>
              <w:t>最低数量</w:t>
            </w:r>
          </w:p>
        </w:tc>
        <w:tc>
          <w:tcPr>
            <w:tcW w:w="1276" w:type="dxa"/>
            <w:shd w:val="clear" w:color="auto" w:fill="auto"/>
          </w:tcPr>
          <w:p w:rsidR="00125A37" w:rsidRDefault="00125A37" w:rsidP="00A34215">
            <w:pPr>
              <w:pStyle w:val="a0"/>
              <w:spacing w:line="360" w:lineRule="auto"/>
              <w:ind w:firstLine="0"/>
            </w:pPr>
            <w:r>
              <w:rPr>
                <w:rFonts w:hint="eastAsia"/>
              </w:rPr>
              <w:t>交易金额</w:t>
            </w:r>
          </w:p>
        </w:tc>
        <w:tc>
          <w:tcPr>
            <w:tcW w:w="4961" w:type="dxa"/>
            <w:vMerge/>
            <w:shd w:val="clear" w:color="auto" w:fill="auto"/>
          </w:tcPr>
          <w:p w:rsidR="00125A37" w:rsidRDefault="00125A37" w:rsidP="00A34215">
            <w:pPr>
              <w:pStyle w:val="a0"/>
              <w:spacing w:line="360" w:lineRule="auto"/>
              <w:ind w:firstLine="0"/>
            </w:pPr>
          </w:p>
        </w:tc>
      </w:tr>
      <w:tr w:rsidR="00125A37" w:rsidTr="00A34215">
        <w:tc>
          <w:tcPr>
            <w:tcW w:w="1526" w:type="dxa"/>
            <w:shd w:val="clear" w:color="auto" w:fill="auto"/>
          </w:tcPr>
          <w:p w:rsidR="00125A37" w:rsidRDefault="00125A37" w:rsidP="00A34215">
            <w:pPr>
              <w:pStyle w:val="a0"/>
              <w:spacing w:line="360" w:lineRule="auto"/>
              <w:ind w:firstLine="0"/>
            </w:pPr>
            <w:r w:rsidRPr="00594136">
              <w:rPr>
                <w:rFonts w:hint="eastAsia"/>
              </w:rPr>
              <w:t>A</w:t>
            </w:r>
            <w:r w:rsidRPr="00594136">
              <w:rPr>
                <w:rFonts w:hint="eastAsia"/>
              </w:rPr>
              <w:t>股</w:t>
            </w:r>
          </w:p>
        </w:tc>
        <w:tc>
          <w:tcPr>
            <w:tcW w:w="1134" w:type="dxa"/>
            <w:shd w:val="clear" w:color="auto" w:fill="auto"/>
          </w:tcPr>
          <w:p w:rsidR="00125A37" w:rsidRDefault="00125A37" w:rsidP="00A34215">
            <w:pPr>
              <w:pStyle w:val="a0"/>
              <w:spacing w:line="360" w:lineRule="auto"/>
              <w:ind w:firstLine="0"/>
            </w:pPr>
            <w:r w:rsidRPr="00594136">
              <w:rPr>
                <w:rFonts w:hint="eastAsia"/>
              </w:rPr>
              <w:t>50</w:t>
            </w:r>
            <w:r w:rsidRPr="00594136">
              <w:rPr>
                <w:rFonts w:hint="eastAsia"/>
              </w:rPr>
              <w:t>万股</w:t>
            </w:r>
          </w:p>
        </w:tc>
        <w:tc>
          <w:tcPr>
            <w:tcW w:w="1276" w:type="dxa"/>
            <w:shd w:val="clear" w:color="auto" w:fill="auto"/>
          </w:tcPr>
          <w:p w:rsidR="00125A37" w:rsidRDefault="00125A37" w:rsidP="00A34215">
            <w:pPr>
              <w:pStyle w:val="a0"/>
              <w:spacing w:line="360" w:lineRule="auto"/>
              <w:ind w:firstLine="0"/>
            </w:pPr>
            <w:r>
              <w:rPr>
                <w:rFonts w:hint="eastAsia"/>
              </w:rPr>
              <w:t>300</w:t>
            </w:r>
            <w:r>
              <w:rPr>
                <w:rFonts w:hint="eastAsia"/>
              </w:rPr>
              <w:t>万元</w:t>
            </w:r>
          </w:p>
        </w:tc>
        <w:tc>
          <w:tcPr>
            <w:tcW w:w="4961" w:type="dxa"/>
            <w:vMerge w:val="restart"/>
            <w:shd w:val="clear" w:color="auto" w:fill="auto"/>
          </w:tcPr>
          <w:p w:rsidR="00125A37" w:rsidRDefault="00125A37" w:rsidP="00A34215">
            <w:pPr>
              <w:pStyle w:val="a0"/>
              <w:spacing w:line="360" w:lineRule="auto"/>
              <w:ind w:firstLine="0"/>
            </w:pPr>
            <w:r w:rsidRPr="00594136">
              <w:rPr>
                <w:rFonts w:hint="eastAsia"/>
              </w:rPr>
              <w:t>有价格涨跌幅限制的，在当日涨跌</w:t>
            </w:r>
            <w:proofErr w:type="gramStart"/>
            <w:r w:rsidRPr="00594136">
              <w:rPr>
                <w:rFonts w:hint="eastAsia"/>
              </w:rPr>
              <w:t>幅价格</w:t>
            </w:r>
            <w:proofErr w:type="gramEnd"/>
            <w:r w:rsidRPr="00594136">
              <w:rPr>
                <w:rFonts w:hint="eastAsia"/>
              </w:rPr>
              <w:t>限制范围内确定；</w:t>
            </w:r>
            <w:proofErr w:type="gramStart"/>
            <w:r>
              <w:rPr>
                <w:rFonts w:hint="eastAsia"/>
              </w:rPr>
              <w:t>无价格</w:t>
            </w:r>
            <w:proofErr w:type="gramEnd"/>
            <w:r>
              <w:rPr>
                <w:rFonts w:hint="eastAsia"/>
              </w:rPr>
              <w:t>涨跌幅限制的，在前收盘价的上下</w:t>
            </w:r>
            <w:r>
              <w:rPr>
                <w:rFonts w:hint="eastAsia"/>
              </w:rPr>
              <w:t>30%</w:t>
            </w:r>
            <w:r>
              <w:rPr>
                <w:rFonts w:hint="eastAsia"/>
              </w:rPr>
              <w:t>确定。</w:t>
            </w:r>
          </w:p>
        </w:tc>
      </w:tr>
      <w:tr w:rsidR="00125A37" w:rsidTr="00A34215">
        <w:tc>
          <w:tcPr>
            <w:tcW w:w="1526" w:type="dxa"/>
            <w:shd w:val="clear" w:color="auto" w:fill="auto"/>
          </w:tcPr>
          <w:p w:rsidR="00125A37" w:rsidRDefault="00125A37" w:rsidP="00A34215">
            <w:pPr>
              <w:pStyle w:val="a0"/>
              <w:spacing w:line="360" w:lineRule="auto"/>
              <w:ind w:firstLine="0"/>
            </w:pPr>
            <w:r>
              <w:rPr>
                <w:rFonts w:hint="eastAsia"/>
              </w:rPr>
              <w:t>B</w:t>
            </w:r>
            <w:r>
              <w:rPr>
                <w:rFonts w:hint="eastAsia"/>
              </w:rPr>
              <w:t>股</w:t>
            </w:r>
          </w:p>
        </w:tc>
        <w:tc>
          <w:tcPr>
            <w:tcW w:w="1134" w:type="dxa"/>
            <w:shd w:val="clear" w:color="auto" w:fill="auto"/>
          </w:tcPr>
          <w:p w:rsidR="00125A37" w:rsidRDefault="00125A37" w:rsidP="00A34215">
            <w:pPr>
              <w:pStyle w:val="a0"/>
              <w:spacing w:line="360" w:lineRule="auto"/>
              <w:ind w:firstLine="0"/>
            </w:pPr>
            <w:r w:rsidRPr="00594136">
              <w:rPr>
                <w:rFonts w:hint="eastAsia"/>
              </w:rPr>
              <w:t>5</w:t>
            </w:r>
            <w:r w:rsidRPr="00594136">
              <w:rPr>
                <w:rFonts w:hint="eastAsia"/>
              </w:rPr>
              <w:t>万股</w:t>
            </w:r>
          </w:p>
        </w:tc>
        <w:tc>
          <w:tcPr>
            <w:tcW w:w="1276" w:type="dxa"/>
            <w:shd w:val="clear" w:color="auto" w:fill="auto"/>
          </w:tcPr>
          <w:p w:rsidR="00125A37" w:rsidRDefault="00125A37" w:rsidP="00A34215">
            <w:pPr>
              <w:pStyle w:val="a0"/>
              <w:spacing w:line="360" w:lineRule="auto"/>
              <w:ind w:firstLine="0"/>
            </w:pPr>
            <w:r>
              <w:rPr>
                <w:rFonts w:hint="eastAsia"/>
              </w:rPr>
              <w:t>30</w:t>
            </w:r>
            <w:r>
              <w:rPr>
                <w:rFonts w:hint="eastAsia"/>
              </w:rPr>
              <w:t>万港币</w:t>
            </w:r>
          </w:p>
        </w:tc>
        <w:tc>
          <w:tcPr>
            <w:tcW w:w="4961" w:type="dxa"/>
            <w:vMerge/>
            <w:shd w:val="clear" w:color="auto" w:fill="auto"/>
          </w:tcPr>
          <w:p w:rsidR="00125A37" w:rsidRDefault="00125A37" w:rsidP="00A34215">
            <w:pPr>
              <w:pStyle w:val="a0"/>
              <w:spacing w:line="360" w:lineRule="auto"/>
              <w:ind w:firstLine="0"/>
            </w:pPr>
          </w:p>
        </w:tc>
      </w:tr>
      <w:tr w:rsidR="00125A37" w:rsidTr="00A34215">
        <w:tc>
          <w:tcPr>
            <w:tcW w:w="1526" w:type="dxa"/>
            <w:shd w:val="clear" w:color="auto" w:fill="auto"/>
          </w:tcPr>
          <w:p w:rsidR="00125A37" w:rsidRDefault="00125A37" w:rsidP="00A34215">
            <w:pPr>
              <w:pStyle w:val="a0"/>
              <w:spacing w:line="360" w:lineRule="auto"/>
              <w:ind w:firstLine="0"/>
            </w:pPr>
            <w:r>
              <w:rPr>
                <w:rFonts w:hint="eastAsia"/>
              </w:rPr>
              <w:t>基金</w:t>
            </w:r>
          </w:p>
        </w:tc>
        <w:tc>
          <w:tcPr>
            <w:tcW w:w="1134" w:type="dxa"/>
            <w:shd w:val="clear" w:color="auto" w:fill="auto"/>
          </w:tcPr>
          <w:p w:rsidR="00125A37" w:rsidRDefault="00125A37" w:rsidP="00A34215">
            <w:pPr>
              <w:pStyle w:val="a0"/>
              <w:spacing w:line="360" w:lineRule="auto"/>
              <w:ind w:firstLine="0"/>
            </w:pPr>
            <w:r>
              <w:rPr>
                <w:rFonts w:hint="eastAsia"/>
              </w:rPr>
              <w:t>300</w:t>
            </w:r>
            <w:r>
              <w:rPr>
                <w:rFonts w:hint="eastAsia"/>
              </w:rPr>
              <w:t>万份</w:t>
            </w:r>
          </w:p>
        </w:tc>
        <w:tc>
          <w:tcPr>
            <w:tcW w:w="1276" w:type="dxa"/>
            <w:shd w:val="clear" w:color="auto" w:fill="auto"/>
          </w:tcPr>
          <w:p w:rsidR="00125A37" w:rsidRDefault="00125A37" w:rsidP="00A34215">
            <w:pPr>
              <w:pStyle w:val="a0"/>
              <w:spacing w:line="360" w:lineRule="auto"/>
              <w:ind w:firstLine="0"/>
            </w:pPr>
            <w:r>
              <w:rPr>
                <w:rFonts w:hint="eastAsia"/>
              </w:rPr>
              <w:t>300</w:t>
            </w:r>
            <w:r>
              <w:rPr>
                <w:rFonts w:hint="eastAsia"/>
              </w:rPr>
              <w:t>万元</w:t>
            </w:r>
          </w:p>
        </w:tc>
        <w:tc>
          <w:tcPr>
            <w:tcW w:w="4961" w:type="dxa"/>
            <w:vMerge/>
            <w:shd w:val="clear" w:color="auto" w:fill="auto"/>
          </w:tcPr>
          <w:p w:rsidR="00125A37" w:rsidRDefault="00125A37" w:rsidP="00A34215">
            <w:pPr>
              <w:pStyle w:val="a0"/>
              <w:spacing w:line="360" w:lineRule="auto"/>
              <w:ind w:firstLine="0"/>
            </w:pPr>
          </w:p>
        </w:tc>
      </w:tr>
      <w:tr w:rsidR="00125A37" w:rsidTr="00A34215">
        <w:tc>
          <w:tcPr>
            <w:tcW w:w="1526" w:type="dxa"/>
            <w:shd w:val="clear" w:color="auto" w:fill="auto"/>
          </w:tcPr>
          <w:p w:rsidR="00125A37" w:rsidRDefault="00125A37" w:rsidP="00A34215">
            <w:pPr>
              <w:pStyle w:val="a0"/>
              <w:spacing w:line="360" w:lineRule="auto"/>
              <w:ind w:firstLine="0"/>
            </w:pPr>
            <w:r>
              <w:rPr>
                <w:rFonts w:hint="eastAsia"/>
              </w:rPr>
              <w:t>债券</w:t>
            </w:r>
          </w:p>
        </w:tc>
        <w:tc>
          <w:tcPr>
            <w:tcW w:w="1134" w:type="dxa"/>
            <w:shd w:val="clear" w:color="auto" w:fill="auto"/>
          </w:tcPr>
          <w:p w:rsidR="00125A37" w:rsidRDefault="00125A37" w:rsidP="00A34215">
            <w:pPr>
              <w:pStyle w:val="a0"/>
              <w:spacing w:line="360" w:lineRule="auto"/>
              <w:ind w:firstLine="0"/>
            </w:pPr>
            <w:r>
              <w:rPr>
                <w:rFonts w:hint="eastAsia"/>
              </w:rPr>
              <w:t>5000</w:t>
            </w:r>
            <w:r>
              <w:rPr>
                <w:rFonts w:hint="eastAsia"/>
              </w:rPr>
              <w:t>张</w:t>
            </w:r>
          </w:p>
        </w:tc>
        <w:tc>
          <w:tcPr>
            <w:tcW w:w="1276" w:type="dxa"/>
            <w:shd w:val="clear" w:color="auto" w:fill="auto"/>
          </w:tcPr>
          <w:p w:rsidR="00125A37" w:rsidRDefault="00125A37" w:rsidP="00A34215">
            <w:pPr>
              <w:pStyle w:val="a0"/>
              <w:spacing w:line="360" w:lineRule="auto"/>
              <w:ind w:firstLine="0"/>
            </w:pPr>
            <w:r>
              <w:rPr>
                <w:rFonts w:hint="eastAsia"/>
              </w:rPr>
              <w:t>50</w:t>
            </w:r>
            <w:r>
              <w:rPr>
                <w:rFonts w:hint="eastAsia"/>
              </w:rPr>
              <w:t>万元</w:t>
            </w:r>
          </w:p>
        </w:tc>
        <w:tc>
          <w:tcPr>
            <w:tcW w:w="4961" w:type="dxa"/>
            <w:vMerge w:val="restart"/>
            <w:shd w:val="clear" w:color="auto" w:fill="auto"/>
          </w:tcPr>
          <w:p w:rsidR="00125A37" w:rsidRDefault="00125A37" w:rsidP="00A34215">
            <w:pPr>
              <w:pStyle w:val="a0"/>
              <w:spacing w:line="360" w:lineRule="auto"/>
              <w:ind w:firstLine="0"/>
            </w:pPr>
            <w:r>
              <w:rPr>
                <w:rFonts w:hint="eastAsia"/>
              </w:rPr>
              <w:t>由买卖双方在前收盘价的上下</w:t>
            </w:r>
            <w:r>
              <w:rPr>
                <w:rFonts w:hint="eastAsia"/>
              </w:rPr>
              <w:t>30%</w:t>
            </w:r>
            <w:r>
              <w:rPr>
                <w:rFonts w:hint="eastAsia"/>
              </w:rPr>
              <w:t>之间确定。</w:t>
            </w:r>
          </w:p>
        </w:tc>
      </w:tr>
      <w:tr w:rsidR="00125A37" w:rsidTr="00A34215">
        <w:tc>
          <w:tcPr>
            <w:tcW w:w="1526" w:type="dxa"/>
            <w:shd w:val="clear" w:color="auto" w:fill="auto"/>
          </w:tcPr>
          <w:p w:rsidR="00125A37" w:rsidRDefault="00125A37" w:rsidP="00A34215">
            <w:pPr>
              <w:pStyle w:val="a0"/>
              <w:spacing w:line="360" w:lineRule="auto"/>
              <w:ind w:firstLine="0"/>
            </w:pPr>
            <w:r>
              <w:rPr>
                <w:rFonts w:hint="eastAsia"/>
              </w:rPr>
              <w:t>债券质押回购</w:t>
            </w:r>
          </w:p>
        </w:tc>
        <w:tc>
          <w:tcPr>
            <w:tcW w:w="1134" w:type="dxa"/>
            <w:shd w:val="clear" w:color="auto" w:fill="auto"/>
          </w:tcPr>
          <w:p w:rsidR="00125A37" w:rsidRDefault="00125A37" w:rsidP="00A34215">
            <w:pPr>
              <w:pStyle w:val="a0"/>
              <w:spacing w:line="360" w:lineRule="auto"/>
              <w:ind w:firstLine="0"/>
            </w:pPr>
            <w:r>
              <w:rPr>
                <w:rFonts w:hint="eastAsia"/>
              </w:rPr>
              <w:t>5000</w:t>
            </w:r>
            <w:r>
              <w:rPr>
                <w:rFonts w:hint="eastAsia"/>
              </w:rPr>
              <w:t>张</w:t>
            </w:r>
          </w:p>
        </w:tc>
        <w:tc>
          <w:tcPr>
            <w:tcW w:w="1276" w:type="dxa"/>
            <w:shd w:val="clear" w:color="auto" w:fill="auto"/>
          </w:tcPr>
          <w:p w:rsidR="00125A37" w:rsidRDefault="00125A37" w:rsidP="00A34215">
            <w:pPr>
              <w:pStyle w:val="a0"/>
              <w:spacing w:line="360" w:lineRule="auto"/>
              <w:ind w:firstLine="0"/>
            </w:pPr>
            <w:r>
              <w:rPr>
                <w:rFonts w:hint="eastAsia"/>
              </w:rPr>
              <w:t>50</w:t>
            </w:r>
            <w:r>
              <w:rPr>
                <w:rFonts w:hint="eastAsia"/>
              </w:rPr>
              <w:t>万元</w:t>
            </w:r>
          </w:p>
        </w:tc>
        <w:tc>
          <w:tcPr>
            <w:tcW w:w="4961" w:type="dxa"/>
            <w:vMerge/>
            <w:shd w:val="clear" w:color="auto" w:fill="auto"/>
          </w:tcPr>
          <w:p w:rsidR="00125A37" w:rsidRDefault="00125A37" w:rsidP="00A34215">
            <w:pPr>
              <w:pStyle w:val="a0"/>
              <w:spacing w:line="360" w:lineRule="auto"/>
              <w:ind w:firstLine="0"/>
            </w:pPr>
          </w:p>
        </w:tc>
      </w:tr>
      <w:tr w:rsidR="00125A37" w:rsidTr="00A34215">
        <w:tc>
          <w:tcPr>
            <w:tcW w:w="1526" w:type="dxa"/>
            <w:shd w:val="clear" w:color="auto" w:fill="auto"/>
          </w:tcPr>
          <w:p w:rsidR="00125A37" w:rsidRDefault="00125A37" w:rsidP="00A34215">
            <w:pPr>
              <w:pStyle w:val="a0"/>
              <w:spacing w:line="360" w:lineRule="auto"/>
              <w:ind w:firstLine="0"/>
            </w:pPr>
            <w:r>
              <w:rPr>
                <w:rFonts w:hint="eastAsia"/>
              </w:rPr>
              <w:t>专项资产</w:t>
            </w:r>
          </w:p>
        </w:tc>
        <w:tc>
          <w:tcPr>
            <w:tcW w:w="1134" w:type="dxa"/>
            <w:shd w:val="clear" w:color="auto" w:fill="auto"/>
          </w:tcPr>
          <w:p w:rsidR="00125A37" w:rsidRDefault="00125A37" w:rsidP="00A34215">
            <w:pPr>
              <w:pStyle w:val="a0"/>
              <w:spacing w:line="360" w:lineRule="auto"/>
              <w:ind w:firstLine="0"/>
            </w:pPr>
            <w:r>
              <w:rPr>
                <w:rFonts w:hint="eastAsia"/>
              </w:rPr>
              <w:t>500</w:t>
            </w:r>
            <w:r>
              <w:rPr>
                <w:rFonts w:hint="eastAsia"/>
              </w:rPr>
              <w:t>份</w:t>
            </w:r>
          </w:p>
        </w:tc>
        <w:tc>
          <w:tcPr>
            <w:tcW w:w="1276" w:type="dxa"/>
            <w:shd w:val="clear" w:color="auto" w:fill="auto"/>
          </w:tcPr>
          <w:p w:rsidR="00125A37" w:rsidRDefault="00125A37" w:rsidP="00A34215">
            <w:pPr>
              <w:pStyle w:val="a0"/>
              <w:spacing w:line="360" w:lineRule="auto"/>
              <w:ind w:firstLine="0"/>
            </w:pPr>
          </w:p>
        </w:tc>
        <w:tc>
          <w:tcPr>
            <w:tcW w:w="4961" w:type="dxa"/>
            <w:shd w:val="clear" w:color="auto" w:fill="auto"/>
          </w:tcPr>
          <w:p w:rsidR="00125A37" w:rsidRDefault="00125A37" w:rsidP="00A34215">
            <w:pPr>
              <w:pStyle w:val="a0"/>
              <w:spacing w:line="360" w:lineRule="auto"/>
              <w:ind w:firstLine="0"/>
            </w:pPr>
            <w:r>
              <w:rPr>
                <w:rFonts w:hint="eastAsia"/>
              </w:rPr>
              <w:t>由买卖双方协商，转让数量必须为</w:t>
            </w:r>
            <w:r>
              <w:rPr>
                <w:rFonts w:hint="eastAsia"/>
              </w:rPr>
              <w:t>10</w:t>
            </w:r>
            <w:r>
              <w:rPr>
                <w:rFonts w:hint="eastAsia"/>
              </w:rPr>
              <w:t>份的整数</w:t>
            </w:r>
            <w:proofErr w:type="gramStart"/>
            <w:r>
              <w:rPr>
                <w:rFonts w:hint="eastAsia"/>
              </w:rPr>
              <w:t>倍</w:t>
            </w:r>
            <w:proofErr w:type="gramEnd"/>
            <w:r>
              <w:rPr>
                <w:rFonts w:hint="eastAsia"/>
              </w:rPr>
              <w:t>。</w:t>
            </w:r>
          </w:p>
        </w:tc>
      </w:tr>
    </w:tbl>
    <w:p w:rsidR="00125A37" w:rsidRDefault="00125A37" w:rsidP="00125A37">
      <w:pPr>
        <w:pStyle w:val="a0"/>
        <w:spacing w:line="360" w:lineRule="auto"/>
        <w:ind w:firstLineChars="200"/>
      </w:pPr>
    </w:p>
    <w:p w:rsidR="00125A37" w:rsidRPr="00E60A04" w:rsidRDefault="00125A37" w:rsidP="002A04AB">
      <w:pPr>
        <w:pStyle w:val="3"/>
        <w:numPr>
          <w:ilvl w:val="0"/>
          <w:numId w:val="0"/>
        </w:numPr>
      </w:pPr>
      <w:r w:rsidRPr="00E60A04">
        <w:rPr>
          <w:rFonts w:hint="eastAsia"/>
        </w:rPr>
        <w:lastRenderedPageBreak/>
        <w:t>交易效率</w:t>
      </w:r>
    </w:p>
    <w:p w:rsidR="00125A37" w:rsidRPr="0060155B" w:rsidRDefault="00125A37" w:rsidP="00125A37">
      <w:pPr>
        <w:pStyle w:val="a0"/>
        <w:spacing w:line="360" w:lineRule="auto"/>
        <w:ind w:firstLineChars="200"/>
        <w:rPr>
          <w:rFonts w:ascii="宋体" w:hAnsi="宋体"/>
          <w:szCs w:val="21"/>
        </w:rPr>
      </w:pPr>
      <w:r w:rsidRPr="0060155B">
        <w:rPr>
          <w:rFonts w:ascii="宋体" w:hAnsi="宋体" w:hint="eastAsia"/>
          <w:szCs w:val="21"/>
        </w:rPr>
        <w:t>公司债券实时确认成交，其他债券在竞价系统交易结束后确认；</w:t>
      </w:r>
    </w:p>
    <w:p w:rsidR="00125A37" w:rsidRPr="0060155B" w:rsidRDefault="00125A37" w:rsidP="00125A37">
      <w:pPr>
        <w:pStyle w:val="a0"/>
        <w:spacing w:line="360" w:lineRule="auto"/>
        <w:ind w:firstLineChars="200"/>
        <w:rPr>
          <w:rFonts w:ascii="宋体" w:hAnsi="宋体"/>
          <w:szCs w:val="21"/>
        </w:rPr>
      </w:pPr>
      <w:r w:rsidRPr="0060155B">
        <w:rPr>
          <w:rFonts w:ascii="宋体" w:hAnsi="宋体" w:hint="eastAsia"/>
          <w:szCs w:val="21"/>
        </w:rPr>
        <w:t>允许回转交易；</w:t>
      </w:r>
    </w:p>
    <w:p w:rsidR="00125A37" w:rsidRPr="0060155B" w:rsidRDefault="00125A37" w:rsidP="00125A37">
      <w:pPr>
        <w:pStyle w:val="a0"/>
        <w:spacing w:line="360" w:lineRule="auto"/>
        <w:ind w:firstLineChars="200"/>
        <w:rPr>
          <w:rFonts w:ascii="宋体" w:hAnsi="宋体"/>
          <w:szCs w:val="21"/>
        </w:rPr>
      </w:pPr>
      <w:r w:rsidRPr="0060155B">
        <w:rPr>
          <w:rFonts w:ascii="宋体" w:hAnsi="宋体" w:hint="eastAsia"/>
          <w:szCs w:val="21"/>
        </w:rPr>
        <w:t>公司债券：协议平台T日买入的，</w:t>
      </w:r>
      <w:r w:rsidRPr="0096435D">
        <w:rPr>
          <w:rFonts w:ascii="宋体" w:hAnsi="宋体" w:hint="eastAsia"/>
          <w:szCs w:val="21"/>
        </w:rPr>
        <w:t>当日起可在协议平台卖出</w:t>
      </w:r>
      <w:r>
        <w:rPr>
          <w:rFonts w:ascii="宋体" w:hAnsi="宋体" w:hint="eastAsia"/>
          <w:szCs w:val="21"/>
        </w:rPr>
        <w:t>，</w:t>
      </w:r>
      <w:r w:rsidRPr="0060155B">
        <w:rPr>
          <w:rFonts w:ascii="宋体" w:hAnsi="宋体" w:hint="eastAsia"/>
          <w:szCs w:val="21"/>
        </w:rPr>
        <w:t>T＋2日在竞价系统可用；竞价系统T日买入的，</w:t>
      </w:r>
      <w:r w:rsidRPr="0096435D">
        <w:rPr>
          <w:rFonts w:ascii="宋体" w:hAnsi="宋体" w:hint="eastAsia"/>
          <w:szCs w:val="21"/>
        </w:rPr>
        <w:t>当日起可在竞价交易系统卖出，</w:t>
      </w:r>
      <w:r w:rsidRPr="0060155B">
        <w:rPr>
          <w:rFonts w:ascii="宋体" w:hAnsi="宋体" w:hint="eastAsia"/>
          <w:szCs w:val="21"/>
        </w:rPr>
        <w:t xml:space="preserve">T日在协议平台可用； </w:t>
      </w:r>
    </w:p>
    <w:p w:rsidR="00125A37" w:rsidRDefault="00125A37" w:rsidP="00125A37">
      <w:pPr>
        <w:pStyle w:val="a0"/>
        <w:spacing w:line="360" w:lineRule="auto"/>
        <w:ind w:firstLineChars="200"/>
        <w:rPr>
          <w:rFonts w:ascii="宋体" w:hAnsi="宋体"/>
          <w:szCs w:val="21"/>
        </w:rPr>
      </w:pPr>
      <w:r w:rsidRPr="0060155B">
        <w:rPr>
          <w:rFonts w:ascii="宋体" w:hAnsi="宋体" w:hint="eastAsia"/>
          <w:szCs w:val="21"/>
        </w:rPr>
        <w:t>其他债券：协议平台T日买入的，</w:t>
      </w:r>
      <w:r w:rsidRPr="0096435D">
        <w:rPr>
          <w:rFonts w:ascii="宋体" w:hAnsi="宋体" w:hint="eastAsia"/>
          <w:szCs w:val="21"/>
        </w:rPr>
        <w:t>当日起可在协议平台卖出</w:t>
      </w:r>
      <w:r>
        <w:rPr>
          <w:rFonts w:ascii="宋体" w:hAnsi="宋体" w:hint="eastAsia"/>
          <w:szCs w:val="21"/>
        </w:rPr>
        <w:t>，</w:t>
      </w:r>
      <w:r w:rsidRPr="0060155B">
        <w:rPr>
          <w:rFonts w:ascii="宋体" w:hAnsi="宋体" w:hint="eastAsia"/>
          <w:szCs w:val="21"/>
        </w:rPr>
        <w:t>T＋1日在竞价系统可用；竞价系统T日买入的，</w:t>
      </w:r>
      <w:r w:rsidRPr="0096435D">
        <w:rPr>
          <w:rFonts w:ascii="宋体" w:hAnsi="宋体" w:hint="eastAsia"/>
          <w:szCs w:val="21"/>
        </w:rPr>
        <w:t>当日起可在竞价交易系统卖出，</w:t>
      </w:r>
      <w:r w:rsidRPr="0060155B">
        <w:rPr>
          <w:rFonts w:ascii="宋体" w:hAnsi="宋体" w:hint="eastAsia"/>
          <w:szCs w:val="21"/>
        </w:rPr>
        <w:t>T日在协议平台可用。</w:t>
      </w:r>
    </w:p>
    <w:p w:rsidR="00125A37" w:rsidRDefault="00125A37" w:rsidP="00125A37">
      <w:pPr>
        <w:pStyle w:val="a0"/>
        <w:spacing w:line="360" w:lineRule="auto"/>
        <w:ind w:firstLineChars="200"/>
        <w:rPr>
          <w:rFonts w:ascii="宋体" w:hAnsi="宋体"/>
          <w:szCs w:val="21"/>
        </w:rPr>
      </w:pPr>
      <w:r w:rsidRPr="00440E08">
        <w:rPr>
          <w:rFonts w:ascii="宋体" w:hAnsi="宋体" w:hint="eastAsia"/>
          <w:szCs w:val="21"/>
        </w:rPr>
        <w:t>专项资产管理计划</w:t>
      </w:r>
      <w:r>
        <w:rPr>
          <w:rFonts w:ascii="宋体" w:hAnsi="宋体" w:hint="eastAsia"/>
          <w:szCs w:val="21"/>
        </w:rPr>
        <w:t>：</w:t>
      </w:r>
      <w:r w:rsidRPr="00440E08">
        <w:rPr>
          <w:rFonts w:ascii="宋体" w:hAnsi="宋体" w:hint="eastAsia"/>
          <w:szCs w:val="21"/>
        </w:rPr>
        <w:t>协议平台买入的证券，当日起可在协议平台卖出。</w:t>
      </w:r>
    </w:p>
    <w:p w:rsidR="00125A37" w:rsidRDefault="00125A37" w:rsidP="00125A37">
      <w:pPr>
        <w:pStyle w:val="a0"/>
        <w:spacing w:line="360" w:lineRule="auto"/>
        <w:ind w:firstLineChars="200"/>
        <w:rPr>
          <w:rFonts w:ascii="宋体" w:hAnsi="宋体"/>
          <w:szCs w:val="21"/>
        </w:rPr>
      </w:pPr>
      <w:r w:rsidRPr="0023682F">
        <w:rPr>
          <w:rFonts w:ascii="宋体" w:hAnsi="宋体" w:hint="eastAsia"/>
          <w:szCs w:val="21"/>
        </w:rPr>
        <w:t>公司债券（包括专项资产管理计划），在协议平台采用T＋1非担保交收方式；在T＋1日交收时，结算公司依照非担保交收原则，对钱</w:t>
      </w:r>
      <w:proofErr w:type="gramStart"/>
      <w:r w:rsidRPr="0023682F">
        <w:rPr>
          <w:rFonts w:ascii="宋体" w:hAnsi="宋体" w:hint="eastAsia"/>
          <w:szCs w:val="21"/>
        </w:rPr>
        <w:t>券</w:t>
      </w:r>
      <w:proofErr w:type="gramEnd"/>
      <w:r w:rsidRPr="0023682F">
        <w:rPr>
          <w:rFonts w:ascii="宋体" w:hAnsi="宋体" w:hint="eastAsia"/>
          <w:szCs w:val="21"/>
        </w:rPr>
        <w:t>不足的交易视为交</w:t>
      </w:r>
      <w:proofErr w:type="gramStart"/>
      <w:r w:rsidRPr="0023682F">
        <w:rPr>
          <w:rFonts w:ascii="宋体" w:hAnsi="宋体" w:hint="eastAsia"/>
          <w:szCs w:val="21"/>
        </w:rPr>
        <w:t>收失败</w:t>
      </w:r>
      <w:proofErr w:type="gramEnd"/>
      <w:r w:rsidRPr="0023682F">
        <w:rPr>
          <w:rFonts w:ascii="宋体" w:hAnsi="宋体" w:hint="eastAsia"/>
          <w:szCs w:val="21"/>
        </w:rPr>
        <w:t>处理。</w:t>
      </w:r>
    </w:p>
    <w:p w:rsidR="00125A37" w:rsidRDefault="00125A37" w:rsidP="00125A37">
      <w:pPr>
        <w:pStyle w:val="a0"/>
        <w:spacing w:line="360" w:lineRule="auto"/>
        <w:ind w:firstLineChars="200"/>
        <w:rPr>
          <w:rFonts w:ascii="宋体" w:hAnsi="宋体"/>
          <w:szCs w:val="21"/>
        </w:rPr>
      </w:pPr>
      <w:r w:rsidRPr="00F33FE8">
        <w:rPr>
          <w:rFonts w:ascii="宋体" w:hAnsi="宋体" w:hint="eastAsia"/>
          <w:szCs w:val="21"/>
        </w:rPr>
        <w:t>对于通过深交所</w:t>
      </w:r>
      <w:r w:rsidR="00FD76E8">
        <w:rPr>
          <w:rFonts w:ascii="宋体" w:hAnsi="宋体" w:hint="eastAsia"/>
          <w:szCs w:val="21"/>
        </w:rPr>
        <w:t>大宗交易平台（或类似的协议交易平台）达成的公司债大宗交易业务，结算</w:t>
      </w:r>
      <w:r w:rsidRPr="00F33FE8">
        <w:rPr>
          <w:rFonts w:ascii="宋体" w:hAnsi="宋体" w:hint="eastAsia"/>
          <w:szCs w:val="21"/>
        </w:rPr>
        <w:t>公司采用逐笔全额结算制度（非担保交收）， 按照货银对付原则在 T＋1 日办理结算参与人之间的相关债券和资金交收业务。在办理公司债相关业务的交收时，按照“先二级市场，后一级市场” 、 “先集中交易，后大宗交易”的交收顺序办理公司债的交收业务。</w:t>
      </w:r>
    </w:p>
    <w:p w:rsidR="00125A37" w:rsidRPr="00E60A04" w:rsidRDefault="00125A37" w:rsidP="002A04AB">
      <w:pPr>
        <w:pStyle w:val="3"/>
        <w:numPr>
          <w:ilvl w:val="0"/>
          <w:numId w:val="0"/>
        </w:numPr>
      </w:pPr>
      <w:r w:rsidRPr="00E60A04">
        <w:rPr>
          <w:rFonts w:hint="eastAsia"/>
        </w:rPr>
        <w:t>报价方式</w:t>
      </w:r>
    </w:p>
    <w:p w:rsidR="00125A37" w:rsidRDefault="00125A37" w:rsidP="00125A37">
      <w:pPr>
        <w:pStyle w:val="a0"/>
        <w:spacing w:line="360" w:lineRule="auto"/>
        <w:ind w:firstLineChars="200"/>
      </w:pPr>
      <w:r>
        <w:rPr>
          <w:rFonts w:hint="eastAsia"/>
        </w:rPr>
        <w:t>支持意向申报、定价申报、成交申报多种报价方式。</w:t>
      </w:r>
    </w:p>
    <w:p w:rsidR="00125A37" w:rsidRDefault="00125A37" w:rsidP="00125A37">
      <w:pPr>
        <w:pStyle w:val="a0"/>
        <w:numPr>
          <w:ilvl w:val="0"/>
          <w:numId w:val="4"/>
        </w:numPr>
        <w:spacing w:line="360" w:lineRule="auto"/>
      </w:pPr>
      <w:r>
        <w:rPr>
          <w:rFonts w:hint="eastAsia"/>
        </w:rPr>
        <w:t>意向申报</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t>为股民的买卖意向，不付有成交责任，委托要素为：</w:t>
      </w:r>
      <w:r w:rsidRPr="00560575">
        <w:rPr>
          <w:rFonts w:ascii="Tahoma" w:hint="eastAsia"/>
          <w:bCs/>
          <w:color w:val="000000"/>
          <w:szCs w:val="21"/>
        </w:rPr>
        <w:t>合同序号</w:t>
      </w:r>
      <w:r>
        <w:rPr>
          <w:rFonts w:ascii="Tahoma" w:hint="eastAsia"/>
          <w:bCs/>
          <w:color w:val="000000"/>
          <w:szCs w:val="21"/>
        </w:rPr>
        <w:t>、</w:t>
      </w:r>
      <w:r w:rsidRPr="00560575">
        <w:rPr>
          <w:rFonts w:ascii="Tahoma" w:hint="eastAsia"/>
          <w:bCs/>
          <w:color w:val="000000"/>
          <w:szCs w:val="21"/>
        </w:rPr>
        <w:t>证券代码</w:t>
      </w:r>
      <w:r>
        <w:rPr>
          <w:rFonts w:ascii="Tahoma" w:hint="eastAsia"/>
          <w:bCs/>
          <w:color w:val="000000"/>
          <w:szCs w:val="21"/>
        </w:rPr>
        <w:t>、</w:t>
      </w:r>
      <w:r w:rsidRPr="00560575">
        <w:rPr>
          <w:rFonts w:ascii="Tahoma" w:hint="eastAsia"/>
          <w:bCs/>
          <w:color w:val="000000"/>
          <w:szCs w:val="21"/>
        </w:rPr>
        <w:t>股东代码</w:t>
      </w:r>
      <w:r>
        <w:rPr>
          <w:rFonts w:ascii="Tahoma" w:hint="eastAsia"/>
          <w:bCs/>
          <w:color w:val="000000"/>
          <w:szCs w:val="21"/>
        </w:rPr>
        <w:t>、</w:t>
      </w:r>
      <w:r w:rsidRPr="00560575">
        <w:rPr>
          <w:rFonts w:ascii="Tahoma" w:hint="eastAsia"/>
          <w:bCs/>
          <w:color w:val="000000"/>
          <w:szCs w:val="21"/>
        </w:rPr>
        <w:t>委托数量</w:t>
      </w:r>
      <w:r>
        <w:rPr>
          <w:rFonts w:ascii="Tahoma" w:hint="eastAsia"/>
          <w:bCs/>
          <w:color w:val="000000"/>
          <w:szCs w:val="21"/>
        </w:rPr>
        <w:t>、</w:t>
      </w:r>
      <w:r w:rsidRPr="00560575">
        <w:rPr>
          <w:rFonts w:ascii="Tahoma" w:hint="eastAsia"/>
          <w:bCs/>
          <w:color w:val="000000"/>
          <w:szCs w:val="21"/>
        </w:rPr>
        <w:t>委托价格</w:t>
      </w:r>
      <w:r>
        <w:rPr>
          <w:rFonts w:ascii="Tahoma" w:hint="eastAsia"/>
          <w:bCs/>
          <w:color w:val="000000"/>
          <w:szCs w:val="21"/>
        </w:rPr>
        <w:t>、</w:t>
      </w:r>
      <w:r w:rsidRPr="00560575">
        <w:rPr>
          <w:rFonts w:ascii="Tahoma" w:hint="eastAsia"/>
          <w:bCs/>
          <w:color w:val="000000"/>
          <w:szCs w:val="21"/>
        </w:rPr>
        <w:t>联系人</w:t>
      </w:r>
      <w:r>
        <w:rPr>
          <w:rFonts w:ascii="Tahoma" w:hint="eastAsia"/>
          <w:bCs/>
          <w:color w:val="000000"/>
          <w:szCs w:val="21"/>
        </w:rPr>
        <w:t>、</w:t>
      </w:r>
      <w:r w:rsidRPr="00560575">
        <w:rPr>
          <w:rFonts w:ascii="Tahoma" w:hint="eastAsia"/>
          <w:bCs/>
          <w:color w:val="000000"/>
          <w:szCs w:val="21"/>
        </w:rPr>
        <w:t>联系方式</w:t>
      </w:r>
      <w:r>
        <w:rPr>
          <w:rFonts w:ascii="Tahoma" w:hint="eastAsia"/>
          <w:bCs/>
          <w:color w:val="000000"/>
          <w:szCs w:val="21"/>
        </w:rPr>
        <w:t>。</w:t>
      </w:r>
    </w:p>
    <w:p w:rsidR="00125A37" w:rsidRDefault="00125A37" w:rsidP="00125A37">
      <w:pPr>
        <w:pStyle w:val="a0"/>
        <w:spacing w:line="360" w:lineRule="auto"/>
        <w:ind w:left="840" w:firstLine="0"/>
      </w:pPr>
      <w:r>
        <w:rPr>
          <w:rFonts w:ascii="Tahoma" w:hint="eastAsia"/>
          <w:bCs/>
          <w:color w:val="000000"/>
          <w:szCs w:val="21"/>
        </w:rPr>
        <w:t>委托类别：买入：</w:t>
      </w:r>
      <w:r>
        <w:rPr>
          <w:rFonts w:ascii="Tahoma" w:hint="eastAsia"/>
          <w:bCs/>
          <w:color w:val="000000"/>
          <w:szCs w:val="21"/>
        </w:rPr>
        <w:t xml:space="preserve">HB  </w:t>
      </w:r>
      <w:r>
        <w:rPr>
          <w:rFonts w:ascii="Tahoma" w:hint="eastAsia"/>
          <w:bCs/>
          <w:color w:val="000000"/>
          <w:szCs w:val="21"/>
        </w:rPr>
        <w:t>卖出：</w:t>
      </w:r>
      <w:r>
        <w:rPr>
          <w:rFonts w:ascii="Tahoma" w:hint="eastAsia"/>
          <w:bCs/>
          <w:color w:val="000000"/>
          <w:szCs w:val="21"/>
        </w:rPr>
        <w:t xml:space="preserve">HS  </w:t>
      </w:r>
      <w:r>
        <w:rPr>
          <w:rFonts w:ascii="Tahoma" w:hint="eastAsia"/>
          <w:bCs/>
          <w:color w:val="000000"/>
          <w:szCs w:val="21"/>
        </w:rPr>
        <w:t>撤单：</w:t>
      </w:r>
      <w:r>
        <w:rPr>
          <w:rFonts w:ascii="Tahoma" w:hint="eastAsia"/>
          <w:bCs/>
          <w:color w:val="000000"/>
          <w:szCs w:val="21"/>
        </w:rPr>
        <w:t>HC</w:t>
      </w:r>
      <w:r>
        <w:rPr>
          <w:rFonts w:ascii="Tahoma" w:hint="eastAsia"/>
          <w:bCs/>
          <w:color w:val="000000"/>
          <w:szCs w:val="21"/>
        </w:rPr>
        <w:t>。</w:t>
      </w:r>
    </w:p>
    <w:p w:rsidR="00125A37" w:rsidRDefault="00125A37" w:rsidP="00125A37">
      <w:pPr>
        <w:pStyle w:val="a0"/>
        <w:numPr>
          <w:ilvl w:val="0"/>
          <w:numId w:val="4"/>
        </w:numPr>
        <w:spacing w:line="360" w:lineRule="auto"/>
      </w:pPr>
      <w:r>
        <w:rPr>
          <w:rFonts w:hint="eastAsia"/>
        </w:rPr>
        <w:t>定价申报</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t>为股民的买卖委托，</w:t>
      </w:r>
      <w:proofErr w:type="gramStart"/>
      <w:r>
        <w:rPr>
          <w:rFonts w:ascii="Tahoma" w:hint="eastAsia"/>
          <w:bCs/>
          <w:color w:val="000000"/>
          <w:szCs w:val="21"/>
        </w:rPr>
        <w:t>付有成交</w:t>
      </w:r>
      <w:proofErr w:type="gramEnd"/>
      <w:r>
        <w:rPr>
          <w:rFonts w:ascii="Tahoma" w:hint="eastAsia"/>
          <w:bCs/>
          <w:color w:val="000000"/>
          <w:szCs w:val="21"/>
        </w:rPr>
        <w:t>义务。委托要素为：</w:t>
      </w:r>
      <w:r w:rsidRPr="00103979">
        <w:rPr>
          <w:rFonts w:ascii="Tahoma" w:hint="eastAsia"/>
          <w:bCs/>
          <w:color w:val="000000"/>
          <w:szCs w:val="21"/>
        </w:rPr>
        <w:t>合同序号</w:t>
      </w:r>
      <w:r>
        <w:rPr>
          <w:rFonts w:ascii="Tahoma" w:hint="eastAsia"/>
          <w:bCs/>
          <w:color w:val="000000"/>
          <w:szCs w:val="21"/>
        </w:rPr>
        <w:t>、</w:t>
      </w:r>
      <w:r w:rsidRPr="00103979">
        <w:rPr>
          <w:rFonts w:ascii="Tahoma" w:hint="eastAsia"/>
          <w:bCs/>
          <w:color w:val="000000"/>
          <w:szCs w:val="21"/>
        </w:rPr>
        <w:t>证券代码</w:t>
      </w:r>
      <w:r>
        <w:rPr>
          <w:rFonts w:ascii="Tahoma" w:hint="eastAsia"/>
          <w:bCs/>
          <w:color w:val="000000"/>
          <w:szCs w:val="21"/>
        </w:rPr>
        <w:t>、股东代码、</w:t>
      </w:r>
      <w:r w:rsidRPr="00103979">
        <w:rPr>
          <w:rFonts w:ascii="Tahoma" w:hint="eastAsia"/>
          <w:bCs/>
          <w:color w:val="000000"/>
          <w:szCs w:val="21"/>
        </w:rPr>
        <w:t>委托数量</w:t>
      </w:r>
      <w:r>
        <w:rPr>
          <w:rFonts w:ascii="Tahoma" w:hint="eastAsia"/>
          <w:bCs/>
          <w:color w:val="000000"/>
          <w:szCs w:val="21"/>
        </w:rPr>
        <w:t>、</w:t>
      </w:r>
      <w:r w:rsidRPr="00103979">
        <w:rPr>
          <w:rFonts w:ascii="Tahoma" w:hint="eastAsia"/>
          <w:bCs/>
          <w:color w:val="000000"/>
          <w:szCs w:val="21"/>
        </w:rPr>
        <w:t>委托价格</w:t>
      </w:r>
      <w:r>
        <w:rPr>
          <w:rFonts w:ascii="Tahoma" w:hint="eastAsia"/>
          <w:bCs/>
          <w:color w:val="000000"/>
          <w:szCs w:val="21"/>
        </w:rPr>
        <w:t>、联系人、联系方式。</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t>委托类别：买入：</w:t>
      </w:r>
      <w:r>
        <w:rPr>
          <w:rFonts w:ascii="Tahoma" w:hint="eastAsia"/>
          <w:bCs/>
          <w:color w:val="000000"/>
          <w:szCs w:val="21"/>
        </w:rPr>
        <w:t xml:space="preserve">OB  </w:t>
      </w:r>
      <w:r>
        <w:rPr>
          <w:rFonts w:ascii="Tahoma" w:hint="eastAsia"/>
          <w:bCs/>
          <w:color w:val="000000"/>
          <w:szCs w:val="21"/>
        </w:rPr>
        <w:t>卖出：</w:t>
      </w:r>
      <w:r>
        <w:rPr>
          <w:rFonts w:ascii="Tahoma" w:hint="eastAsia"/>
          <w:bCs/>
          <w:color w:val="000000"/>
          <w:szCs w:val="21"/>
        </w:rPr>
        <w:t xml:space="preserve">OS  </w:t>
      </w:r>
      <w:r>
        <w:rPr>
          <w:rFonts w:ascii="Tahoma" w:hint="eastAsia"/>
          <w:bCs/>
          <w:color w:val="000000"/>
          <w:szCs w:val="21"/>
        </w:rPr>
        <w:t>撤单：</w:t>
      </w:r>
      <w:r>
        <w:rPr>
          <w:rFonts w:ascii="Tahoma" w:hint="eastAsia"/>
          <w:bCs/>
          <w:color w:val="000000"/>
          <w:szCs w:val="21"/>
        </w:rPr>
        <w:t>OC</w:t>
      </w:r>
      <w:r>
        <w:rPr>
          <w:rFonts w:ascii="Tahoma" w:hint="eastAsia"/>
          <w:bCs/>
          <w:color w:val="000000"/>
          <w:szCs w:val="21"/>
        </w:rPr>
        <w:t>。</w:t>
      </w:r>
    </w:p>
    <w:p w:rsidR="00125A37" w:rsidRDefault="00125A37" w:rsidP="00125A37">
      <w:pPr>
        <w:pStyle w:val="a0"/>
        <w:numPr>
          <w:ilvl w:val="0"/>
          <w:numId w:val="4"/>
        </w:numPr>
        <w:spacing w:line="360" w:lineRule="auto"/>
      </w:pPr>
      <w:r>
        <w:rPr>
          <w:rFonts w:hint="eastAsia"/>
        </w:rPr>
        <w:t>成交申报</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t>对意向委托的确认，当股民看到意向委托后，可以根据联系方式和对手方进行电话协商，协商好价格和数量后，确定一约定号，双方发</w:t>
      </w:r>
      <w:proofErr w:type="gramStart"/>
      <w:r>
        <w:rPr>
          <w:rFonts w:ascii="Tahoma" w:hint="eastAsia"/>
          <w:bCs/>
          <w:color w:val="000000"/>
          <w:szCs w:val="21"/>
        </w:rPr>
        <w:t>成交成交</w:t>
      </w:r>
      <w:proofErr w:type="gramEnd"/>
      <w:r>
        <w:rPr>
          <w:rFonts w:ascii="Tahoma" w:hint="eastAsia"/>
          <w:bCs/>
          <w:color w:val="000000"/>
          <w:szCs w:val="21"/>
        </w:rPr>
        <w:t>申报。</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t>对定价申报可以配对成交，股民可以根据看到的定价委托，进行直接发确认委托，可以修改确认数量，但不能修改确认价格。</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lastRenderedPageBreak/>
        <w:t>委托要素为：</w:t>
      </w:r>
      <w:r w:rsidRPr="00103979">
        <w:rPr>
          <w:rFonts w:ascii="Tahoma" w:hint="eastAsia"/>
          <w:bCs/>
          <w:color w:val="000000"/>
          <w:szCs w:val="21"/>
        </w:rPr>
        <w:t>合同序号</w:t>
      </w:r>
      <w:r>
        <w:rPr>
          <w:rFonts w:ascii="Tahoma" w:hint="eastAsia"/>
          <w:bCs/>
          <w:color w:val="000000"/>
          <w:szCs w:val="21"/>
        </w:rPr>
        <w:t>、</w:t>
      </w:r>
      <w:r w:rsidRPr="00103979">
        <w:rPr>
          <w:rFonts w:ascii="Tahoma" w:hint="eastAsia"/>
          <w:bCs/>
          <w:color w:val="000000"/>
          <w:szCs w:val="21"/>
        </w:rPr>
        <w:t>证券代码</w:t>
      </w:r>
      <w:r>
        <w:rPr>
          <w:rFonts w:ascii="Tahoma" w:hint="eastAsia"/>
          <w:bCs/>
          <w:color w:val="000000"/>
          <w:szCs w:val="21"/>
        </w:rPr>
        <w:t>、股东代码、</w:t>
      </w:r>
      <w:r w:rsidRPr="00103979">
        <w:rPr>
          <w:rFonts w:ascii="Tahoma" w:hint="eastAsia"/>
          <w:bCs/>
          <w:color w:val="000000"/>
          <w:szCs w:val="21"/>
        </w:rPr>
        <w:t>委托数量</w:t>
      </w:r>
      <w:r>
        <w:rPr>
          <w:rFonts w:ascii="Tahoma" w:hint="eastAsia"/>
          <w:bCs/>
          <w:color w:val="000000"/>
          <w:szCs w:val="21"/>
        </w:rPr>
        <w:t>、</w:t>
      </w:r>
      <w:r w:rsidRPr="00103979">
        <w:rPr>
          <w:rFonts w:ascii="Tahoma" w:hint="eastAsia"/>
          <w:bCs/>
          <w:color w:val="000000"/>
          <w:szCs w:val="21"/>
        </w:rPr>
        <w:t>委托价格</w:t>
      </w:r>
      <w:r>
        <w:rPr>
          <w:rFonts w:ascii="Tahoma" w:hint="eastAsia"/>
          <w:bCs/>
          <w:color w:val="000000"/>
          <w:szCs w:val="21"/>
        </w:rPr>
        <w:t>、对方单元、约定号、联系人、联系方式。</w:t>
      </w:r>
    </w:p>
    <w:p w:rsidR="00125A37" w:rsidRDefault="00125A37" w:rsidP="00125A37">
      <w:pPr>
        <w:pStyle w:val="a0"/>
        <w:spacing w:line="360" w:lineRule="auto"/>
        <w:ind w:left="840" w:firstLine="0"/>
        <w:rPr>
          <w:rFonts w:ascii="Tahoma"/>
          <w:bCs/>
          <w:color w:val="000000"/>
          <w:szCs w:val="21"/>
        </w:rPr>
      </w:pPr>
      <w:r>
        <w:rPr>
          <w:rFonts w:ascii="Tahoma" w:hint="eastAsia"/>
          <w:bCs/>
          <w:color w:val="000000"/>
          <w:szCs w:val="21"/>
        </w:rPr>
        <w:t>委托类别：买入：</w:t>
      </w:r>
      <w:r>
        <w:rPr>
          <w:rFonts w:ascii="Tahoma" w:hint="eastAsia"/>
          <w:bCs/>
          <w:color w:val="000000"/>
          <w:szCs w:val="21"/>
        </w:rPr>
        <w:t xml:space="preserve">1B  </w:t>
      </w:r>
      <w:r>
        <w:rPr>
          <w:rFonts w:ascii="Tahoma" w:hint="eastAsia"/>
          <w:bCs/>
          <w:color w:val="000000"/>
          <w:szCs w:val="21"/>
        </w:rPr>
        <w:t>卖出：</w:t>
      </w:r>
      <w:r>
        <w:rPr>
          <w:rFonts w:ascii="Tahoma" w:hint="eastAsia"/>
          <w:bCs/>
          <w:color w:val="000000"/>
          <w:szCs w:val="21"/>
        </w:rPr>
        <w:t xml:space="preserve">1S  </w:t>
      </w:r>
      <w:r>
        <w:rPr>
          <w:rFonts w:ascii="Tahoma" w:hint="eastAsia"/>
          <w:bCs/>
          <w:color w:val="000000"/>
          <w:szCs w:val="21"/>
        </w:rPr>
        <w:t>撤单：</w:t>
      </w:r>
      <w:r>
        <w:rPr>
          <w:rFonts w:ascii="Tahoma" w:hint="eastAsia"/>
          <w:bCs/>
          <w:color w:val="000000"/>
          <w:szCs w:val="21"/>
        </w:rPr>
        <w:t>1C</w:t>
      </w:r>
      <w:r>
        <w:rPr>
          <w:rFonts w:ascii="Tahoma" w:hint="eastAsia"/>
          <w:bCs/>
          <w:color w:val="000000"/>
          <w:szCs w:val="21"/>
        </w:rPr>
        <w:t>。</w:t>
      </w:r>
    </w:p>
    <w:p w:rsidR="00125A37" w:rsidRPr="00E60A04" w:rsidRDefault="00125A37" w:rsidP="002A04AB">
      <w:pPr>
        <w:pStyle w:val="3"/>
        <w:numPr>
          <w:ilvl w:val="0"/>
          <w:numId w:val="0"/>
        </w:numPr>
      </w:pPr>
      <w:r w:rsidRPr="00E60A04">
        <w:rPr>
          <w:rFonts w:hint="eastAsia"/>
        </w:rPr>
        <w:t>撤单支持</w:t>
      </w:r>
    </w:p>
    <w:p w:rsidR="00125A37" w:rsidRDefault="00125A37" w:rsidP="00125A37">
      <w:pPr>
        <w:pStyle w:val="a0"/>
        <w:spacing w:line="360" w:lineRule="auto"/>
        <w:ind w:firstLineChars="200"/>
      </w:pPr>
      <w:r>
        <w:rPr>
          <w:rFonts w:hint="eastAsia"/>
        </w:rPr>
        <w:t>委托当日有效。</w:t>
      </w:r>
    </w:p>
    <w:p w:rsidR="00125A37" w:rsidRDefault="00125A37" w:rsidP="00125A37">
      <w:pPr>
        <w:pStyle w:val="a0"/>
        <w:spacing w:line="360" w:lineRule="auto"/>
        <w:ind w:firstLineChars="200"/>
      </w:pPr>
      <w:r w:rsidRPr="0011411A">
        <w:rPr>
          <w:rFonts w:hint="eastAsia"/>
        </w:rPr>
        <w:t>意向申报当日有效，当日可以撤单。</w:t>
      </w:r>
    </w:p>
    <w:p w:rsidR="00125A37" w:rsidRDefault="00125A37" w:rsidP="00125A37">
      <w:pPr>
        <w:pStyle w:val="a0"/>
        <w:spacing w:line="360" w:lineRule="auto"/>
        <w:ind w:firstLineChars="200"/>
      </w:pPr>
      <w:r w:rsidRPr="004B0217">
        <w:rPr>
          <w:rFonts w:hint="eastAsia"/>
        </w:rPr>
        <w:t>定价申报当日有效，未成交部分当日可以撤单。</w:t>
      </w:r>
    </w:p>
    <w:p w:rsidR="00125A37" w:rsidRPr="00A72795" w:rsidRDefault="00125A37" w:rsidP="00125A37">
      <w:pPr>
        <w:pStyle w:val="a0"/>
        <w:spacing w:line="360" w:lineRule="auto"/>
        <w:ind w:firstLineChars="200"/>
      </w:pPr>
      <w:r w:rsidRPr="00522EE5">
        <w:rPr>
          <w:rFonts w:hint="eastAsia"/>
        </w:rPr>
        <w:t>成交申报当日有效，当日未被确认成交前可以撤单。</w:t>
      </w:r>
    </w:p>
    <w:p w:rsidR="00125A37" w:rsidRPr="00E60A04" w:rsidRDefault="00125A37" w:rsidP="002A04AB">
      <w:pPr>
        <w:pStyle w:val="3"/>
        <w:numPr>
          <w:ilvl w:val="0"/>
          <w:numId w:val="0"/>
        </w:numPr>
      </w:pPr>
      <w:r w:rsidRPr="00E60A04">
        <w:rPr>
          <w:rFonts w:hint="eastAsia"/>
        </w:rPr>
        <w:t>约定号</w:t>
      </w:r>
    </w:p>
    <w:p w:rsidR="00125A37" w:rsidRPr="000E6296" w:rsidRDefault="00125A37" w:rsidP="00125A37">
      <w:pPr>
        <w:pStyle w:val="a0"/>
        <w:spacing w:line="360" w:lineRule="auto"/>
        <w:ind w:firstLineChars="200"/>
      </w:pPr>
      <w:r w:rsidRPr="000E6296">
        <w:rPr>
          <w:rFonts w:hint="eastAsia"/>
        </w:rPr>
        <w:t>交易所主机配对成交的撮合要素。由双方客户商量确定，只有约定号、席位、对手方席位、买卖方向一致的成交申报（定价申报配对成交申报约定号由交易所主机自动处理）才能撮合配对。</w:t>
      </w:r>
    </w:p>
    <w:p w:rsidR="00125A37" w:rsidRPr="000E6296" w:rsidRDefault="00125A37" w:rsidP="00125A37">
      <w:pPr>
        <w:pStyle w:val="a0"/>
        <w:spacing w:line="360" w:lineRule="auto"/>
        <w:ind w:firstLineChars="200"/>
      </w:pPr>
      <w:r w:rsidRPr="000E6296">
        <w:rPr>
          <w:rFonts w:hint="eastAsia"/>
        </w:rPr>
        <w:t>约定号取值范围</w:t>
      </w:r>
      <w:r w:rsidRPr="000E6296">
        <w:rPr>
          <w:rFonts w:hint="eastAsia"/>
        </w:rPr>
        <w:t>[0~99999999]</w:t>
      </w:r>
      <w:r w:rsidRPr="000E6296">
        <w:rPr>
          <w:rFonts w:hint="eastAsia"/>
        </w:rPr>
        <w:t>。</w:t>
      </w:r>
      <w:r w:rsidRPr="000E6296">
        <w:rPr>
          <w:rFonts w:hint="eastAsia"/>
        </w:rPr>
        <w:t>[0, 999999]</w:t>
      </w:r>
      <w:r w:rsidRPr="000E6296">
        <w:rPr>
          <w:rFonts w:hint="eastAsia"/>
        </w:rPr>
        <w:t>区段留给券商协商成交；</w:t>
      </w:r>
      <w:r w:rsidRPr="000E6296">
        <w:rPr>
          <w:rFonts w:hint="eastAsia"/>
        </w:rPr>
        <w:t>[1000000, 99999999]</w:t>
      </w:r>
      <w:r w:rsidRPr="000E6296">
        <w:rPr>
          <w:rFonts w:hint="eastAsia"/>
        </w:rPr>
        <w:t>区段留给交易主机自动分配。</w:t>
      </w:r>
    </w:p>
    <w:p w:rsidR="00125A37" w:rsidRPr="000E6296" w:rsidRDefault="00125A37" w:rsidP="00125A37">
      <w:pPr>
        <w:pStyle w:val="a0"/>
        <w:spacing w:line="360" w:lineRule="auto"/>
        <w:ind w:firstLineChars="200"/>
      </w:pPr>
      <w:r w:rsidRPr="000E6296">
        <w:rPr>
          <w:rFonts w:hint="eastAsia"/>
        </w:rPr>
        <w:t>成交申报的约定号处于</w:t>
      </w:r>
      <w:r w:rsidRPr="000E6296">
        <w:rPr>
          <w:rFonts w:hint="eastAsia"/>
        </w:rPr>
        <w:t>[0, 999999]</w:t>
      </w:r>
      <w:r w:rsidRPr="000E6296">
        <w:rPr>
          <w:rFonts w:hint="eastAsia"/>
        </w:rPr>
        <w:t>区段时，表示</w:t>
      </w:r>
      <w:proofErr w:type="gramStart"/>
      <w:r w:rsidRPr="000E6296">
        <w:rPr>
          <w:rFonts w:hint="eastAsia"/>
        </w:rPr>
        <w:t>本成交</w:t>
      </w:r>
      <w:proofErr w:type="gramEnd"/>
      <w:r w:rsidRPr="000E6296">
        <w:rPr>
          <w:rFonts w:hint="eastAsia"/>
        </w:rPr>
        <w:t>申报的对手方也是成交申报；成交申报的约定号处于</w:t>
      </w:r>
      <w:r w:rsidRPr="000E6296">
        <w:rPr>
          <w:rFonts w:hint="eastAsia"/>
        </w:rPr>
        <w:t>[1000000, 99999999]</w:t>
      </w:r>
      <w:r w:rsidRPr="000E6296">
        <w:rPr>
          <w:rFonts w:hint="eastAsia"/>
        </w:rPr>
        <w:t>区段时，表示</w:t>
      </w:r>
      <w:proofErr w:type="gramStart"/>
      <w:r w:rsidRPr="000E6296">
        <w:rPr>
          <w:rFonts w:hint="eastAsia"/>
        </w:rPr>
        <w:t>本成交</w:t>
      </w:r>
      <w:proofErr w:type="gramEnd"/>
      <w:r w:rsidRPr="000E6296">
        <w:rPr>
          <w:rFonts w:hint="eastAsia"/>
        </w:rPr>
        <w:t>申报的对手方为定价申报。</w:t>
      </w:r>
    </w:p>
    <w:p w:rsidR="00125A37" w:rsidRPr="00E60A04" w:rsidRDefault="00125A37" w:rsidP="002A04AB">
      <w:pPr>
        <w:pStyle w:val="3"/>
        <w:numPr>
          <w:ilvl w:val="0"/>
          <w:numId w:val="0"/>
        </w:numPr>
      </w:pPr>
      <w:bookmarkStart w:id="0" w:name="_GoBack"/>
      <w:bookmarkEnd w:id="0"/>
      <w:r w:rsidRPr="00E60A04">
        <w:rPr>
          <w:rFonts w:hint="eastAsia"/>
        </w:rPr>
        <w:t>即时确认</w:t>
      </w:r>
    </w:p>
    <w:p w:rsidR="00125A37" w:rsidRDefault="00125A37" w:rsidP="00125A37">
      <w:pPr>
        <w:pStyle w:val="a0"/>
        <w:spacing w:line="360" w:lineRule="auto"/>
        <w:ind w:firstLineChars="200"/>
      </w:pPr>
      <w:r>
        <w:rPr>
          <w:rFonts w:hint="eastAsia"/>
        </w:rPr>
        <w:t>即时确认的含义：协议平台在【</w:t>
      </w:r>
      <w:r>
        <w:rPr>
          <w:rFonts w:hint="eastAsia"/>
        </w:rPr>
        <w:t>9:15, 11:30</w:t>
      </w:r>
      <w:r>
        <w:rPr>
          <w:rFonts w:hint="eastAsia"/>
        </w:rPr>
        <w:t>】、【</w:t>
      </w:r>
      <w:r>
        <w:rPr>
          <w:rFonts w:hint="eastAsia"/>
        </w:rPr>
        <w:t>13:00, 15:30</w:t>
      </w:r>
      <w:r>
        <w:rPr>
          <w:rFonts w:hint="eastAsia"/>
        </w:rPr>
        <w:t>】期间接收到投资者的申报指令后立即处理该申报指令。</w:t>
      </w:r>
    </w:p>
    <w:p w:rsidR="00125A37" w:rsidRDefault="00125A37" w:rsidP="00125A37">
      <w:pPr>
        <w:pStyle w:val="a0"/>
        <w:spacing w:line="360" w:lineRule="auto"/>
        <w:ind w:firstLineChars="200"/>
      </w:pPr>
      <w:r>
        <w:rPr>
          <w:rFonts w:hint="eastAsia"/>
        </w:rPr>
        <w:t>盘后确认的含义：协议平台在【</w:t>
      </w:r>
      <w:r>
        <w:rPr>
          <w:rFonts w:hint="eastAsia"/>
        </w:rPr>
        <w:t>9:15, 11:30</w:t>
      </w:r>
      <w:r>
        <w:rPr>
          <w:rFonts w:hint="eastAsia"/>
        </w:rPr>
        <w:t>】、【</w:t>
      </w:r>
      <w:r>
        <w:rPr>
          <w:rFonts w:hint="eastAsia"/>
        </w:rPr>
        <w:t>13:00, 15:00</w:t>
      </w:r>
      <w:r>
        <w:rPr>
          <w:rFonts w:hint="eastAsia"/>
        </w:rPr>
        <w:t>】期间接收到投资者的申报指令后并不立即处理，需等待竞价交易系统闭市（</w:t>
      </w:r>
      <w:r>
        <w:rPr>
          <w:rFonts w:hint="eastAsia"/>
        </w:rPr>
        <w:t>15:00</w:t>
      </w:r>
      <w:r>
        <w:rPr>
          <w:rFonts w:hint="eastAsia"/>
        </w:rPr>
        <w:t>）后才开始顺序处理已接收到的申报指令。</w:t>
      </w:r>
    </w:p>
    <w:p w:rsidR="00125A37" w:rsidRPr="001C3C92" w:rsidRDefault="00125A37" w:rsidP="00125A37">
      <w:pPr>
        <w:pStyle w:val="a0"/>
        <w:rPr>
          <w:rFonts w:ascii="宋体" w:hAnsi="宋体"/>
          <w:b/>
          <w:sz w:val="24"/>
          <w:szCs w:val="24"/>
        </w:rPr>
      </w:pPr>
    </w:p>
    <w:tbl>
      <w:tblPr>
        <w:tblW w:w="0" w:type="auto"/>
        <w:jc w:val="center"/>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1710"/>
        <w:gridCol w:w="1984"/>
        <w:gridCol w:w="1985"/>
      </w:tblGrid>
      <w:tr w:rsidR="00125A37" w:rsidTr="00A34215">
        <w:trPr>
          <w:jc w:val="center"/>
        </w:trPr>
        <w:tc>
          <w:tcPr>
            <w:tcW w:w="1628" w:type="dxa"/>
            <w:shd w:val="clear" w:color="auto" w:fill="BFBFBF"/>
          </w:tcPr>
          <w:p w:rsidR="00125A37" w:rsidRDefault="00125A37" w:rsidP="00A34215">
            <w:r w:rsidRPr="00B11056">
              <w:rPr>
                <w:rFonts w:hint="eastAsia"/>
              </w:rPr>
              <w:t>申报类型</w:t>
            </w:r>
          </w:p>
        </w:tc>
        <w:tc>
          <w:tcPr>
            <w:tcW w:w="1710" w:type="dxa"/>
            <w:shd w:val="clear" w:color="auto" w:fill="BFBFBF"/>
          </w:tcPr>
          <w:p w:rsidR="00125A37" w:rsidRDefault="00125A37" w:rsidP="00A34215">
            <w:r w:rsidRPr="00B11056">
              <w:rPr>
                <w:rFonts w:hint="eastAsia"/>
              </w:rPr>
              <w:t>公司债券</w:t>
            </w:r>
          </w:p>
        </w:tc>
        <w:tc>
          <w:tcPr>
            <w:tcW w:w="1984" w:type="dxa"/>
            <w:shd w:val="clear" w:color="auto" w:fill="BFBFBF"/>
          </w:tcPr>
          <w:p w:rsidR="00125A37" w:rsidRDefault="00125A37" w:rsidP="00A34215">
            <w:r w:rsidRPr="00B11056">
              <w:rPr>
                <w:rFonts w:hint="eastAsia"/>
              </w:rPr>
              <w:t>专项资产管理计划</w:t>
            </w:r>
          </w:p>
        </w:tc>
        <w:tc>
          <w:tcPr>
            <w:tcW w:w="1985" w:type="dxa"/>
            <w:shd w:val="clear" w:color="auto" w:fill="BFBFBF"/>
          </w:tcPr>
          <w:p w:rsidR="00125A37" w:rsidRDefault="00125A37" w:rsidP="00A34215">
            <w:r w:rsidRPr="00B11056">
              <w:rPr>
                <w:rFonts w:hint="eastAsia"/>
              </w:rPr>
              <w:t>其他的证券种类</w:t>
            </w:r>
          </w:p>
        </w:tc>
      </w:tr>
      <w:tr w:rsidR="00125A37" w:rsidTr="00A34215">
        <w:trPr>
          <w:jc w:val="center"/>
        </w:trPr>
        <w:tc>
          <w:tcPr>
            <w:tcW w:w="1628" w:type="dxa"/>
            <w:shd w:val="clear" w:color="auto" w:fill="auto"/>
          </w:tcPr>
          <w:p w:rsidR="00125A37" w:rsidRDefault="00125A37" w:rsidP="00A34215">
            <w:pPr>
              <w:pStyle w:val="a0"/>
              <w:spacing w:line="360" w:lineRule="auto"/>
              <w:ind w:firstLine="0"/>
            </w:pPr>
            <w:r>
              <w:rPr>
                <w:rFonts w:hint="eastAsia"/>
              </w:rPr>
              <w:t>意向申报</w:t>
            </w:r>
          </w:p>
        </w:tc>
        <w:tc>
          <w:tcPr>
            <w:tcW w:w="1710" w:type="dxa"/>
            <w:shd w:val="clear" w:color="auto" w:fill="auto"/>
          </w:tcPr>
          <w:p w:rsidR="00125A37" w:rsidRDefault="00125A37" w:rsidP="00A34215">
            <w:pPr>
              <w:pStyle w:val="a0"/>
              <w:spacing w:line="360" w:lineRule="auto"/>
              <w:ind w:firstLine="0"/>
            </w:pPr>
            <w:r>
              <w:rPr>
                <w:rFonts w:hint="eastAsia"/>
              </w:rPr>
              <w:t>即时确认</w:t>
            </w:r>
          </w:p>
        </w:tc>
        <w:tc>
          <w:tcPr>
            <w:tcW w:w="1984" w:type="dxa"/>
            <w:shd w:val="clear" w:color="auto" w:fill="auto"/>
          </w:tcPr>
          <w:p w:rsidR="00125A37" w:rsidRDefault="00125A37" w:rsidP="00A34215">
            <w:pPr>
              <w:pStyle w:val="a0"/>
              <w:spacing w:line="360" w:lineRule="auto"/>
              <w:ind w:firstLine="0"/>
            </w:pPr>
            <w:r>
              <w:rPr>
                <w:rFonts w:hint="eastAsia"/>
              </w:rPr>
              <w:t>即时确认</w:t>
            </w:r>
          </w:p>
        </w:tc>
        <w:tc>
          <w:tcPr>
            <w:tcW w:w="1985" w:type="dxa"/>
            <w:shd w:val="clear" w:color="auto" w:fill="auto"/>
          </w:tcPr>
          <w:p w:rsidR="00125A37" w:rsidRDefault="00125A37" w:rsidP="00A34215">
            <w:pPr>
              <w:pStyle w:val="a0"/>
              <w:spacing w:line="360" w:lineRule="auto"/>
              <w:ind w:firstLine="0"/>
            </w:pPr>
            <w:r>
              <w:rPr>
                <w:rFonts w:hint="eastAsia"/>
              </w:rPr>
              <w:t>即时确认</w:t>
            </w:r>
          </w:p>
        </w:tc>
      </w:tr>
      <w:tr w:rsidR="00125A37" w:rsidTr="00A34215">
        <w:trPr>
          <w:jc w:val="center"/>
        </w:trPr>
        <w:tc>
          <w:tcPr>
            <w:tcW w:w="1628" w:type="dxa"/>
            <w:shd w:val="clear" w:color="auto" w:fill="auto"/>
          </w:tcPr>
          <w:p w:rsidR="00125A37" w:rsidRDefault="00125A37" w:rsidP="00A34215">
            <w:pPr>
              <w:pStyle w:val="a0"/>
              <w:spacing w:line="360" w:lineRule="auto"/>
              <w:ind w:firstLine="0"/>
            </w:pPr>
            <w:r>
              <w:rPr>
                <w:rFonts w:hint="eastAsia"/>
              </w:rPr>
              <w:t>定价申报</w:t>
            </w:r>
          </w:p>
        </w:tc>
        <w:tc>
          <w:tcPr>
            <w:tcW w:w="1710" w:type="dxa"/>
            <w:shd w:val="clear" w:color="auto" w:fill="auto"/>
          </w:tcPr>
          <w:p w:rsidR="00125A37" w:rsidRDefault="00125A37" w:rsidP="00A34215">
            <w:pPr>
              <w:pStyle w:val="a0"/>
              <w:spacing w:line="360" w:lineRule="auto"/>
              <w:ind w:firstLine="0"/>
            </w:pPr>
            <w:r>
              <w:rPr>
                <w:rFonts w:hint="eastAsia"/>
              </w:rPr>
              <w:t>即时确认</w:t>
            </w:r>
          </w:p>
        </w:tc>
        <w:tc>
          <w:tcPr>
            <w:tcW w:w="1984" w:type="dxa"/>
            <w:shd w:val="clear" w:color="auto" w:fill="auto"/>
          </w:tcPr>
          <w:p w:rsidR="00125A37" w:rsidRDefault="00125A37" w:rsidP="00A34215">
            <w:pPr>
              <w:pStyle w:val="a0"/>
              <w:spacing w:line="360" w:lineRule="auto"/>
              <w:ind w:firstLine="0"/>
            </w:pPr>
            <w:r>
              <w:rPr>
                <w:rFonts w:hint="eastAsia"/>
              </w:rPr>
              <w:t>即时确认</w:t>
            </w:r>
          </w:p>
        </w:tc>
        <w:tc>
          <w:tcPr>
            <w:tcW w:w="1985" w:type="dxa"/>
            <w:shd w:val="clear" w:color="auto" w:fill="auto"/>
          </w:tcPr>
          <w:p w:rsidR="00125A37" w:rsidRDefault="00125A37" w:rsidP="00A34215">
            <w:pPr>
              <w:pStyle w:val="a0"/>
              <w:spacing w:line="360" w:lineRule="auto"/>
              <w:ind w:firstLine="0"/>
            </w:pPr>
            <w:r>
              <w:rPr>
                <w:rFonts w:hint="eastAsia"/>
              </w:rPr>
              <w:t>盘后确认</w:t>
            </w:r>
          </w:p>
        </w:tc>
      </w:tr>
      <w:tr w:rsidR="00125A37" w:rsidTr="00A34215">
        <w:trPr>
          <w:jc w:val="center"/>
        </w:trPr>
        <w:tc>
          <w:tcPr>
            <w:tcW w:w="1628" w:type="dxa"/>
            <w:shd w:val="clear" w:color="auto" w:fill="auto"/>
          </w:tcPr>
          <w:p w:rsidR="00125A37" w:rsidRDefault="00125A37" w:rsidP="00A34215">
            <w:pPr>
              <w:pStyle w:val="a0"/>
              <w:spacing w:line="360" w:lineRule="auto"/>
              <w:ind w:firstLine="0"/>
            </w:pPr>
            <w:r>
              <w:rPr>
                <w:rFonts w:hint="eastAsia"/>
              </w:rPr>
              <w:t>成交申报</w:t>
            </w:r>
          </w:p>
        </w:tc>
        <w:tc>
          <w:tcPr>
            <w:tcW w:w="1710" w:type="dxa"/>
            <w:shd w:val="clear" w:color="auto" w:fill="auto"/>
          </w:tcPr>
          <w:p w:rsidR="00125A37" w:rsidRDefault="00125A37" w:rsidP="00A34215">
            <w:pPr>
              <w:pStyle w:val="a0"/>
              <w:spacing w:line="360" w:lineRule="auto"/>
              <w:ind w:firstLine="0"/>
            </w:pPr>
            <w:r>
              <w:rPr>
                <w:rFonts w:hint="eastAsia"/>
              </w:rPr>
              <w:t>即时确认</w:t>
            </w:r>
          </w:p>
        </w:tc>
        <w:tc>
          <w:tcPr>
            <w:tcW w:w="1984" w:type="dxa"/>
            <w:shd w:val="clear" w:color="auto" w:fill="auto"/>
          </w:tcPr>
          <w:p w:rsidR="00125A37" w:rsidRDefault="00125A37" w:rsidP="00A34215">
            <w:pPr>
              <w:pStyle w:val="a0"/>
              <w:spacing w:line="360" w:lineRule="auto"/>
              <w:ind w:firstLine="0"/>
            </w:pPr>
            <w:r>
              <w:rPr>
                <w:rFonts w:hint="eastAsia"/>
              </w:rPr>
              <w:t>即时确认</w:t>
            </w:r>
          </w:p>
        </w:tc>
        <w:tc>
          <w:tcPr>
            <w:tcW w:w="1985" w:type="dxa"/>
            <w:shd w:val="clear" w:color="auto" w:fill="auto"/>
          </w:tcPr>
          <w:p w:rsidR="00125A37" w:rsidRDefault="00125A37" w:rsidP="00A34215">
            <w:pPr>
              <w:pStyle w:val="a0"/>
              <w:spacing w:line="360" w:lineRule="auto"/>
              <w:ind w:firstLine="0"/>
            </w:pPr>
            <w:r>
              <w:rPr>
                <w:rFonts w:hint="eastAsia"/>
              </w:rPr>
              <w:t>盘后确认</w:t>
            </w:r>
          </w:p>
        </w:tc>
      </w:tr>
    </w:tbl>
    <w:p w:rsidR="0026021C" w:rsidRDefault="0026021C"/>
    <w:sectPr w:rsidR="00260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BE9" w:rsidRDefault="006E1BE9" w:rsidP="00125A37">
      <w:r>
        <w:separator/>
      </w:r>
    </w:p>
  </w:endnote>
  <w:endnote w:type="continuationSeparator" w:id="0">
    <w:p w:rsidR="006E1BE9" w:rsidRDefault="006E1BE9" w:rsidP="0012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BE9" w:rsidRDefault="006E1BE9" w:rsidP="00125A37">
      <w:r>
        <w:separator/>
      </w:r>
    </w:p>
  </w:footnote>
  <w:footnote w:type="continuationSeparator" w:id="0">
    <w:p w:rsidR="006E1BE9" w:rsidRDefault="006E1BE9" w:rsidP="00125A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1D6"/>
    <w:multiLevelType w:val="hybridMultilevel"/>
    <w:tmpl w:val="79F89C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647A23"/>
    <w:multiLevelType w:val="hybridMultilevel"/>
    <w:tmpl w:val="A5620A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0387DFB"/>
    <w:multiLevelType w:val="hybridMultilevel"/>
    <w:tmpl w:val="C38681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A230D7D"/>
    <w:multiLevelType w:val="multilevel"/>
    <w:tmpl w:val="9A2E8558"/>
    <w:lvl w:ilvl="0">
      <w:start w:val="1"/>
      <w:numFmt w:val="decimal"/>
      <w:pStyle w:val="1"/>
      <w:lvlText w:val="%1"/>
      <w:lvlJc w:val="righ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7AF"/>
    <w:rsid w:val="00015242"/>
    <w:rsid w:val="00125A37"/>
    <w:rsid w:val="001A77B9"/>
    <w:rsid w:val="0026021C"/>
    <w:rsid w:val="002A04AB"/>
    <w:rsid w:val="00520DD5"/>
    <w:rsid w:val="005B3FAC"/>
    <w:rsid w:val="006C6655"/>
    <w:rsid w:val="006E1BE9"/>
    <w:rsid w:val="008B1643"/>
    <w:rsid w:val="009967AF"/>
    <w:rsid w:val="00DB0E0E"/>
    <w:rsid w:val="00E60A04"/>
    <w:rsid w:val="00EA650B"/>
    <w:rsid w:val="00FD7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A37"/>
    <w:pPr>
      <w:widowControl w:val="0"/>
      <w:jc w:val="both"/>
    </w:pPr>
    <w:rPr>
      <w:rFonts w:ascii="Times New Roman" w:eastAsia="宋体" w:hAnsi="Times New Roman" w:cs="Times New Roman"/>
      <w:szCs w:val="20"/>
    </w:rPr>
  </w:style>
  <w:style w:type="paragraph" w:styleId="1">
    <w:name w:val="heading 1"/>
    <w:basedOn w:val="a"/>
    <w:next w:val="a0"/>
    <w:link w:val="1Char"/>
    <w:autoRedefine/>
    <w:qFormat/>
    <w:rsid w:val="00125A37"/>
    <w:pPr>
      <w:keepNext/>
      <w:keepLines/>
      <w:widowControl/>
      <w:numPr>
        <w:numId w:val="1"/>
      </w:numPr>
      <w:spacing w:before="360" w:after="330"/>
      <w:jc w:val="center"/>
      <w:outlineLvl w:val="0"/>
    </w:pPr>
    <w:rPr>
      <w:b/>
      <w:kern w:val="44"/>
      <w:sz w:val="30"/>
    </w:rPr>
  </w:style>
  <w:style w:type="paragraph" w:styleId="2">
    <w:name w:val="heading 2"/>
    <w:basedOn w:val="a"/>
    <w:next w:val="a0"/>
    <w:link w:val="2Char"/>
    <w:autoRedefine/>
    <w:qFormat/>
    <w:rsid w:val="00E60A04"/>
    <w:pPr>
      <w:keepNext/>
      <w:keepLines/>
      <w:widowControl/>
      <w:spacing w:before="260" w:after="260"/>
      <w:ind w:left="576" w:hanging="576"/>
      <w:jc w:val="left"/>
      <w:outlineLvl w:val="1"/>
    </w:pPr>
    <w:rPr>
      <w:rFonts w:ascii="Arial" w:hAnsi="Arial"/>
      <w:b/>
      <w:noProof/>
      <w:kern w:val="0"/>
      <w:sz w:val="24"/>
    </w:rPr>
  </w:style>
  <w:style w:type="paragraph" w:styleId="3">
    <w:name w:val="heading 3"/>
    <w:basedOn w:val="a"/>
    <w:next w:val="a0"/>
    <w:link w:val="3Char"/>
    <w:autoRedefine/>
    <w:qFormat/>
    <w:rsid w:val="002A04AB"/>
    <w:pPr>
      <w:keepNext/>
      <w:keepLines/>
      <w:widowControl/>
      <w:numPr>
        <w:ilvl w:val="2"/>
        <w:numId w:val="1"/>
      </w:numPr>
      <w:spacing w:before="260" w:after="260"/>
      <w:jc w:val="left"/>
      <w:outlineLvl w:val="2"/>
    </w:pPr>
    <w:rPr>
      <w:b/>
      <w:kern w:val="0"/>
    </w:rPr>
  </w:style>
  <w:style w:type="paragraph" w:styleId="4">
    <w:name w:val="heading 4"/>
    <w:basedOn w:val="a"/>
    <w:next w:val="a0"/>
    <w:link w:val="4Char"/>
    <w:autoRedefine/>
    <w:qFormat/>
    <w:rsid w:val="00125A37"/>
    <w:pPr>
      <w:keepNext/>
      <w:keepLines/>
      <w:widowControl/>
      <w:numPr>
        <w:ilvl w:val="3"/>
        <w:numId w:val="1"/>
      </w:numPr>
      <w:spacing w:before="280" w:after="290" w:line="376" w:lineRule="auto"/>
      <w:jc w:val="left"/>
      <w:outlineLvl w:val="3"/>
    </w:pPr>
    <w:rPr>
      <w:rFonts w:ascii="Arial" w:hAnsi="Arial"/>
      <w:b/>
      <w:noProof/>
      <w:kern w:val="0"/>
    </w:rPr>
  </w:style>
  <w:style w:type="paragraph" w:styleId="5">
    <w:name w:val="heading 5"/>
    <w:basedOn w:val="a"/>
    <w:next w:val="a0"/>
    <w:link w:val="5Char"/>
    <w:qFormat/>
    <w:rsid w:val="00125A37"/>
    <w:pPr>
      <w:keepNext/>
      <w:keepLines/>
      <w:widowControl/>
      <w:numPr>
        <w:ilvl w:val="4"/>
        <w:numId w:val="1"/>
      </w:numPr>
      <w:spacing w:before="280" w:after="290" w:line="376" w:lineRule="auto"/>
      <w:jc w:val="left"/>
      <w:outlineLvl w:val="4"/>
    </w:pPr>
    <w:rPr>
      <w:b/>
      <w:noProof/>
      <w:kern w:val="0"/>
    </w:rPr>
  </w:style>
  <w:style w:type="paragraph" w:styleId="6">
    <w:name w:val="heading 6"/>
    <w:basedOn w:val="a"/>
    <w:next w:val="a0"/>
    <w:link w:val="6Char"/>
    <w:qFormat/>
    <w:rsid w:val="00125A37"/>
    <w:pPr>
      <w:keepNext/>
      <w:keepLines/>
      <w:widowControl/>
      <w:numPr>
        <w:ilvl w:val="5"/>
        <w:numId w:val="1"/>
      </w:numPr>
      <w:spacing w:before="240" w:after="64" w:line="320" w:lineRule="auto"/>
      <w:jc w:val="left"/>
      <w:outlineLvl w:val="5"/>
    </w:pPr>
    <w:rPr>
      <w:rFonts w:ascii="Arial" w:eastAsia="黑体" w:hAnsi="Arial"/>
      <w:b/>
      <w:noProof/>
      <w:kern w:val="0"/>
      <w:sz w:val="24"/>
    </w:rPr>
  </w:style>
  <w:style w:type="paragraph" w:styleId="7">
    <w:name w:val="heading 7"/>
    <w:basedOn w:val="a"/>
    <w:next w:val="a0"/>
    <w:link w:val="7Char"/>
    <w:qFormat/>
    <w:rsid w:val="00125A37"/>
    <w:pPr>
      <w:keepNext/>
      <w:keepLines/>
      <w:widowControl/>
      <w:numPr>
        <w:ilvl w:val="6"/>
        <w:numId w:val="1"/>
      </w:numPr>
      <w:spacing w:before="240" w:after="64" w:line="320" w:lineRule="auto"/>
      <w:jc w:val="left"/>
      <w:outlineLvl w:val="6"/>
    </w:pPr>
    <w:rPr>
      <w:b/>
      <w:noProof/>
      <w:kern w:val="0"/>
      <w:sz w:val="24"/>
    </w:rPr>
  </w:style>
  <w:style w:type="paragraph" w:styleId="8">
    <w:name w:val="heading 8"/>
    <w:basedOn w:val="a"/>
    <w:next w:val="a0"/>
    <w:link w:val="8Char"/>
    <w:qFormat/>
    <w:rsid w:val="00125A37"/>
    <w:pPr>
      <w:keepNext/>
      <w:keepLines/>
      <w:widowControl/>
      <w:numPr>
        <w:ilvl w:val="7"/>
        <w:numId w:val="1"/>
      </w:numPr>
      <w:spacing w:before="240" w:after="64" w:line="320" w:lineRule="auto"/>
      <w:jc w:val="left"/>
      <w:outlineLvl w:val="7"/>
    </w:pPr>
    <w:rPr>
      <w:rFonts w:ascii="Arial" w:eastAsia="黑体" w:hAnsi="Arial"/>
      <w:noProof/>
      <w:kern w:val="0"/>
      <w:sz w:val="24"/>
    </w:rPr>
  </w:style>
  <w:style w:type="paragraph" w:styleId="9">
    <w:name w:val="heading 9"/>
    <w:basedOn w:val="a"/>
    <w:next w:val="a0"/>
    <w:link w:val="9Char"/>
    <w:qFormat/>
    <w:rsid w:val="00125A37"/>
    <w:pPr>
      <w:keepNext/>
      <w:keepLines/>
      <w:widowControl/>
      <w:numPr>
        <w:ilvl w:val="8"/>
        <w:numId w:val="1"/>
      </w:numPr>
      <w:spacing w:before="240" w:after="64" w:line="320" w:lineRule="auto"/>
      <w:jc w:val="left"/>
      <w:outlineLvl w:val="8"/>
    </w:pPr>
    <w:rPr>
      <w:rFonts w:ascii="Arial" w:eastAsia="黑体" w:hAnsi="Arial"/>
      <w:noProof/>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25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25A37"/>
    <w:rPr>
      <w:sz w:val="18"/>
      <w:szCs w:val="18"/>
    </w:rPr>
  </w:style>
  <w:style w:type="paragraph" w:styleId="a5">
    <w:name w:val="footer"/>
    <w:basedOn w:val="a"/>
    <w:link w:val="Char0"/>
    <w:uiPriority w:val="99"/>
    <w:unhideWhenUsed/>
    <w:rsid w:val="00125A37"/>
    <w:pPr>
      <w:tabs>
        <w:tab w:val="center" w:pos="4153"/>
        <w:tab w:val="right" w:pos="8306"/>
      </w:tabs>
      <w:snapToGrid w:val="0"/>
      <w:jc w:val="left"/>
    </w:pPr>
    <w:rPr>
      <w:sz w:val="18"/>
      <w:szCs w:val="18"/>
    </w:rPr>
  </w:style>
  <w:style w:type="character" w:customStyle="1" w:styleId="Char0">
    <w:name w:val="页脚 Char"/>
    <w:basedOn w:val="a1"/>
    <w:link w:val="a5"/>
    <w:uiPriority w:val="99"/>
    <w:rsid w:val="00125A37"/>
    <w:rPr>
      <w:sz w:val="18"/>
      <w:szCs w:val="18"/>
    </w:rPr>
  </w:style>
  <w:style w:type="character" w:customStyle="1" w:styleId="1Char">
    <w:name w:val="标题 1 Char"/>
    <w:basedOn w:val="a1"/>
    <w:link w:val="1"/>
    <w:rsid w:val="00125A37"/>
    <w:rPr>
      <w:rFonts w:ascii="Times New Roman" w:eastAsia="宋体" w:hAnsi="Times New Roman" w:cs="Times New Roman"/>
      <w:b/>
      <w:kern w:val="44"/>
      <w:sz w:val="30"/>
      <w:szCs w:val="20"/>
    </w:rPr>
  </w:style>
  <w:style w:type="character" w:customStyle="1" w:styleId="2Char">
    <w:name w:val="标题 2 Char"/>
    <w:basedOn w:val="a1"/>
    <w:link w:val="2"/>
    <w:rsid w:val="00E60A04"/>
    <w:rPr>
      <w:rFonts w:ascii="Arial" w:eastAsia="宋体" w:hAnsi="Arial" w:cs="Times New Roman"/>
      <w:b/>
      <w:noProof/>
      <w:kern w:val="0"/>
      <w:sz w:val="24"/>
      <w:szCs w:val="20"/>
    </w:rPr>
  </w:style>
  <w:style w:type="character" w:customStyle="1" w:styleId="3Char">
    <w:name w:val="标题 3 Char"/>
    <w:basedOn w:val="a1"/>
    <w:link w:val="3"/>
    <w:rsid w:val="002A04AB"/>
    <w:rPr>
      <w:rFonts w:ascii="Times New Roman" w:eastAsia="宋体" w:hAnsi="Times New Roman" w:cs="Times New Roman"/>
      <w:b/>
      <w:kern w:val="0"/>
      <w:szCs w:val="20"/>
    </w:rPr>
  </w:style>
  <w:style w:type="character" w:customStyle="1" w:styleId="4Char">
    <w:name w:val="标题 4 Char"/>
    <w:basedOn w:val="a1"/>
    <w:link w:val="4"/>
    <w:rsid w:val="00125A37"/>
    <w:rPr>
      <w:rFonts w:ascii="Arial" w:eastAsia="宋体" w:hAnsi="Arial" w:cs="Times New Roman"/>
      <w:b/>
      <w:noProof/>
      <w:kern w:val="0"/>
      <w:szCs w:val="20"/>
    </w:rPr>
  </w:style>
  <w:style w:type="character" w:customStyle="1" w:styleId="5Char">
    <w:name w:val="标题 5 Char"/>
    <w:basedOn w:val="a1"/>
    <w:link w:val="5"/>
    <w:rsid w:val="00125A37"/>
    <w:rPr>
      <w:rFonts w:ascii="Times New Roman" w:eastAsia="宋体" w:hAnsi="Times New Roman" w:cs="Times New Roman"/>
      <w:b/>
      <w:noProof/>
      <w:kern w:val="0"/>
      <w:szCs w:val="20"/>
    </w:rPr>
  </w:style>
  <w:style w:type="character" w:customStyle="1" w:styleId="6Char">
    <w:name w:val="标题 6 Char"/>
    <w:basedOn w:val="a1"/>
    <w:link w:val="6"/>
    <w:rsid w:val="00125A37"/>
    <w:rPr>
      <w:rFonts w:ascii="Arial" w:eastAsia="黑体" w:hAnsi="Arial" w:cs="Times New Roman"/>
      <w:b/>
      <w:noProof/>
      <w:kern w:val="0"/>
      <w:sz w:val="24"/>
      <w:szCs w:val="20"/>
    </w:rPr>
  </w:style>
  <w:style w:type="character" w:customStyle="1" w:styleId="7Char">
    <w:name w:val="标题 7 Char"/>
    <w:basedOn w:val="a1"/>
    <w:link w:val="7"/>
    <w:rsid w:val="00125A37"/>
    <w:rPr>
      <w:rFonts w:ascii="Times New Roman" w:eastAsia="宋体" w:hAnsi="Times New Roman" w:cs="Times New Roman"/>
      <w:b/>
      <w:noProof/>
      <w:kern w:val="0"/>
      <w:sz w:val="24"/>
      <w:szCs w:val="20"/>
    </w:rPr>
  </w:style>
  <w:style w:type="character" w:customStyle="1" w:styleId="8Char">
    <w:name w:val="标题 8 Char"/>
    <w:basedOn w:val="a1"/>
    <w:link w:val="8"/>
    <w:rsid w:val="00125A37"/>
    <w:rPr>
      <w:rFonts w:ascii="Arial" w:eastAsia="黑体" w:hAnsi="Arial" w:cs="Times New Roman"/>
      <w:noProof/>
      <w:kern w:val="0"/>
      <w:sz w:val="24"/>
      <w:szCs w:val="20"/>
    </w:rPr>
  </w:style>
  <w:style w:type="character" w:customStyle="1" w:styleId="9Char">
    <w:name w:val="标题 9 Char"/>
    <w:basedOn w:val="a1"/>
    <w:link w:val="9"/>
    <w:rsid w:val="00125A37"/>
    <w:rPr>
      <w:rFonts w:ascii="Arial" w:eastAsia="黑体" w:hAnsi="Arial" w:cs="Times New Roman"/>
      <w:noProof/>
      <w:kern w:val="0"/>
      <w:szCs w:val="20"/>
    </w:rPr>
  </w:style>
  <w:style w:type="paragraph" w:styleId="a0">
    <w:name w:val="Normal Indent"/>
    <w:aliases w:val="特点,ALT+Z,表正文,正文非缩进"/>
    <w:basedOn w:val="a"/>
    <w:link w:val="Char1"/>
    <w:rsid w:val="00125A37"/>
    <w:pPr>
      <w:ind w:firstLine="420"/>
    </w:pPr>
  </w:style>
  <w:style w:type="character" w:customStyle="1" w:styleId="Char1">
    <w:name w:val="正文缩进 Char"/>
    <w:aliases w:val="特点 Char,ALT+Z Char,表正文 Char,正文非缩进 Char"/>
    <w:link w:val="a0"/>
    <w:rsid w:val="00125A37"/>
    <w:rPr>
      <w:rFonts w:ascii="Times New Roman" w:eastAsia="宋体" w:hAnsi="Times New Roman" w:cs="Times New Roman"/>
      <w:szCs w:val="20"/>
    </w:rPr>
  </w:style>
  <w:style w:type="paragraph" w:styleId="a6">
    <w:name w:val="Balloon Text"/>
    <w:basedOn w:val="a"/>
    <w:link w:val="Char2"/>
    <w:uiPriority w:val="99"/>
    <w:semiHidden/>
    <w:unhideWhenUsed/>
    <w:rsid w:val="00125A37"/>
    <w:rPr>
      <w:sz w:val="18"/>
      <w:szCs w:val="18"/>
    </w:rPr>
  </w:style>
  <w:style w:type="character" w:customStyle="1" w:styleId="Char2">
    <w:name w:val="批注框文本 Char"/>
    <w:basedOn w:val="a1"/>
    <w:link w:val="a6"/>
    <w:uiPriority w:val="99"/>
    <w:semiHidden/>
    <w:rsid w:val="00125A3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A37"/>
    <w:pPr>
      <w:widowControl w:val="0"/>
      <w:jc w:val="both"/>
    </w:pPr>
    <w:rPr>
      <w:rFonts w:ascii="Times New Roman" w:eastAsia="宋体" w:hAnsi="Times New Roman" w:cs="Times New Roman"/>
      <w:szCs w:val="20"/>
    </w:rPr>
  </w:style>
  <w:style w:type="paragraph" w:styleId="1">
    <w:name w:val="heading 1"/>
    <w:basedOn w:val="a"/>
    <w:next w:val="a0"/>
    <w:link w:val="1Char"/>
    <w:autoRedefine/>
    <w:qFormat/>
    <w:rsid w:val="00125A37"/>
    <w:pPr>
      <w:keepNext/>
      <w:keepLines/>
      <w:widowControl/>
      <w:numPr>
        <w:numId w:val="1"/>
      </w:numPr>
      <w:spacing w:before="360" w:after="330"/>
      <w:jc w:val="center"/>
      <w:outlineLvl w:val="0"/>
    </w:pPr>
    <w:rPr>
      <w:b/>
      <w:kern w:val="44"/>
      <w:sz w:val="30"/>
    </w:rPr>
  </w:style>
  <w:style w:type="paragraph" w:styleId="2">
    <w:name w:val="heading 2"/>
    <w:basedOn w:val="a"/>
    <w:next w:val="a0"/>
    <w:link w:val="2Char"/>
    <w:autoRedefine/>
    <w:qFormat/>
    <w:rsid w:val="00E60A04"/>
    <w:pPr>
      <w:keepNext/>
      <w:keepLines/>
      <w:widowControl/>
      <w:spacing w:before="260" w:after="260"/>
      <w:ind w:left="576" w:hanging="576"/>
      <w:jc w:val="left"/>
      <w:outlineLvl w:val="1"/>
    </w:pPr>
    <w:rPr>
      <w:rFonts w:ascii="Arial" w:hAnsi="Arial"/>
      <w:b/>
      <w:noProof/>
      <w:kern w:val="0"/>
      <w:sz w:val="24"/>
    </w:rPr>
  </w:style>
  <w:style w:type="paragraph" w:styleId="3">
    <w:name w:val="heading 3"/>
    <w:basedOn w:val="a"/>
    <w:next w:val="a0"/>
    <w:link w:val="3Char"/>
    <w:autoRedefine/>
    <w:qFormat/>
    <w:rsid w:val="002A04AB"/>
    <w:pPr>
      <w:keepNext/>
      <w:keepLines/>
      <w:widowControl/>
      <w:numPr>
        <w:ilvl w:val="2"/>
        <w:numId w:val="1"/>
      </w:numPr>
      <w:spacing w:before="260" w:after="260"/>
      <w:jc w:val="left"/>
      <w:outlineLvl w:val="2"/>
    </w:pPr>
    <w:rPr>
      <w:b/>
      <w:kern w:val="0"/>
    </w:rPr>
  </w:style>
  <w:style w:type="paragraph" w:styleId="4">
    <w:name w:val="heading 4"/>
    <w:basedOn w:val="a"/>
    <w:next w:val="a0"/>
    <w:link w:val="4Char"/>
    <w:autoRedefine/>
    <w:qFormat/>
    <w:rsid w:val="00125A37"/>
    <w:pPr>
      <w:keepNext/>
      <w:keepLines/>
      <w:widowControl/>
      <w:numPr>
        <w:ilvl w:val="3"/>
        <w:numId w:val="1"/>
      </w:numPr>
      <w:spacing w:before="280" w:after="290" w:line="376" w:lineRule="auto"/>
      <w:jc w:val="left"/>
      <w:outlineLvl w:val="3"/>
    </w:pPr>
    <w:rPr>
      <w:rFonts w:ascii="Arial" w:hAnsi="Arial"/>
      <w:b/>
      <w:noProof/>
      <w:kern w:val="0"/>
    </w:rPr>
  </w:style>
  <w:style w:type="paragraph" w:styleId="5">
    <w:name w:val="heading 5"/>
    <w:basedOn w:val="a"/>
    <w:next w:val="a0"/>
    <w:link w:val="5Char"/>
    <w:qFormat/>
    <w:rsid w:val="00125A37"/>
    <w:pPr>
      <w:keepNext/>
      <w:keepLines/>
      <w:widowControl/>
      <w:numPr>
        <w:ilvl w:val="4"/>
        <w:numId w:val="1"/>
      </w:numPr>
      <w:spacing w:before="280" w:after="290" w:line="376" w:lineRule="auto"/>
      <w:jc w:val="left"/>
      <w:outlineLvl w:val="4"/>
    </w:pPr>
    <w:rPr>
      <w:b/>
      <w:noProof/>
      <w:kern w:val="0"/>
    </w:rPr>
  </w:style>
  <w:style w:type="paragraph" w:styleId="6">
    <w:name w:val="heading 6"/>
    <w:basedOn w:val="a"/>
    <w:next w:val="a0"/>
    <w:link w:val="6Char"/>
    <w:qFormat/>
    <w:rsid w:val="00125A37"/>
    <w:pPr>
      <w:keepNext/>
      <w:keepLines/>
      <w:widowControl/>
      <w:numPr>
        <w:ilvl w:val="5"/>
        <w:numId w:val="1"/>
      </w:numPr>
      <w:spacing w:before="240" w:after="64" w:line="320" w:lineRule="auto"/>
      <w:jc w:val="left"/>
      <w:outlineLvl w:val="5"/>
    </w:pPr>
    <w:rPr>
      <w:rFonts w:ascii="Arial" w:eastAsia="黑体" w:hAnsi="Arial"/>
      <w:b/>
      <w:noProof/>
      <w:kern w:val="0"/>
      <w:sz w:val="24"/>
    </w:rPr>
  </w:style>
  <w:style w:type="paragraph" w:styleId="7">
    <w:name w:val="heading 7"/>
    <w:basedOn w:val="a"/>
    <w:next w:val="a0"/>
    <w:link w:val="7Char"/>
    <w:qFormat/>
    <w:rsid w:val="00125A37"/>
    <w:pPr>
      <w:keepNext/>
      <w:keepLines/>
      <w:widowControl/>
      <w:numPr>
        <w:ilvl w:val="6"/>
        <w:numId w:val="1"/>
      </w:numPr>
      <w:spacing w:before="240" w:after="64" w:line="320" w:lineRule="auto"/>
      <w:jc w:val="left"/>
      <w:outlineLvl w:val="6"/>
    </w:pPr>
    <w:rPr>
      <w:b/>
      <w:noProof/>
      <w:kern w:val="0"/>
      <w:sz w:val="24"/>
    </w:rPr>
  </w:style>
  <w:style w:type="paragraph" w:styleId="8">
    <w:name w:val="heading 8"/>
    <w:basedOn w:val="a"/>
    <w:next w:val="a0"/>
    <w:link w:val="8Char"/>
    <w:qFormat/>
    <w:rsid w:val="00125A37"/>
    <w:pPr>
      <w:keepNext/>
      <w:keepLines/>
      <w:widowControl/>
      <w:numPr>
        <w:ilvl w:val="7"/>
        <w:numId w:val="1"/>
      </w:numPr>
      <w:spacing w:before="240" w:after="64" w:line="320" w:lineRule="auto"/>
      <w:jc w:val="left"/>
      <w:outlineLvl w:val="7"/>
    </w:pPr>
    <w:rPr>
      <w:rFonts w:ascii="Arial" w:eastAsia="黑体" w:hAnsi="Arial"/>
      <w:noProof/>
      <w:kern w:val="0"/>
      <w:sz w:val="24"/>
    </w:rPr>
  </w:style>
  <w:style w:type="paragraph" w:styleId="9">
    <w:name w:val="heading 9"/>
    <w:basedOn w:val="a"/>
    <w:next w:val="a0"/>
    <w:link w:val="9Char"/>
    <w:qFormat/>
    <w:rsid w:val="00125A37"/>
    <w:pPr>
      <w:keepNext/>
      <w:keepLines/>
      <w:widowControl/>
      <w:numPr>
        <w:ilvl w:val="8"/>
        <w:numId w:val="1"/>
      </w:numPr>
      <w:spacing w:before="240" w:after="64" w:line="320" w:lineRule="auto"/>
      <w:jc w:val="left"/>
      <w:outlineLvl w:val="8"/>
    </w:pPr>
    <w:rPr>
      <w:rFonts w:ascii="Arial" w:eastAsia="黑体" w:hAnsi="Arial"/>
      <w:noProof/>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25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25A37"/>
    <w:rPr>
      <w:sz w:val="18"/>
      <w:szCs w:val="18"/>
    </w:rPr>
  </w:style>
  <w:style w:type="paragraph" w:styleId="a5">
    <w:name w:val="footer"/>
    <w:basedOn w:val="a"/>
    <w:link w:val="Char0"/>
    <w:uiPriority w:val="99"/>
    <w:unhideWhenUsed/>
    <w:rsid w:val="00125A37"/>
    <w:pPr>
      <w:tabs>
        <w:tab w:val="center" w:pos="4153"/>
        <w:tab w:val="right" w:pos="8306"/>
      </w:tabs>
      <w:snapToGrid w:val="0"/>
      <w:jc w:val="left"/>
    </w:pPr>
    <w:rPr>
      <w:sz w:val="18"/>
      <w:szCs w:val="18"/>
    </w:rPr>
  </w:style>
  <w:style w:type="character" w:customStyle="1" w:styleId="Char0">
    <w:name w:val="页脚 Char"/>
    <w:basedOn w:val="a1"/>
    <w:link w:val="a5"/>
    <w:uiPriority w:val="99"/>
    <w:rsid w:val="00125A37"/>
    <w:rPr>
      <w:sz w:val="18"/>
      <w:szCs w:val="18"/>
    </w:rPr>
  </w:style>
  <w:style w:type="character" w:customStyle="1" w:styleId="1Char">
    <w:name w:val="标题 1 Char"/>
    <w:basedOn w:val="a1"/>
    <w:link w:val="1"/>
    <w:rsid w:val="00125A37"/>
    <w:rPr>
      <w:rFonts w:ascii="Times New Roman" w:eastAsia="宋体" w:hAnsi="Times New Roman" w:cs="Times New Roman"/>
      <w:b/>
      <w:kern w:val="44"/>
      <w:sz w:val="30"/>
      <w:szCs w:val="20"/>
    </w:rPr>
  </w:style>
  <w:style w:type="character" w:customStyle="1" w:styleId="2Char">
    <w:name w:val="标题 2 Char"/>
    <w:basedOn w:val="a1"/>
    <w:link w:val="2"/>
    <w:rsid w:val="00E60A04"/>
    <w:rPr>
      <w:rFonts w:ascii="Arial" w:eastAsia="宋体" w:hAnsi="Arial" w:cs="Times New Roman"/>
      <w:b/>
      <w:noProof/>
      <w:kern w:val="0"/>
      <w:sz w:val="24"/>
      <w:szCs w:val="20"/>
    </w:rPr>
  </w:style>
  <w:style w:type="character" w:customStyle="1" w:styleId="3Char">
    <w:name w:val="标题 3 Char"/>
    <w:basedOn w:val="a1"/>
    <w:link w:val="3"/>
    <w:rsid w:val="002A04AB"/>
    <w:rPr>
      <w:rFonts w:ascii="Times New Roman" w:eastAsia="宋体" w:hAnsi="Times New Roman" w:cs="Times New Roman"/>
      <w:b/>
      <w:kern w:val="0"/>
      <w:szCs w:val="20"/>
    </w:rPr>
  </w:style>
  <w:style w:type="character" w:customStyle="1" w:styleId="4Char">
    <w:name w:val="标题 4 Char"/>
    <w:basedOn w:val="a1"/>
    <w:link w:val="4"/>
    <w:rsid w:val="00125A37"/>
    <w:rPr>
      <w:rFonts w:ascii="Arial" w:eastAsia="宋体" w:hAnsi="Arial" w:cs="Times New Roman"/>
      <w:b/>
      <w:noProof/>
      <w:kern w:val="0"/>
      <w:szCs w:val="20"/>
    </w:rPr>
  </w:style>
  <w:style w:type="character" w:customStyle="1" w:styleId="5Char">
    <w:name w:val="标题 5 Char"/>
    <w:basedOn w:val="a1"/>
    <w:link w:val="5"/>
    <w:rsid w:val="00125A37"/>
    <w:rPr>
      <w:rFonts w:ascii="Times New Roman" w:eastAsia="宋体" w:hAnsi="Times New Roman" w:cs="Times New Roman"/>
      <w:b/>
      <w:noProof/>
      <w:kern w:val="0"/>
      <w:szCs w:val="20"/>
    </w:rPr>
  </w:style>
  <w:style w:type="character" w:customStyle="1" w:styleId="6Char">
    <w:name w:val="标题 6 Char"/>
    <w:basedOn w:val="a1"/>
    <w:link w:val="6"/>
    <w:rsid w:val="00125A37"/>
    <w:rPr>
      <w:rFonts w:ascii="Arial" w:eastAsia="黑体" w:hAnsi="Arial" w:cs="Times New Roman"/>
      <w:b/>
      <w:noProof/>
      <w:kern w:val="0"/>
      <w:sz w:val="24"/>
      <w:szCs w:val="20"/>
    </w:rPr>
  </w:style>
  <w:style w:type="character" w:customStyle="1" w:styleId="7Char">
    <w:name w:val="标题 7 Char"/>
    <w:basedOn w:val="a1"/>
    <w:link w:val="7"/>
    <w:rsid w:val="00125A37"/>
    <w:rPr>
      <w:rFonts w:ascii="Times New Roman" w:eastAsia="宋体" w:hAnsi="Times New Roman" w:cs="Times New Roman"/>
      <w:b/>
      <w:noProof/>
      <w:kern w:val="0"/>
      <w:sz w:val="24"/>
      <w:szCs w:val="20"/>
    </w:rPr>
  </w:style>
  <w:style w:type="character" w:customStyle="1" w:styleId="8Char">
    <w:name w:val="标题 8 Char"/>
    <w:basedOn w:val="a1"/>
    <w:link w:val="8"/>
    <w:rsid w:val="00125A37"/>
    <w:rPr>
      <w:rFonts w:ascii="Arial" w:eastAsia="黑体" w:hAnsi="Arial" w:cs="Times New Roman"/>
      <w:noProof/>
      <w:kern w:val="0"/>
      <w:sz w:val="24"/>
      <w:szCs w:val="20"/>
    </w:rPr>
  </w:style>
  <w:style w:type="character" w:customStyle="1" w:styleId="9Char">
    <w:name w:val="标题 9 Char"/>
    <w:basedOn w:val="a1"/>
    <w:link w:val="9"/>
    <w:rsid w:val="00125A37"/>
    <w:rPr>
      <w:rFonts w:ascii="Arial" w:eastAsia="黑体" w:hAnsi="Arial" w:cs="Times New Roman"/>
      <w:noProof/>
      <w:kern w:val="0"/>
      <w:szCs w:val="20"/>
    </w:rPr>
  </w:style>
  <w:style w:type="paragraph" w:styleId="a0">
    <w:name w:val="Normal Indent"/>
    <w:aliases w:val="特点,ALT+Z,表正文,正文非缩进"/>
    <w:basedOn w:val="a"/>
    <w:link w:val="Char1"/>
    <w:rsid w:val="00125A37"/>
    <w:pPr>
      <w:ind w:firstLine="420"/>
    </w:pPr>
  </w:style>
  <w:style w:type="character" w:customStyle="1" w:styleId="Char1">
    <w:name w:val="正文缩进 Char"/>
    <w:aliases w:val="特点 Char,ALT+Z Char,表正文 Char,正文非缩进 Char"/>
    <w:link w:val="a0"/>
    <w:rsid w:val="00125A37"/>
    <w:rPr>
      <w:rFonts w:ascii="Times New Roman" w:eastAsia="宋体" w:hAnsi="Times New Roman" w:cs="Times New Roman"/>
      <w:szCs w:val="20"/>
    </w:rPr>
  </w:style>
  <w:style w:type="paragraph" w:styleId="a6">
    <w:name w:val="Balloon Text"/>
    <w:basedOn w:val="a"/>
    <w:link w:val="Char2"/>
    <w:uiPriority w:val="99"/>
    <w:semiHidden/>
    <w:unhideWhenUsed/>
    <w:rsid w:val="00125A37"/>
    <w:rPr>
      <w:sz w:val="18"/>
      <w:szCs w:val="18"/>
    </w:rPr>
  </w:style>
  <w:style w:type="character" w:customStyle="1" w:styleId="Char2">
    <w:name w:val="批注框文本 Char"/>
    <w:basedOn w:val="a1"/>
    <w:link w:val="a6"/>
    <w:uiPriority w:val="99"/>
    <w:semiHidden/>
    <w:rsid w:val="00125A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F2F78-F43A-45E1-81D1-73F739A5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298</Words>
  <Characters>1704</Characters>
  <Application>Microsoft Office Word</Application>
  <DocSecurity>0</DocSecurity>
  <Lines>14</Lines>
  <Paragraphs>3</Paragraphs>
  <ScaleCrop>false</ScaleCrop>
  <Company>Hundsun</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高虎</dc:creator>
  <cp:keywords/>
  <dc:description/>
  <cp:lastModifiedBy>高虎</cp:lastModifiedBy>
  <cp:revision>13</cp:revision>
  <dcterms:created xsi:type="dcterms:W3CDTF">2011-09-19T13:59:00Z</dcterms:created>
  <dcterms:modified xsi:type="dcterms:W3CDTF">2011-09-20T00:45:00Z</dcterms:modified>
</cp:coreProperties>
</file>