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37372E" w:rsidRPr="0037372E" w:rsidTr="0037372E">
        <w:trPr>
          <w:tblCellSpacing w:w="0" w:type="dxa"/>
          <w:jc w:val="center"/>
        </w:trPr>
        <w:tc>
          <w:tcPr>
            <w:tcW w:w="0" w:type="auto"/>
            <w:vAlign w:val="center"/>
            <w:hideMark/>
          </w:tcPr>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37372E" w:rsidRPr="0037372E">
              <w:trPr>
                <w:tblCellSpacing w:w="0" w:type="dxa"/>
                <w:jc w:val="center"/>
              </w:trPr>
              <w:tc>
                <w:tcPr>
                  <w:tcW w:w="0" w:type="auto"/>
                  <w:vAlign w:val="center"/>
                  <w:hideMark/>
                </w:tcPr>
                <w:p w:rsidR="0037372E" w:rsidRPr="0037372E" w:rsidRDefault="0037372E" w:rsidP="0037372E">
                  <w:pPr>
                    <w:widowControl/>
                    <w:jc w:val="left"/>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6667500" cy="676275"/>
                        <wp:effectExtent l="0" t="0" r="0" b="9525"/>
                        <wp:docPr id="2" name="图片 2" descr="http://www.htsec.com/static/htsec/f/hgyx/tzgwyw/images/pic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tsec.com/static/htsec/f/hgyx/tzgwyw/images/pic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676275"/>
                                </a:xfrm>
                                <a:prstGeom prst="rect">
                                  <a:avLst/>
                                </a:prstGeom>
                                <a:noFill/>
                                <a:ln>
                                  <a:noFill/>
                                </a:ln>
                              </pic:spPr>
                            </pic:pic>
                          </a:graphicData>
                        </a:graphic>
                      </wp:inline>
                    </w:drawing>
                  </w:r>
                </w:p>
              </w:tc>
            </w:tr>
          </w:tbl>
          <w:p w:rsidR="0037372E" w:rsidRPr="0037372E" w:rsidRDefault="0037372E" w:rsidP="0037372E">
            <w:pPr>
              <w:widowControl/>
              <w:jc w:val="center"/>
              <w:rPr>
                <w:rFonts w:ascii="宋体" w:eastAsia="宋体" w:hAnsi="宋体" w:cs="宋体"/>
                <w:kern w:val="0"/>
                <w:sz w:val="18"/>
                <w:szCs w:val="18"/>
              </w:rPr>
            </w:pP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37372E" w:rsidRPr="0037372E">
              <w:trPr>
                <w:tblCellSpacing w:w="0" w:type="dxa"/>
                <w:jc w:val="center"/>
              </w:trPr>
              <w:tc>
                <w:tcPr>
                  <w:tcW w:w="0" w:type="auto"/>
                  <w:hideMark/>
                </w:tcPr>
                <w:tbl>
                  <w:tblPr>
                    <w:tblW w:w="10500" w:type="dxa"/>
                    <w:tblCellSpacing w:w="0" w:type="dxa"/>
                    <w:tblCellMar>
                      <w:left w:w="0" w:type="dxa"/>
                      <w:right w:w="0" w:type="dxa"/>
                    </w:tblCellMar>
                    <w:tblLook w:val="04A0" w:firstRow="1" w:lastRow="0" w:firstColumn="1" w:lastColumn="0" w:noHBand="0" w:noVBand="1"/>
                  </w:tblPr>
                  <w:tblGrid>
                    <w:gridCol w:w="10500"/>
                  </w:tblGrid>
                  <w:tr w:rsidR="0037372E" w:rsidRPr="0037372E">
                    <w:trPr>
                      <w:tblCellSpacing w:w="0" w:type="dxa"/>
                    </w:trPr>
                    <w:tc>
                      <w:tcPr>
                        <w:tcW w:w="0" w:type="auto"/>
                        <w:vAlign w:val="center"/>
                        <w:hideMark/>
                      </w:tcPr>
                      <w:p w:rsidR="0037372E" w:rsidRPr="0037372E" w:rsidRDefault="0037372E" w:rsidP="0037372E">
                        <w:pPr>
                          <w:widowControl/>
                          <w:jc w:val="left"/>
                          <w:rPr>
                            <w:rFonts w:ascii="宋体" w:eastAsia="宋体" w:hAnsi="宋体" w:cs="宋体"/>
                            <w:kern w:val="0"/>
                            <w:sz w:val="18"/>
                            <w:szCs w:val="18"/>
                          </w:rPr>
                        </w:pPr>
                      </w:p>
                    </w:tc>
                  </w:tr>
                </w:tbl>
                <w:p w:rsidR="0037372E" w:rsidRPr="0037372E" w:rsidRDefault="0037372E" w:rsidP="0037372E">
                  <w:pPr>
                    <w:widowControl/>
                    <w:jc w:val="left"/>
                    <w:rPr>
                      <w:rFonts w:ascii="宋体" w:eastAsia="宋体" w:hAnsi="宋体" w:cs="宋体"/>
                      <w:vanish/>
                      <w:kern w:val="0"/>
                      <w:sz w:val="18"/>
                      <w:szCs w:val="18"/>
                    </w:rPr>
                  </w:pPr>
                </w:p>
                <w:tbl>
                  <w:tblPr>
                    <w:tblW w:w="5000" w:type="pct"/>
                    <w:tblCellSpacing w:w="0" w:type="dxa"/>
                    <w:tblCellMar>
                      <w:left w:w="0" w:type="dxa"/>
                      <w:right w:w="0" w:type="dxa"/>
                    </w:tblCellMar>
                    <w:tblLook w:val="04A0" w:firstRow="1" w:lastRow="0" w:firstColumn="1" w:lastColumn="0" w:noHBand="0" w:noVBand="1"/>
                  </w:tblPr>
                  <w:tblGrid>
                    <w:gridCol w:w="10500"/>
                  </w:tblGrid>
                  <w:tr w:rsidR="0037372E" w:rsidRPr="0037372E">
                    <w:trPr>
                      <w:tblCellSpacing w:w="0" w:type="dxa"/>
                    </w:trPr>
                    <w:tc>
                      <w:tcPr>
                        <w:tcW w:w="0" w:type="auto"/>
                        <w:hideMark/>
                      </w:tcPr>
                      <w:tbl>
                        <w:tblPr>
                          <w:tblW w:w="4800" w:type="pct"/>
                          <w:jc w:val="center"/>
                          <w:tblCellSpacing w:w="0" w:type="dxa"/>
                          <w:tblCellMar>
                            <w:left w:w="0" w:type="dxa"/>
                            <w:right w:w="0" w:type="dxa"/>
                          </w:tblCellMar>
                          <w:tblLook w:val="04A0" w:firstRow="1" w:lastRow="0" w:firstColumn="1" w:lastColumn="0" w:noHBand="0" w:noVBand="1"/>
                        </w:tblPr>
                        <w:tblGrid>
                          <w:gridCol w:w="10080"/>
                        </w:tblGrid>
                        <w:tr w:rsidR="0037372E" w:rsidRPr="0037372E">
                          <w:trPr>
                            <w:tblCellSpacing w:w="0" w:type="dxa"/>
                            <w:jc w:val="center"/>
                          </w:trPr>
                          <w:tc>
                            <w:tcPr>
                              <w:tcW w:w="0" w:type="auto"/>
                              <w:vAlign w:val="center"/>
                              <w:hideMark/>
                            </w:tcPr>
                            <w:p w:rsidR="0037372E" w:rsidRPr="0037372E" w:rsidRDefault="0037372E" w:rsidP="0037372E">
                              <w:pPr>
                                <w:widowControl/>
                                <w:jc w:val="left"/>
                                <w:rPr>
                                  <w:rFonts w:ascii="宋体" w:eastAsia="宋体" w:hAnsi="宋体" w:cs="宋体"/>
                                  <w:kern w:val="0"/>
                                  <w:sz w:val="18"/>
                                  <w:szCs w:val="18"/>
                                </w:rPr>
                              </w:pPr>
                              <w:r w:rsidRPr="0037372E">
                                <w:rPr>
                                  <w:rFonts w:ascii="宋体" w:eastAsia="宋体" w:hAnsi="宋体" w:cs="宋体"/>
                                  <w:kern w:val="0"/>
                                  <w:sz w:val="18"/>
                                  <w:szCs w:val="18"/>
                                </w:rPr>
                                <w:t xml:space="preserve">  </w:t>
                              </w:r>
                            </w:p>
                          </w:tc>
                        </w:tr>
                        <w:tr w:rsidR="0037372E" w:rsidRPr="0037372E">
                          <w:trPr>
                            <w:trHeight w:val="240"/>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0080"/>
                              </w:tblGrid>
                              <w:tr w:rsidR="0037372E" w:rsidRPr="0037372E">
                                <w:trPr>
                                  <w:tblCellSpacing w:w="0" w:type="dxa"/>
                                </w:trPr>
                                <w:tc>
                                  <w:tcPr>
                                    <w:tcW w:w="0" w:type="auto"/>
                                    <w:vAlign w:val="center"/>
                                    <w:hideMark/>
                                  </w:tcPr>
                                  <w:p w:rsidR="0037372E" w:rsidRPr="0037372E" w:rsidRDefault="0037372E" w:rsidP="0037372E">
                                    <w:pPr>
                                      <w:widowControl/>
                                      <w:jc w:val="left"/>
                                      <w:rPr>
                                        <w:rFonts w:ascii="宋体" w:eastAsia="宋体" w:hAnsi="宋体" w:cs="宋体"/>
                                        <w:kern w:val="0"/>
                                        <w:sz w:val="18"/>
                                        <w:szCs w:val="18"/>
                                      </w:rPr>
                                    </w:pPr>
                                  </w:p>
                                </w:tc>
                              </w:tr>
                            </w:tbl>
                            <w:p w:rsidR="0037372E" w:rsidRPr="0037372E" w:rsidRDefault="0037372E" w:rsidP="0037372E">
                              <w:pPr>
                                <w:widowControl/>
                                <w:jc w:val="left"/>
                                <w:rPr>
                                  <w:rFonts w:ascii="宋体" w:eastAsia="宋体" w:hAnsi="宋体" w:cs="宋体"/>
                                  <w:kern w:val="0"/>
                                  <w:sz w:val="18"/>
                                  <w:szCs w:val="18"/>
                                </w:rPr>
                              </w:pPr>
                            </w:p>
                          </w:tc>
                        </w:tr>
                        <w:tr w:rsidR="0037372E" w:rsidRPr="0037372E">
                          <w:trPr>
                            <w:tblCellSpacing w:w="0" w:type="dxa"/>
                            <w:jc w:val="center"/>
                          </w:trPr>
                          <w:tc>
                            <w:tcPr>
                              <w:tcW w:w="0" w:type="auto"/>
                              <w:hideMark/>
                            </w:tcPr>
                            <w:p w:rsidR="0037372E" w:rsidRPr="0037372E" w:rsidRDefault="0037372E" w:rsidP="0037372E">
                              <w:pPr>
                                <w:widowControl/>
                                <w:jc w:val="left"/>
                                <w:rPr>
                                  <w:rFonts w:ascii="宋体" w:eastAsia="宋体" w:hAnsi="宋体" w:cs="宋体"/>
                                  <w:kern w:val="0"/>
                                  <w:sz w:val="18"/>
                                  <w:szCs w:val="18"/>
                                </w:rPr>
                              </w:pPr>
                              <w:r w:rsidRPr="0037372E">
                                <w:rPr>
                                  <w:rFonts w:ascii="宋体" w:eastAsia="宋体" w:hAnsi="宋体" w:cs="宋体"/>
                                  <w:kern w:val="0"/>
                                  <w:sz w:val="18"/>
                                  <w:szCs w:val="18"/>
                                </w:rPr>
                                <w:t xml:space="preserve">  </w:t>
                              </w:r>
                            </w:p>
                          </w:tc>
                        </w:tr>
                        <w:tr w:rsidR="0037372E" w:rsidRPr="0037372E">
                          <w:trPr>
                            <w:tblCellSpacing w:w="0" w:type="dxa"/>
                            <w:jc w:val="center"/>
                          </w:trPr>
                          <w:tc>
                            <w:tcPr>
                              <w:tcW w:w="0" w:type="auto"/>
                              <w:hideMark/>
                            </w:tcPr>
                            <w:tbl>
                              <w:tblPr>
                                <w:tblW w:w="4800" w:type="pct"/>
                                <w:tblCellSpacing w:w="0" w:type="dxa"/>
                                <w:tblCellMar>
                                  <w:left w:w="0" w:type="dxa"/>
                                  <w:right w:w="0" w:type="dxa"/>
                                </w:tblCellMar>
                                <w:tblLook w:val="04A0" w:firstRow="1" w:lastRow="0" w:firstColumn="1" w:lastColumn="0" w:noHBand="0" w:noVBand="1"/>
                              </w:tblPr>
                              <w:tblGrid>
                                <w:gridCol w:w="9677"/>
                              </w:tblGrid>
                              <w:tr w:rsidR="0037372E" w:rsidRPr="0037372E">
                                <w:trPr>
                                  <w:tblCellSpacing w:w="0" w:type="dxa"/>
                                </w:trPr>
                                <w:tc>
                                  <w:tcPr>
                                    <w:tcW w:w="0" w:type="auto"/>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海通证券股份有限公司</w:t>
                                    </w:r>
                                    <w:r w:rsidRPr="0037372E">
                                      <w:rPr>
                                        <w:rFonts w:ascii="宋体" w:eastAsia="宋体" w:hAnsi="宋体" w:cs="宋体"/>
                                        <w:b/>
                                        <w:bCs/>
                                        <w:kern w:val="0"/>
                                        <w:sz w:val="18"/>
                                        <w:szCs w:val="18"/>
                                      </w:rPr>
                                      <w:br/>
                                      <w:t xml:space="preserve">约定购回式证券交易合格投资者管理办法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第一章     总 则</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第一条 </w:t>
                                    </w:r>
                                    <w:r w:rsidRPr="0037372E">
                                      <w:rPr>
                                        <w:rFonts w:ascii="宋体" w:eastAsia="宋体" w:hAnsi="宋体" w:cs="宋体"/>
                                        <w:kern w:val="0"/>
                                        <w:sz w:val="18"/>
                                        <w:szCs w:val="18"/>
                                      </w:rPr>
                                      <w:t xml:space="preserve">为加强对约定购回式证券交易（以下简称“约定购回式交易”）的管理，控制约定购回式交易风险，根据《约定购回式证券交易及登记结算业务实施细则》、《海通证券股份有限公司约定购回式证券交易试点管理办法》有关规定，特制定本办法。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第二条 </w:t>
                                    </w:r>
                                    <w:r w:rsidRPr="0037372E">
                                      <w:rPr>
                                        <w:rFonts w:ascii="宋体" w:eastAsia="宋体" w:hAnsi="宋体" w:cs="宋体"/>
                                        <w:kern w:val="0"/>
                                        <w:sz w:val="18"/>
                                        <w:szCs w:val="18"/>
                                      </w:rPr>
                                      <w:t xml:space="preserve">合格投资者从事约定购回式交易，必须遵守法律法规、上交所有关交易规则及业务指引、公司有关规章制度和其他有关规定。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第三条 </w:t>
                                    </w:r>
                                    <w:r w:rsidRPr="0037372E">
                                      <w:rPr>
                                        <w:rFonts w:ascii="宋体" w:eastAsia="宋体" w:hAnsi="宋体" w:cs="宋体"/>
                                        <w:kern w:val="0"/>
                                        <w:sz w:val="18"/>
                                        <w:szCs w:val="18"/>
                                      </w:rPr>
                                      <w:t xml:space="preserve">客户开展约定购回式交易之前需与公司签署协议、获得公司授予的交易额度。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第二章     客户准入</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第四条 </w:t>
                                    </w:r>
                                    <w:r w:rsidRPr="0037372E">
                                      <w:rPr>
                                        <w:rFonts w:ascii="宋体" w:eastAsia="宋体" w:hAnsi="宋体" w:cs="宋体"/>
                                        <w:kern w:val="0"/>
                                        <w:sz w:val="18"/>
                                        <w:szCs w:val="18"/>
                                      </w:rPr>
                                      <w:t xml:space="preserve">公司对参与约定购回式交易的客户制定准入条件，具体如下： </w:t>
                                    </w:r>
                                    <w:r w:rsidRPr="0037372E">
                                      <w:rPr>
                                        <w:rFonts w:ascii="宋体" w:eastAsia="宋体" w:hAnsi="宋体" w:cs="宋体"/>
                                        <w:kern w:val="0"/>
                                        <w:sz w:val="18"/>
                                        <w:szCs w:val="18"/>
                                      </w:rPr>
                                      <w:br/>
                                      <w:t>(一)开户资料齐全，账户规范且账户状态正常的机构客户；</w:t>
                                    </w:r>
                                    <w:r w:rsidRPr="0037372E">
                                      <w:rPr>
                                        <w:rFonts w:ascii="宋体" w:eastAsia="宋体" w:hAnsi="宋体" w:cs="宋体"/>
                                        <w:kern w:val="0"/>
                                        <w:sz w:val="18"/>
                                        <w:szCs w:val="18"/>
                                      </w:rPr>
                                      <w:br/>
                                      <w:t>(二)客户资金账户内资产500万元以上（含500万元）；</w:t>
                                    </w:r>
                                    <w:r w:rsidRPr="0037372E">
                                      <w:rPr>
                                        <w:rFonts w:ascii="宋体" w:eastAsia="宋体" w:hAnsi="宋体" w:cs="宋体"/>
                                        <w:kern w:val="0"/>
                                        <w:sz w:val="18"/>
                                        <w:szCs w:val="18"/>
                                      </w:rPr>
                                      <w:br/>
                                      <w:t>(三)在公司的开户时间不少于6个月（含6个月）；</w:t>
                                    </w:r>
                                    <w:r w:rsidRPr="0037372E">
                                      <w:rPr>
                                        <w:rFonts w:ascii="宋体" w:eastAsia="宋体" w:hAnsi="宋体" w:cs="宋体"/>
                                        <w:kern w:val="0"/>
                                        <w:sz w:val="18"/>
                                        <w:szCs w:val="18"/>
                                      </w:rPr>
                                      <w:br/>
                                      <w:t>(四)客户信誉良好，无重大违约记录；</w:t>
                                    </w:r>
                                    <w:r w:rsidRPr="0037372E">
                                      <w:rPr>
                                        <w:rFonts w:ascii="宋体" w:eastAsia="宋体" w:hAnsi="宋体" w:cs="宋体"/>
                                        <w:kern w:val="0"/>
                                        <w:sz w:val="18"/>
                                        <w:szCs w:val="18"/>
                                      </w:rPr>
                                      <w:br/>
                                      <w:t xml:space="preserve">(五)不存在其它严重影响客户偿债能力的情形。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第五条 </w:t>
                                    </w:r>
                                    <w:r w:rsidRPr="0037372E">
                                      <w:rPr>
                                        <w:rFonts w:ascii="宋体" w:eastAsia="宋体" w:hAnsi="宋体" w:cs="宋体"/>
                                        <w:kern w:val="0"/>
                                        <w:sz w:val="18"/>
                                        <w:szCs w:val="18"/>
                                      </w:rPr>
                                      <w:t xml:space="preserve">公司约定购回式证券交易管理委员会可根据业务发展需要，对上述客户准入条件进行调整。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第三章 客户推荐、资质调查及资质评级</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第六条 </w:t>
                                    </w:r>
                                    <w:r w:rsidRPr="0037372E">
                                      <w:rPr>
                                        <w:rFonts w:ascii="宋体" w:eastAsia="宋体" w:hAnsi="宋体" w:cs="宋体"/>
                                        <w:kern w:val="0"/>
                                        <w:sz w:val="18"/>
                                        <w:szCs w:val="18"/>
                                      </w:rPr>
                                      <w:t xml:space="preserve">对于符合上述条件的意向客户，由机构业务部对客户资质进行前期调查并出具客户推荐意见书。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第七条 </w:t>
                                    </w:r>
                                    <w:r w:rsidRPr="0037372E">
                                      <w:rPr>
                                        <w:rFonts w:ascii="宋体" w:eastAsia="宋体" w:hAnsi="宋体" w:cs="宋体"/>
                                        <w:kern w:val="0"/>
                                        <w:sz w:val="18"/>
                                        <w:szCs w:val="18"/>
                                      </w:rPr>
                                      <w:t xml:space="preserve">经机构业务部推荐的客户，由指定交易的营业部负责收集客户资质调查资料，开展客户资质调查工作。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第八条 </w:t>
                                    </w:r>
                                    <w:r w:rsidRPr="0037372E">
                                      <w:rPr>
                                        <w:rFonts w:ascii="宋体" w:eastAsia="宋体" w:hAnsi="宋体" w:cs="宋体"/>
                                        <w:kern w:val="0"/>
                                        <w:sz w:val="18"/>
                                        <w:szCs w:val="18"/>
                                      </w:rPr>
                                      <w:t xml:space="preserve">营业部负责客户资质调查的初审，对客户提交的资质调查材料的真实性、准确性、完整性及有效性负责。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第九条 </w:t>
                                    </w:r>
                                    <w:r w:rsidRPr="0037372E">
                                      <w:rPr>
                                        <w:rFonts w:ascii="宋体" w:eastAsia="宋体" w:hAnsi="宋体" w:cs="宋体"/>
                                        <w:kern w:val="0"/>
                                        <w:sz w:val="18"/>
                                        <w:szCs w:val="18"/>
                                      </w:rPr>
                                      <w:t xml:space="preserve">融资融券部对客户资质进行复审并资质评级。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第十条 </w:t>
                                    </w:r>
                                    <w:r w:rsidRPr="0037372E">
                                      <w:rPr>
                                        <w:rFonts w:ascii="宋体" w:eastAsia="宋体" w:hAnsi="宋体" w:cs="宋体"/>
                                        <w:kern w:val="0"/>
                                        <w:sz w:val="18"/>
                                        <w:szCs w:val="18"/>
                                      </w:rPr>
                                      <w:t>公司资质调查时综合考虑客户的偿债能力、投资能力、风险承受能力、资金用途等因素，主要从客户基本情况、财</w:t>
                                    </w:r>
                                    <w:r w:rsidRPr="0037372E">
                                      <w:rPr>
                                        <w:rFonts w:ascii="宋体" w:eastAsia="宋体" w:hAnsi="宋体" w:cs="宋体"/>
                                        <w:kern w:val="0"/>
                                        <w:sz w:val="18"/>
                                        <w:szCs w:val="18"/>
                                      </w:rPr>
                                      <w:lastRenderedPageBreak/>
                                      <w:t xml:space="preserve">务状况、交易经验和诚信记录等方面进行资质调查并评分。 </w:t>
                                    </w:r>
                                    <w:r w:rsidRPr="0037372E">
                                      <w:rPr>
                                        <w:rFonts w:ascii="宋体" w:eastAsia="宋体" w:hAnsi="宋体" w:cs="宋体"/>
                                        <w:kern w:val="0"/>
                                        <w:sz w:val="18"/>
                                        <w:szCs w:val="18"/>
                                      </w:rPr>
                                      <w:br/>
                                      <w:t xml:space="preserve">（一）客户基本情况。包括但不限于以下内容： </w:t>
                                    </w:r>
                                    <w:r w:rsidRPr="0037372E">
                                      <w:rPr>
                                        <w:rFonts w:ascii="宋体" w:eastAsia="宋体" w:hAnsi="宋体" w:cs="宋体"/>
                                        <w:kern w:val="0"/>
                                        <w:sz w:val="18"/>
                                        <w:szCs w:val="18"/>
                                      </w:rPr>
                                      <w:br/>
                                      <w:t xml:space="preserve">自然人客户：姓名、性别、出生年月、居住地、文化程度、职业、职务等。 </w:t>
                                    </w:r>
                                    <w:r w:rsidRPr="0037372E">
                                      <w:rPr>
                                        <w:rFonts w:ascii="宋体" w:eastAsia="宋体" w:hAnsi="宋体" w:cs="宋体"/>
                                        <w:kern w:val="0"/>
                                        <w:sz w:val="18"/>
                                        <w:szCs w:val="18"/>
                                      </w:rPr>
                                      <w:br/>
                                      <w:t xml:space="preserve">法人客户：名称、成立时间、所属行业、注册地、注册资本、实收资本、经营范围及期限、高管人员情况、控股股东情况及融资资金用途等； </w:t>
                                    </w:r>
                                    <w:r w:rsidRPr="0037372E">
                                      <w:rPr>
                                        <w:rFonts w:ascii="宋体" w:eastAsia="宋体" w:hAnsi="宋体" w:cs="宋体"/>
                                        <w:kern w:val="0"/>
                                        <w:sz w:val="18"/>
                                        <w:szCs w:val="18"/>
                                      </w:rPr>
                                      <w:br/>
                                      <w:t xml:space="preserve">（二）财务状况。包括但不限于以下内容： </w:t>
                                    </w:r>
                                    <w:r w:rsidRPr="0037372E">
                                      <w:rPr>
                                        <w:rFonts w:ascii="宋体" w:eastAsia="宋体" w:hAnsi="宋体" w:cs="宋体"/>
                                        <w:kern w:val="0"/>
                                        <w:sz w:val="18"/>
                                        <w:szCs w:val="18"/>
                                      </w:rPr>
                                      <w:br/>
                                      <w:t xml:space="preserve">自然人客户：收入、金融资产、非金融资产及对外担保等情况。 </w:t>
                                    </w:r>
                                    <w:r w:rsidRPr="0037372E">
                                      <w:rPr>
                                        <w:rFonts w:ascii="宋体" w:eastAsia="宋体" w:hAnsi="宋体" w:cs="宋体"/>
                                        <w:kern w:val="0"/>
                                        <w:sz w:val="18"/>
                                        <w:szCs w:val="18"/>
                                      </w:rPr>
                                      <w:br/>
                                      <w:t xml:space="preserve">法人客户：偿债能力、现金流量、盈利能力、成长性及对外担保等情况。 </w:t>
                                    </w:r>
                                    <w:r w:rsidRPr="0037372E">
                                      <w:rPr>
                                        <w:rFonts w:ascii="宋体" w:eastAsia="宋体" w:hAnsi="宋体" w:cs="宋体"/>
                                        <w:kern w:val="0"/>
                                        <w:sz w:val="18"/>
                                        <w:szCs w:val="18"/>
                                      </w:rPr>
                                      <w:br/>
                                      <w:t xml:space="preserve">（三）客户证券交易历史情况。包括但不限于以下内容： </w:t>
                                    </w:r>
                                    <w:r w:rsidRPr="0037372E">
                                      <w:rPr>
                                        <w:rFonts w:ascii="宋体" w:eastAsia="宋体" w:hAnsi="宋体" w:cs="宋体"/>
                                        <w:kern w:val="0"/>
                                        <w:sz w:val="18"/>
                                        <w:szCs w:val="18"/>
                                      </w:rPr>
                                      <w:br/>
                                      <w:t xml:space="preserve">客户的投资经验、风险偏好、账户收益状况及资产规模等。 </w:t>
                                    </w:r>
                                    <w:r w:rsidRPr="0037372E">
                                      <w:rPr>
                                        <w:rFonts w:ascii="宋体" w:eastAsia="宋体" w:hAnsi="宋体" w:cs="宋体"/>
                                        <w:kern w:val="0"/>
                                        <w:sz w:val="18"/>
                                        <w:szCs w:val="18"/>
                                      </w:rPr>
                                      <w:br/>
                                      <w:t xml:space="preserve">（四）诚信记录。客户第三方信用记录、商业信息记录（含在各商业银行的贷款及偿还记录）等。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第十一条 </w:t>
                                    </w:r>
                                    <w:r w:rsidRPr="0037372E">
                                      <w:rPr>
                                        <w:rFonts w:ascii="宋体" w:eastAsia="宋体" w:hAnsi="宋体" w:cs="宋体"/>
                                        <w:kern w:val="0"/>
                                        <w:sz w:val="18"/>
                                        <w:szCs w:val="18"/>
                                      </w:rPr>
                                      <w:t>资质调查途径及来源主要有客户自报、实地调查、公司数据中心、中国征信中心、社会征信机构等。</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第十二条 </w:t>
                                    </w:r>
                                    <w:r w:rsidRPr="0037372E">
                                      <w:rPr>
                                        <w:rFonts w:ascii="宋体" w:eastAsia="宋体" w:hAnsi="宋体" w:cs="宋体"/>
                                        <w:kern w:val="0"/>
                                        <w:sz w:val="18"/>
                                        <w:szCs w:val="18"/>
                                      </w:rPr>
                                      <w:t xml:space="preserve">资质评级的具体评分标准如下： </w:t>
                                    </w:r>
                                  </w:p>
                                  <w:tbl>
                                    <w:tblPr>
                                      <w:tblW w:w="90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5"/>
                                      <w:gridCol w:w="2295"/>
                                      <w:gridCol w:w="3300"/>
                                      <w:gridCol w:w="2625"/>
                                    </w:tblGrid>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序号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项目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内容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分值 </w:t>
                                          </w:r>
                                        </w:p>
                                      </w:tc>
                                    </w:tr>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一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基本情况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20 </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年龄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30≤年龄＜55</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8</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25≤年龄＜30或55≤年龄＜65</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6</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18≤年龄＜25或65≤年龄＜70</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年龄＜18或年龄≥70</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职务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高级管理人员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7</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普通员工及其它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学历情况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大本及以上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大本以下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二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财务状况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30</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收入情况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已提交能证明收入情况的资料，税后年收入在RMB500000以上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已提交能证明收入情况的资料，税后年收入小于RMB500000，大于RMB100000，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已提交能证明收入情况的资料，税后年收入小于RMB100000，大于RMB30000</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已提交能证明收入情况的资料，税后年收入不足RMB30000，或不能提交收入证明的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非金融资产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有三套及以上的房产或面积在300平方米及以上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有两套房产或面积在200平方米及以上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18</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有一套房产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未提供房产证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金融资产（不含海通账户内资产）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500万≤金融资产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200万≤金融资产＜500万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100万≤金融资产＜200万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金融资产＜100万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三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证券投资（普通账户）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20</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账户绝对收益水平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30%≤账户年化收益率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20%≤账户年化收益率＜30%</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10%≤账户年化收益率＜20%</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购回价格≤账户年化收益率＜10%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2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0≤账户年化收益率＜购回价格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账户年化收益率＜0</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账户相对收益水平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年化收益率≥同期沪深300指数涨幅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5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年化收益率＜同期沪深300指数涨幅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投资经验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5年≤入市时间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3年≤入市时间＜5年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3年以下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日均资产规模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2000万≤账户资产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7</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1000万≤账户资产＜2000万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500万≤账户资产＜1000万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300万≤账户资产＜500万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账户资产＜300万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四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信用记录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30</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其他机构记录 </w:t>
                                          </w: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无不良信用记录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未提供信用证明材料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30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有不良信用记录 </w:t>
                                          </w:r>
                                        </w:p>
                                      </w:tc>
                                      <w:tc>
                                        <w:tcPr>
                                          <w:tcW w:w="26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r w:rsidRPr="0037372E">
                                            <w:rPr>
                                              <w:rFonts w:ascii="宋体" w:eastAsia="宋体" w:hAnsi="宋体" w:cs="宋体"/>
                                              <w:kern w:val="0"/>
                                              <w:sz w:val="18"/>
                                              <w:szCs w:val="18"/>
                                            </w:rPr>
                                            <w:br/>
                                            <w:t xml:space="preserve">根据具体情况： </w:t>
                                          </w:r>
                                          <w:r w:rsidRPr="0037372E">
                                            <w:rPr>
                                              <w:rFonts w:ascii="宋体" w:eastAsia="宋体" w:hAnsi="宋体" w:cs="宋体"/>
                                              <w:kern w:val="0"/>
                                              <w:sz w:val="18"/>
                                              <w:szCs w:val="18"/>
                                            </w:rPr>
                                            <w:br/>
                                            <w:t xml:space="preserve">1、无拖欠记录得30分。 </w:t>
                                          </w:r>
                                          <w:r w:rsidRPr="0037372E">
                                            <w:rPr>
                                              <w:rFonts w:ascii="宋体" w:eastAsia="宋体" w:hAnsi="宋体" w:cs="宋体"/>
                                              <w:kern w:val="0"/>
                                              <w:sz w:val="18"/>
                                              <w:szCs w:val="18"/>
                                            </w:rPr>
                                            <w:br/>
                                            <w:t xml:space="preserve">2、有1-4次非恶意拖欠还款记录，得12分； </w:t>
                                          </w:r>
                                          <w:r w:rsidRPr="0037372E">
                                            <w:rPr>
                                              <w:rFonts w:ascii="宋体" w:eastAsia="宋体" w:hAnsi="宋体" w:cs="宋体"/>
                                              <w:kern w:val="0"/>
                                              <w:sz w:val="18"/>
                                              <w:szCs w:val="18"/>
                                            </w:rPr>
                                            <w:br/>
                                            <w:t xml:space="preserve">3、累计有5-10次非恶意拖欠还款记录，得6分； </w:t>
                                          </w:r>
                                          <w:r w:rsidRPr="0037372E">
                                            <w:rPr>
                                              <w:rFonts w:ascii="宋体" w:eastAsia="宋体" w:hAnsi="宋体" w:cs="宋体"/>
                                              <w:kern w:val="0"/>
                                              <w:sz w:val="18"/>
                                              <w:szCs w:val="18"/>
                                            </w:rPr>
                                            <w:br/>
                                            <w:t xml:space="preserve">4、累计有10－15次非恶意拖欠还款记录，得0分 </w:t>
                                          </w:r>
                                          <w:r w:rsidRPr="0037372E">
                                            <w:rPr>
                                              <w:rFonts w:ascii="宋体" w:eastAsia="宋体" w:hAnsi="宋体" w:cs="宋体"/>
                                              <w:kern w:val="0"/>
                                              <w:sz w:val="18"/>
                                              <w:szCs w:val="18"/>
                                            </w:rPr>
                                            <w:br/>
                                            <w:t xml:space="preserve">5、有经常性拖欠还款习惯，累计有15次以上非恶意拖欠还款记录，每增加2次扣1分； </w:t>
                                          </w:r>
                                          <w:r w:rsidRPr="0037372E">
                                            <w:rPr>
                                              <w:rFonts w:ascii="宋体" w:eastAsia="宋体" w:hAnsi="宋体" w:cs="宋体"/>
                                              <w:kern w:val="0"/>
                                              <w:sz w:val="18"/>
                                              <w:szCs w:val="18"/>
                                            </w:rPr>
                                            <w:br/>
                                            <w:t xml:space="preserve">6、恶意拖欠（拖欠90天以上）1次的，得0分，恶意拖欠2次及以上，每增加一次，扣5分。 </w:t>
                                          </w:r>
                                          <w:r w:rsidRPr="0037372E">
                                            <w:rPr>
                                              <w:rFonts w:ascii="宋体" w:eastAsia="宋体" w:hAnsi="宋体" w:cs="宋体"/>
                                              <w:kern w:val="0"/>
                                              <w:sz w:val="18"/>
                                              <w:szCs w:val="18"/>
                                            </w:rPr>
                                            <w:br/>
                                            <w:t xml:space="preserve">7、恶意拖欠（拖欠150天以上）1次的，扣5分，2次及以上的扣10分。 </w:t>
                                          </w:r>
                                          <w:r w:rsidRPr="0037372E">
                                            <w:rPr>
                                              <w:rFonts w:ascii="宋体" w:eastAsia="宋体" w:hAnsi="宋体" w:cs="宋体"/>
                                              <w:kern w:val="0"/>
                                              <w:sz w:val="18"/>
                                              <w:szCs w:val="18"/>
                                            </w:rPr>
                                            <w:br/>
                                            <w:t xml:space="preserve">8、恶意拖欠（拖欠210天以上）1次的，扣10分。 </w:t>
                                          </w:r>
                                          <w:r w:rsidRPr="0037372E">
                                            <w:rPr>
                                              <w:rFonts w:ascii="宋体" w:eastAsia="宋体" w:hAnsi="宋体" w:cs="宋体"/>
                                              <w:kern w:val="0"/>
                                              <w:sz w:val="18"/>
                                              <w:szCs w:val="18"/>
                                            </w:rPr>
                                            <w:br/>
                                          </w:r>
                                          <w:r w:rsidRPr="0037372E">
                                            <w:rPr>
                                              <w:rFonts w:ascii="宋体" w:eastAsia="宋体" w:hAnsi="宋体" w:cs="宋体"/>
                                              <w:kern w:val="0"/>
                                              <w:sz w:val="18"/>
                                              <w:szCs w:val="18"/>
                                            </w:rPr>
                                            <w:lastRenderedPageBreak/>
                                            <w:t xml:space="preserve">客户同时有非恶意和恶意拖欠记录的，两者取其重。 </w:t>
                                          </w:r>
                                        </w:p>
                                      </w:tc>
                                    </w:tr>
                                  </w:tbl>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lastRenderedPageBreak/>
                                      <w:t> </w:t>
                                    </w:r>
                                  </w:p>
                                  <w:tbl>
                                    <w:tblPr>
                                      <w:tblW w:w="91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2415"/>
                                      <w:gridCol w:w="3960"/>
                                      <w:gridCol w:w="1080"/>
                                      <w:gridCol w:w="1035"/>
                                    </w:tblGrid>
                                    <w:tr w:rsidR="0037372E" w:rsidRPr="0037372E">
                                      <w:trPr>
                                        <w:tblCellSpacing w:w="0" w:type="dxa"/>
                                      </w:trPr>
                                      <w:tc>
                                        <w:tcPr>
                                          <w:tcW w:w="9150" w:type="dxa"/>
                                          <w:gridSpan w:val="5"/>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机构客户（首次评级）</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序号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项目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内容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分值 </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备注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一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基本情况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25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成立时间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5年以上（含）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5年以下3年以上（含）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3年以下1.5年以上（含）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规模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5000万元≤注册资本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1000万元≤注册资本＜5000万元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100万元≤注册资本＜1000万元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注册资本＜100万元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行业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垄断成熟行业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高度成熟行业，竞争过分激烈，行业整体盈利能力低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正在成长的行业，前景比较看好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新兴行业，爆炸性比例增长，或市场尚未接受持观望态度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高风险行业如小型餐饮业、小型服务业、娱乐休闲业等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是否上市公司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是，经营情况良好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否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高管人员素质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道德品质好，行业经验足、管理能力强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道德品质不好或行业经验不足或管理能力不强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二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财务状况</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55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1</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资产规模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（1） </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净资产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5000万元≤净资产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1000万元≤净资产＜5000万元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100万元≤净资产＜1000万元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净资产＜100万元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（2） </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总资产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10000万元≤总资产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5000万元≤总资产＜10000万元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1000万元≤总资产＜5000万元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总资产＜1000万元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盈利能力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（1） </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最近一年平均净资产收益率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10%≤净资产收益率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0%≤净资产收益率＜10%</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净资产收益率＜0%</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lastRenderedPageBreak/>
                                            <w:t xml:space="preserve">（2） </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最近一年盈利情况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0≤税后利润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税后利润＜0%</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偿债能力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（1） </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资产负债率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资产负债率＜50%</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50%≤资产负债率＜70%</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8</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70%≤资产负债率＜90%</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90%≤资产负债率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（2） </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速动比例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1.0≤速动比例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0.5≤速动比例＜1.0</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速动比例＜0.5</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其它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经营活动现金净流量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最近一年为正数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最近一年为负数或其它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对外担保情况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无对外担保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0≤对外担保额＜净资产/5</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净资产/5≤对外担保额＜净资产/3</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净资产/3≤对外担保额＜净资产/2</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净资产/2≤对外担保额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三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证券投资（普通账户）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交易经验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5年≤入市时间 </w:t>
                                          </w:r>
                                        </w:p>
                                      </w:tc>
                                      <w:tc>
                                        <w:tcPr>
                                          <w:tcW w:w="108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3年≤入市时间＜5年 </w:t>
                                          </w:r>
                                        </w:p>
                                      </w:tc>
                                      <w:tc>
                                        <w:tcPr>
                                          <w:tcW w:w="108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1.5年≤入市时间＜3年 </w:t>
                                          </w:r>
                                        </w:p>
                                      </w:tc>
                                      <w:tc>
                                        <w:tcPr>
                                          <w:tcW w:w="108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0.5年≤入市时间＜1.5年 </w:t>
                                          </w:r>
                                        </w:p>
                                      </w:tc>
                                      <w:tc>
                                        <w:tcPr>
                                          <w:tcW w:w="108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入市时间＜0.5年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日均资产规模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1000万≤账户资产 </w:t>
                                          </w:r>
                                        </w:p>
                                      </w:tc>
                                      <w:tc>
                                        <w:tcPr>
                                          <w:tcW w:w="108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6</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500万≤账户资产＜1000万 </w:t>
                                          </w:r>
                                        </w:p>
                                      </w:tc>
                                      <w:tc>
                                        <w:tcPr>
                                          <w:tcW w:w="108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账户资产＜500万 </w:t>
                                          </w:r>
                                        </w:p>
                                      </w:tc>
                                      <w:tc>
                                        <w:tcPr>
                                          <w:tcW w:w="108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四 </w:t>
                                          </w:r>
                                        </w:p>
                                      </w:tc>
                                      <w:tc>
                                        <w:tcPr>
                                          <w:tcW w:w="241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信用记录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10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66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41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其他机构信用记录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无不良信用记录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未提供信用证明材料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有不良诚信记录 </w:t>
                                          </w:r>
                                        </w:p>
                                      </w:tc>
                                      <w:tc>
                                        <w:tcPr>
                                          <w:tcW w:w="108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－10至9</w:t>
                                          </w:r>
                                        </w:p>
                                      </w:tc>
                                      <w:tc>
                                        <w:tcPr>
                                          <w:tcW w:w="10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根据实际情况得9分至倒扣10分 </w:t>
                                          </w:r>
                                        </w:p>
                                      </w:tc>
                                    </w:tr>
                                  </w:tbl>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第十三条 </w:t>
                                    </w:r>
                                    <w:r w:rsidRPr="0037372E">
                                      <w:rPr>
                                        <w:rFonts w:ascii="宋体" w:eastAsia="宋体" w:hAnsi="宋体" w:cs="宋体"/>
                                        <w:kern w:val="0"/>
                                        <w:sz w:val="18"/>
                                        <w:szCs w:val="18"/>
                                      </w:rPr>
                                      <w:t>公司根据不同的资质评分结果设定不同的资质等级，对不同资质等级的客户设定不同的最大交易额度系数，具体等级划分如下：</w:t>
                                    </w:r>
                                  </w:p>
                                  <w:tbl>
                                    <w:tblPr>
                                      <w:tblW w:w="880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2"/>
                                      <w:gridCol w:w="2201"/>
                                      <w:gridCol w:w="2201"/>
                                      <w:gridCol w:w="2201"/>
                                    </w:tblGrid>
                                    <w:tr w:rsidR="0037372E" w:rsidRPr="0037372E">
                                      <w:trPr>
                                        <w:tblCellSpacing w:w="0" w:type="dxa"/>
                                      </w:trPr>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信用评分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信用等级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信用特征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最大交易额度系数 </w:t>
                                          </w:r>
                                        </w:p>
                                      </w:tc>
                                    </w:tr>
                                    <w:tr w:rsidR="0037372E" w:rsidRPr="0037372E">
                                      <w:trPr>
                                        <w:tblCellSpacing w:w="0" w:type="dxa"/>
                                      </w:trPr>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95分－100分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AAA</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非常优秀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0.7</w:t>
                                          </w:r>
                                        </w:p>
                                      </w:tc>
                                    </w:tr>
                                    <w:tr w:rsidR="0037372E" w:rsidRPr="0037372E">
                                      <w:trPr>
                                        <w:tblCellSpacing w:w="0" w:type="dxa"/>
                                      </w:trPr>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90分－94分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AA</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优秀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0.7</w:t>
                                          </w:r>
                                        </w:p>
                                      </w:tc>
                                    </w:tr>
                                    <w:tr w:rsidR="0037372E" w:rsidRPr="0037372E">
                                      <w:trPr>
                                        <w:tblCellSpacing w:w="0" w:type="dxa"/>
                                      </w:trPr>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85分－89分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A</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很好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0.7</w:t>
                                          </w:r>
                                        </w:p>
                                      </w:tc>
                                    </w:tr>
                                    <w:tr w:rsidR="0037372E" w:rsidRPr="0037372E">
                                      <w:trPr>
                                        <w:tblCellSpacing w:w="0" w:type="dxa"/>
                                      </w:trPr>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lastRenderedPageBreak/>
                                            <w:t xml:space="preserve">80分－84分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BBB</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好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0.6</w:t>
                                          </w:r>
                                        </w:p>
                                      </w:tc>
                                    </w:tr>
                                    <w:tr w:rsidR="0037372E" w:rsidRPr="0037372E">
                                      <w:trPr>
                                        <w:tblCellSpacing w:w="0" w:type="dxa"/>
                                      </w:trPr>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75分－79分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BB</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较好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0.6</w:t>
                                          </w:r>
                                        </w:p>
                                      </w:tc>
                                    </w:tr>
                                    <w:tr w:rsidR="0037372E" w:rsidRPr="0037372E">
                                      <w:trPr>
                                        <w:tblCellSpacing w:w="0" w:type="dxa"/>
                                      </w:trPr>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70分—74分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B</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次好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0.6</w:t>
                                          </w:r>
                                        </w:p>
                                      </w:tc>
                                    </w:tr>
                                    <w:tr w:rsidR="0037372E" w:rsidRPr="0037372E">
                                      <w:trPr>
                                        <w:tblCellSpacing w:w="0" w:type="dxa"/>
                                      </w:trPr>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65分—69分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CCC</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一般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0.5</w:t>
                                          </w:r>
                                        </w:p>
                                      </w:tc>
                                    </w:tr>
                                    <w:tr w:rsidR="0037372E" w:rsidRPr="0037372E">
                                      <w:trPr>
                                        <w:tblCellSpacing w:w="0" w:type="dxa"/>
                                      </w:trPr>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64分及以下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CC</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接受 </w:t>
                                          </w:r>
                                        </w:p>
                                      </w:tc>
                                      <w:tc>
                                        <w:tcPr>
                                          <w:tcW w:w="220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0.5</w:t>
                                          </w:r>
                                        </w:p>
                                      </w:tc>
                                    </w:tr>
                                  </w:tbl>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第十四条 </w:t>
                                    </w:r>
                                    <w:r w:rsidRPr="0037372E">
                                      <w:rPr>
                                        <w:rFonts w:ascii="宋体" w:eastAsia="宋体" w:hAnsi="宋体" w:cs="宋体"/>
                                        <w:kern w:val="0"/>
                                        <w:sz w:val="18"/>
                                        <w:szCs w:val="18"/>
                                      </w:rPr>
                                      <w:t>约定购回式证券交易业务管理委员会可根据业务发展需要调整资质评级因子及评分标准、客户最大交易额度系数与资质等级对应关系等。</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第十五条 </w:t>
                                    </w:r>
                                    <w:r w:rsidRPr="0037372E">
                                      <w:rPr>
                                        <w:rFonts w:ascii="宋体" w:eastAsia="宋体" w:hAnsi="宋体" w:cs="宋体"/>
                                        <w:kern w:val="0"/>
                                        <w:sz w:val="18"/>
                                        <w:szCs w:val="18"/>
                                      </w:rPr>
                                      <w:t xml:space="preserve">公司对客户资质状况进行动态维护和管理。方式主要有定期评级及动态调整等。 </w:t>
                                    </w:r>
                                    <w:r w:rsidRPr="0037372E">
                                      <w:rPr>
                                        <w:rFonts w:ascii="宋体" w:eastAsia="宋体" w:hAnsi="宋体" w:cs="宋体"/>
                                        <w:kern w:val="0"/>
                                        <w:sz w:val="18"/>
                                        <w:szCs w:val="18"/>
                                      </w:rPr>
                                      <w:br/>
                                      <w:t xml:space="preserve">(1)定期评级：个人客户可每两年重新进行资质调查及资质评级。机构客户可每年7月30日前按当年年检结果重新进行资质调查及资质评级，已按本年度年检结果资质评级的除外。 </w:t>
                                    </w:r>
                                    <w:r w:rsidRPr="0037372E">
                                      <w:rPr>
                                        <w:rFonts w:ascii="宋体" w:eastAsia="宋体" w:hAnsi="宋体" w:cs="宋体"/>
                                        <w:kern w:val="0"/>
                                        <w:sz w:val="18"/>
                                        <w:szCs w:val="18"/>
                                      </w:rPr>
                                      <w:br/>
                                      <w:t xml:space="preserve">客户资质重新评级的具体评分标准如下：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个人客户（重新评级） </w:t>
                                    </w:r>
                                  </w:p>
                                  <w:tbl>
                                    <w:tblPr>
                                      <w:tblW w:w="84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5"/>
                                      <w:gridCol w:w="2295"/>
                                      <w:gridCol w:w="3660"/>
                                      <w:gridCol w:w="1725"/>
                                    </w:tblGrid>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序号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项目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内容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分值 </w:t>
                                          </w:r>
                                        </w:p>
                                      </w:tc>
                                    </w:tr>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一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基本情况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5 </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年龄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30≤年龄＜55</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25≤年龄＜30或55≤年龄＜65</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18≤年龄＜25或65≤年龄＜70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年龄＜18或年龄≥70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二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证券投资（普通账户）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15</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账户绝对收益水平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10%≤账户年化收益率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购回价格≤账户年化收益率＜10%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2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0≤账户年化收益率＜购回价格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账户年化收益率＜0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账户相对收益水平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年化收益率≥同期沪深300指数涨幅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4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年化收益率＜同期沪深300指数涨幅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投资经验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5年≤入市时间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3年≤入市时间＜5年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3年以下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日均资产规模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3000万≤账户资产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2000万≤账户资产＜3000万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1000万≤账户资产＜2000万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500万≤账户资产＜1000万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账户资产＜500万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r>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三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约定购回式交易情况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50</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最大交易规模（万元）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10000≤最大交易规模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3000≤最大交易规模＜5000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8</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1000≤最大交易规模＜3000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6</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500≤最大交易规模＜1000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最大交易规模＜500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约定购回式交易收入贡献（万元）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200≤收入贡献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150≤收入贡献＜200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18</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100≤收入贡献＜150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50≤收入贡献＜100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12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0≤收入贡献＜50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8</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额度使用率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60%≤额度使用率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40%≤额度使用率＜60%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18</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20%≤额度使用率＜40%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10%≤额度使用率＜20%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12</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额度使用率＜10%</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8</w:t>
                                          </w:r>
                                        </w:p>
                                      </w:tc>
                                    </w:tr>
                                    <w:tr w:rsidR="0037372E" w:rsidRPr="0037372E">
                                      <w:trPr>
                                        <w:tblCellSpacing w:w="0" w:type="dxa"/>
                                      </w:trPr>
                                      <w:tc>
                                        <w:tcPr>
                                          <w:tcW w:w="7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四 </w:t>
                                          </w:r>
                                        </w:p>
                                      </w:tc>
                                      <w:tc>
                                        <w:tcPr>
                                          <w:tcW w:w="229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履约情况</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30 </w:t>
                                          </w:r>
                                        </w:p>
                                      </w:tc>
                                    </w:tr>
                                    <w:tr w:rsidR="0037372E" w:rsidRPr="0037372E">
                                      <w:trPr>
                                        <w:tblCellSpacing w:w="0" w:type="dxa"/>
                                      </w:trPr>
                                      <w:tc>
                                        <w:tcPr>
                                          <w:tcW w:w="7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w:t>
                                          </w:r>
                                        </w:p>
                                      </w:tc>
                                      <w:tc>
                                        <w:tcPr>
                                          <w:tcW w:w="2295"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w:t>
                                          </w: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履约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客户出具的资质调查材料或业务过程中提供的信息虚假但情节轻微的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客户违背资金使用承诺的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客户违约造成有公司轻微损失的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6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其它违约情况 </w:t>
                                          </w:r>
                                        </w:p>
                                      </w:tc>
                                      <w:tc>
                                        <w:tcPr>
                                          <w:tcW w:w="172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视具体情形评分，可扣分 </w:t>
                                          </w:r>
                                        </w:p>
                                      </w:tc>
                                    </w:tr>
                                  </w:tbl>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机构客户（重新评级） </w:t>
                                    </w:r>
                                  </w:p>
                                  <w:tbl>
                                    <w:tblPr>
                                      <w:tblW w:w="86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0"/>
                                      <w:gridCol w:w="2520"/>
                                      <w:gridCol w:w="3960"/>
                                      <w:gridCol w:w="1455"/>
                                    </w:tblGrid>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序号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项目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内容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分值 </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一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基本情况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10</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成立时间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5年以上（不含）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5年以下3年以上（含）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3年以下1.5年以上（含）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规模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5000万元≤注册资本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1000万元≤注册资本＜5000万元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100万元≤注册资本＜1000万元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注册资本＜100万元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是否上市公司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是，经营情况良好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否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二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财务状况</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30</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1</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资产规模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净资产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5000万元≤净资产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1000万元≤净资产＜5000万元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100万元≤净资产＜1000万元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净资产＜100万元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盈利能力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lastRenderedPageBreak/>
                                            <w:t> </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最近一年平均净资产收益率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10%≤净资产收益率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0%≤净资产收益率＜10%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净资产收益率＜0%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偿债能力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（1） </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资产负债率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资产负债率＜50%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50%≤资产负债率＜70%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70%≤资产负债率＜90%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90%≤资产负债率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（2） </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速动比例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1.0≤速动比例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0.5≤速动比例＜1.0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速动比例＜0.5</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其它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经营活动现金净流量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最近一年为正数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最近一年为负数或其它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对外担保情况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无对外担保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0≤对外担保额＜净资产/5</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净资产/5≤对外担保额＜净资产/3</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净资产/3≤对外担保额＜净资产/2</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净资产/2≤对外担保额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三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证券投资（普通账户）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交易经验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5年≤入市时间 </w:t>
                                          </w:r>
                                        </w:p>
                                      </w:tc>
                                      <w:tc>
                                        <w:tcPr>
                                          <w:tcW w:w="1455"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3年≤入市时间＜5年 </w:t>
                                          </w:r>
                                        </w:p>
                                      </w:tc>
                                      <w:tc>
                                        <w:tcPr>
                                          <w:tcW w:w="1455"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1.5年≤入市时间＜3年 </w:t>
                                          </w:r>
                                        </w:p>
                                      </w:tc>
                                      <w:tc>
                                        <w:tcPr>
                                          <w:tcW w:w="1455"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0.5年≤入市时间＜1.5年 </w:t>
                                          </w:r>
                                        </w:p>
                                      </w:tc>
                                      <w:tc>
                                        <w:tcPr>
                                          <w:tcW w:w="1455"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入市时间＜0.5年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资产规模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5000万≤账户资产 </w:t>
                                          </w:r>
                                        </w:p>
                                      </w:tc>
                                      <w:tc>
                                        <w:tcPr>
                                          <w:tcW w:w="1455"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6</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3000万≤账户资产＜5000万 </w:t>
                                          </w:r>
                                        </w:p>
                                      </w:tc>
                                      <w:tc>
                                        <w:tcPr>
                                          <w:tcW w:w="1455"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1000万≤账户资产＜3000万 </w:t>
                                          </w:r>
                                        </w:p>
                                      </w:tc>
                                      <w:tc>
                                        <w:tcPr>
                                          <w:tcW w:w="1455" w:type="dxa"/>
                                          <w:tcBorders>
                                            <w:top w:val="outset" w:sz="6" w:space="0" w:color="auto"/>
                                            <w:left w:val="outset" w:sz="6" w:space="0" w:color="auto"/>
                                            <w:bottom w:val="outset" w:sz="6" w:space="0" w:color="auto"/>
                                            <w:right w:val="outset" w:sz="6" w:space="0" w:color="auto"/>
                                          </w:tcBorders>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四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约定购回交易情况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30</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最大交易规模（万元）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10000≤最大交易规模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5000≤最大交易规模＜10000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8</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1000≤最大交易规模＜3000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6</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500≤最大交易规模＜1000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最大交易规模＜500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4</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约定购回交易收入贡献（万元）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200≤收入贡献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10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150≤收入贡献＜200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8</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100≤收入贡献＜150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50≤收入贡献＜100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3 </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0≤收入贡献＜50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3</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额度使用率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60%≤额度使用率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10</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lastRenderedPageBreak/>
                                            <w:t> </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40%≤额度使用率＜60%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8</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20%≤额度使用率＜40%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5</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10%≤额度使用率＜20%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额度使用率＜10%</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xml:space="preserve">五 </w:t>
                                          </w:r>
                                        </w:p>
                                      </w:tc>
                                      <w:tc>
                                        <w:tcPr>
                                          <w:tcW w:w="252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履约情况</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20 </w:t>
                                          </w:r>
                                        </w:p>
                                      </w:tc>
                                    </w:tr>
                                    <w:tr w:rsidR="0037372E" w:rsidRPr="0037372E">
                                      <w:trPr>
                                        <w:tblCellSpacing w:w="0" w:type="dxa"/>
                                      </w:trPr>
                                      <w:tc>
                                        <w:tcPr>
                                          <w:tcW w:w="7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w:t>
                                          </w:r>
                                        </w:p>
                                      </w:tc>
                                      <w:tc>
                                        <w:tcPr>
                                          <w:tcW w:w="2520" w:type="dxa"/>
                                          <w:vMerge w:val="restart"/>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 </w:t>
                                          </w: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履约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20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客户出具的资质调查材料或业务过程中提供的信息虚假但情节轻微的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客户违背资金使用承诺的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客户违约造成公司有轻微损失的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0</w:t>
                                          </w:r>
                                        </w:p>
                                      </w:tc>
                                    </w:tr>
                                    <w:tr w:rsidR="0037372E" w:rsidRPr="0037372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jc w:val="left"/>
                                            <w:rPr>
                                              <w:rFonts w:ascii="宋体" w:eastAsia="宋体" w:hAnsi="宋体" w:cs="宋体"/>
                                              <w:kern w:val="0"/>
                                              <w:sz w:val="18"/>
                                              <w:szCs w:val="18"/>
                                            </w:rPr>
                                          </w:pPr>
                                        </w:p>
                                      </w:tc>
                                      <w:tc>
                                        <w:tcPr>
                                          <w:tcW w:w="3960"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其它违约情形 </w:t>
                                          </w:r>
                                        </w:p>
                                      </w:tc>
                                      <w:tc>
                                        <w:tcPr>
                                          <w:tcW w:w="1455" w:type="dxa"/>
                                          <w:tcBorders>
                                            <w:top w:val="outset" w:sz="6" w:space="0" w:color="auto"/>
                                            <w:left w:val="outset" w:sz="6" w:space="0" w:color="auto"/>
                                            <w:bottom w:val="outset" w:sz="6" w:space="0" w:color="auto"/>
                                            <w:right w:val="outset" w:sz="6" w:space="0" w:color="auto"/>
                                          </w:tcBorders>
                                          <w:vAlign w:val="center"/>
                                          <w:hideMark/>
                                        </w:tcPr>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kern w:val="0"/>
                                              <w:sz w:val="18"/>
                                              <w:szCs w:val="18"/>
                                            </w:rPr>
                                            <w:t xml:space="preserve">视具体情形评分，可扣分 </w:t>
                                          </w:r>
                                        </w:p>
                                      </w:tc>
                                    </w:tr>
                                  </w:tbl>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(2)动态调整：根据客户基本情况、财务状况等变化及交易履约情况等因素，对客户资质等级进行动态调整。 </w:t>
                                    </w:r>
                                    <w:r w:rsidRPr="0037372E">
                                      <w:rPr>
                                        <w:rFonts w:ascii="宋体" w:eastAsia="宋体" w:hAnsi="宋体" w:cs="宋体"/>
                                        <w:kern w:val="0"/>
                                        <w:sz w:val="18"/>
                                        <w:szCs w:val="18"/>
                                      </w:rPr>
                                      <w:br/>
                                      <w:t xml:space="preserve">出现下列情形的，下调客户资质等级： </w:t>
                                    </w:r>
                                    <w:r w:rsidRPr="0037372E">
                                      <w:rPr>
                                        <w:rFonts w:ascii="宋体" w:eastAsia="宋体" w:hAnsi="宋体" w:cs="宋体"/>
                                        <w:kern w:val="0"/>
                                        <w:sz w:val="18"/>
                                        <w:szCs w:val="18"/>
                                      </w:rPr>
                                      <w:br/>
                                      <w:t xml:space="preserve">①客户因违约造成公司轻微损失的； </w:t>
                                    </w:r>
                                    <w:r w:rsidRPr="0037372E">
                                      <w:rPr>
                                        <w:rFonts w:ascii="宋体" w:eastAsia="宋体" w:hAnsi="宋体" w:cs="宋体"/>
                                        <w:kern w:val="0"/>
                                        <w:sz w:val="18"/>
                                        <w:szCs w:val="18"/>
                                      </w:rPr>
                                      <w:br/>
                                      <w:t xml:space="preserve">②客户出具的资质调查材料或业务过程中提供的信息虚假但情节轻微的； </w:t>
                                    </w:r>
                                    <w:r w:rsidRPr="0037372E">
                                      <w:rPr>
                                        <w:rFonts w:ascii="宋体" w:eastAsia="宋体" w:hAnsi="宋体" w:cs="宋体"/>
                                        <w:kern w:val="0"/>
                                        <w:sz w:val="18"/>
                                        <w:szCs w:val="18"/>
                                      </w:rPr>
                                      <w:br/>
                                      <w:t xml:space="preserve">③客户财务状况等因素发生重大变化有可能影响其偿债能力情形的。 </w:t>
                                    </w:r>
                                    <w:r w:rsidRPr="0037372E">
                                      <w:rPr>
                                        <w:rFonts w:ascii="宋体" w:eastAsia="宋体" w:hAnsi="宋体" w:cs="宋体"/>
                                        <w:kern w:val="0"/>
                                        <w:sz w:val="18"/>
                                        <w:szCs w:val="18"/>
                                      </w:rPr>
                                      <w:br/>
                                      <w:t xml:space="preserve">④客户违背资金使用承诺。 </w:t>
                                    </w:r>
                                    <w:r w:rsidRPr="0037372E">
                                      <w:rPr>
                                        <w:rFonts w:ascii="宋体" w:eastAsia="宋体" w:hAnsi="宋体" w:cs="宋体"/>
                                        <w:kern w:val="0"/>
                                        <w:sz w:val="18"/>
                                        <w:szCs w:val="18"/>
                                      </w:rPr>
                                      <w:br/>
                                      <w:t>对资质等级调整的客户，公司按调整后的资质等级重新授予最大交易额度并自下笔交易开始生效。对于情形严重的，公司有权要求客户提前履约并终止合同。</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第四章     黑名单管理</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第十六条 </w:t>
                                    </w:r>
                                    <w:r w:rsidRPr="0037372E">
                                      <w:rPr>
                                        <w:rFonts w:ascii="宋体" w:eastAsia="宋体" w:hAnsi="宋体" w:cs="宋体"/>
                                        <w:kern w:val="0"/>
                                        <w:sz w:val="18"/>
                                        <w:szCs w:val="18"/>
                                      </w:rPr>
                                      <w:t xml:space="preserve">公司对资信不良、有严重违约记录的客户实行黑名单制度，并按规定向上交所及中国结算上海分公司（以下简称中登）等部门报告。对列入黑名单的客户，公司有权取消其约定购回式交易资格。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第十七条 </w:t>
                                    </w:r>
                                    <w:r w:rsidRPr="0037372E">
                                      <w:rPr>
                                        <w:rFonts w:ascii="宋体" w:eastAsia="宋体" w:hAnsi="宋体" w:cs="宋体"/>
                                        <w:kern w:val="0"/>
                                        <w:sz w:val="18"/>
                                        <w:szCs w:val="18"/>
                                      </w:rPr>
                                      <w:t xml:space="preserve">有下列情形之一的，公司将该类客户列入黑名单： </w:t>
                                    </w:r>
                                  </w:p>
                                  <w:p w:rsidR="0037372E" w:rsidRPr="0037372E" w:rsidRDefault="0037372E" w:rsidP="0037372E">
                                    <w:pPr>
                                      <w:widowControl/>
                                      <w:numPr>
                                        <w:ilvl w:val="0"/>
                                        <w:numId w:val="1"/>
                                      </w:numPr>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客户标的证券或资金来源不合法； </w:t>
                                    </w:r>
                                  </w:p>
                                  <w:p w:rsidR="0037372E" w:rsidRPr="0037372E" w:rsidRDefault="0037372E" w:rsidP="0037372E">
                                    <w:pPr>
                                      <w:widowControl/>
                                      <w:numPr>
                                        <w:ilvl w:val="0"/>
                                        <w:numId w:val="1"/>
                                      </w:numPr>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客户违约且造成公司重大损失的； </w:t>
                                    </w:r>
                                  </w:p>
                                  <w:p w:rsidR="0037372E" w:rsidRPr="0037372E" w:rsidRDefault="0037372E" w:rsidP="0037372E">
                                    <w:pPr>
                                      <w:widowControl/>
                                      <w:numPr>
                                        <w:ilvl w:val="0"/>
                                        <w:numId w:val="1"/>
                                      </w:numPr>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客户所出具的资质调查材料虚假且情节严重的； </w:t>
                                    </w:r>
                                  </w:p>
                                  <w:p w:rsidR="0037372E" w:rsidRPr="0037372E" w:rsidRDefault="0037372E" w:rsidP="0037372E">
                                    <w:pPr>
                                      <w:widowControl/>
                                      <w:numPr>
                                        <w:ilvl w:val="0"/>
                                        <w:numId w:val="1"/>
                                      </w:numPr>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客户发生申请停业整顿、解散、破产、停业、歇业，被注销登记、被吊销营业执照，法定代表人或主要负责人从事违法活动、涉及重大诉讼活动，经营出现严重困难、财务状况恶化等严重影响客户履约能力事件的； </w:t>
                                    </w:r>
                                  </w:p>
                                  <w:p w:rsidR="0037372E" w:rsidRPr="0037372E" w:rsidRDefault="0037372E" w:rsidP="0037372E">
                                    <w:pPr>
                                      <w:widowControl/>
                                      <w:numPr>
                                        <w:ilvl w:val="0"/>
                                        <w:numId w:val="1"/>
                                      </w:numPr>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其它。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第五章     授予最大交易额度</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lastRenderedPageBreak/>
                                      <w:t xml:space="preserve">第十八条 </w:t>
                                    </w:r>
                                    <w:r w:rsidRPr="0037372E">
                                      <w:rPr>
                                        <w:rFonts w:ascii="宋体" w:eastAsia="宋体" w:hAnsi="宋体" w:cs="宋体"/>
                                        <w:kern w:val="0"/>
                                        <w:sz w:val="18"/>
                                        <w:szCs w:val="18"/>
                                      </w:rPr>
                                      <w:t xml:space="preserve">融资融券部综合考虑客户资质等级、市场情况、公司财务情况、约定购回式交易现有规模等内容后初步确定客户最大交易额度，上报约定购回式交易管理委员会，约定购回式交易管理委员会召开专门会议审议决定客户最大交易规模。 约定购回式交易管理委员会可授权相关业务部门在一定额度范围内确定客户最大交易额度。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第十九条 </w:t>
                                    </w:r>
                                    <w:r w:rsidRPr="0037372E">
                                      <w:rPr>
                                        <w:rFonts w:ascii="宋体" w:eastAsia="宋体" w:hAnsi="宋体" w:cs="宋体"/>
                                        <w:kern w:val="0"/>
                                        <w:sz w:val="18"/>
                                        <w:szCs w:val="18"/>
                                      </w:rPr>
                                      <w:t xml:space="preserve">客户最大交易额度=授信日客户所有标的证券的市值*最大交易额度系数=∑（授信日客户标的证券市值（以前一交易日收盘价计算））×最大交易额度系数。客户最大交易额度不超过净资本的2%。 约定购回式交易管理委员会可根据业务发展需要调整客户最大交易额度的算法。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第二十条 </w:t>
                                    </w:r>
                                    <w:r w:rsidRPr="0037372E">
                                      <w:rPr>
                                        <w:rFonts w:ascii="宋体" w:eastAsia="宋体" w:hAnsi="宋体" w:cs="宋体"/>
                                        <w:kern w:val="0"/>
                                        <w:sz w:val="18"/>
                                        <w:szCs w:val="18"/>
                                      </w:rPr>
                                      <w:t>个人客户每两年重新资质评级并可根据评级结果重新授予最大交易额度。机构客户每年7月30日前按当年年检结果重新资质评级并可重新授予客户最大交易额度。</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第二十一条 </w:t>
                                    </w:r>
                                    <w:r w:rsidRPr="0037372E">
                                      <w:rPr>
                                        <w:rFonts w:ascii="宋体" w:eastAsia="宋体" w:hAnsi="宋体" w:cs="宋体"/>
                                        <w:kern w:val="0"/>
                                        <w:sz w:val="18"/>
                                        <w:szCs w:val="18"/>
                                      </w:rPr>
                                      <w:t>在公司授予的最大交易额度范围内和有效期内，客户可进行多笔约定购回交易。</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第六章     客户信息管理</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第二十二条 </w:t>
                                    </w:r>
                                    <w:r w:rsidRPr="0037372E">
                                      <w:rPr>
                                        <w:rFonts w:ascii="宋体" w:eastAsia="宋体" w:hAnsi="宋体" w:cs="宋体"/>
                                        <w:kern w:val="0"/>
                                        <w:sz w:val="18"/>
                                        <w:szCs w:val="18"/>
                                      </w:rPr>
                                      <w:t xml:space="preserve">客户重要信息包括客户姓名（名称）、身份证号、注册号、组织机构代码、注册资本、实收资本、经营范围及期限、法定代表人、约定购回式交易代理人、联系信息及控股股东等。客户重要信息发生变更时，应及时到指定营业部临柜办理变更手续。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第二十三条 </w:t>
                                    </w:r>
                                    <w:r w:rsidRPr="0037372E">
                                      <w:rPr>
                                        <w:rFonts w:ascii="宋体" w:eastAsia="宋体" w:hAnsi="宋体" w:cs="宋体"/>
                                        <w:kern w:val="0"/>
                                        <w:sz w:val="18"/>
                                        <w:szCs w:val="18"/>
                                      </w:rPr>
                                      <w:t>公司在约定购回式交易管理系统对客户资质调查、资质评级、授予最大交易额度等业务以电子数据方式予以记载并留痕。</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第二十四条 </w:t>
                                    </w:r>
                                    <w:r w:rsidRPr="0037372E">
                                      <w:rPr>
                                        <w:rFonts w:ascii="宋体" w:eastAsia="宋体" w:hAnsi="宋体" w:cs="宋体"/>
                                        <w:kern w:val="0"/>
                                        <w:sz w:val="18"/>
                                        <w:szCs w:val="18"/>
                                      </w:rPr>
                                      <w:t>公司在约定购回式交易管理系统记录客户黑名单及其列入黑名单的时间、原因、经办人及向上交所、中登的报备情况。</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第二十五条 </w:t>
                                    </w:r>
                                    <w:r w:rsidRPr="0037372E">
                                      <w:rPr>
                                        <w:rFonts w:ascii="宋体" w:eastAsia="宋体" w:hAnsi="宋体" w:cs="宋体"/>
                                        <w:kern w:val="0"/>
                                        <w:sz w:val="18"/>
                                        <w:szCs w:val="18"/>
                                      </w:rPr>
                                      <w:t xml:space="preserve">客户协议及风险揭示书、交易协议书、全套资质调查材料及相关业务表单等资料均需在公司新意影像管理平台扫描归档管理。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第二十六条 </w:t>
                                    </w:r>
                                    <w:r w:rsidRPr="0037372E">
                                      <w:rPr>
                                        <w:rFonts w:ascii="宋体" w:eastAsia="宋体" w:hAnsi="宋体" w:cs="宋体"/>
                                        <w:kern w:val="0"/>
                                        <w:sz w:val="18"/>
                                        <w:szCs w:val="18"/>
                                      </w:rPr>
                                      <w:t xml:space="preserve">公司总部按档案管理办法对客户协议及风险揭示书、交易协议书进行归档管理，营业部对客户协议及风险揭示书、交易协议书、全套资质调查材料及相关业务表单等书面资料进行归档管理。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第七章     通知与提示服务</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第二十七条 </w:t>
                                    </w:r>
                                    <w:r w:rsidRPr="0037372E">
                                      <w:rPr>
                                        <w:rFonts w:ascii="宋体" w:eastAsia="宋体" w:hAnsi="宋体" w:cs="宋体"/>
                                        <w:kern w:val="0"/>
                                        <w:sz w:val="18"/>
                                        <w:szCs w:val="18"/>
                                      </w:rPr>
                                      <w:t>公司加强对客户的通知与提示服务管理，及时向客户发送各类通知与提示。</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第二十八条 </w:t>
                                    </w:r>
                                    <w:r w:rsidRPr="0037372E">
                                      <w:rPr>
                                        <w:rFonts w:ascii="宋体" w:eastAsia="宋体" w:hAnsi="宋体" w:cs="宋体"/>
                                        <w:kern w:val="0"/>
                                        <w:sz w:val="18"/>
                                        <w:szCs w:val="18"/>
                                      </w:rPr>
                                      <w:t>初始交易和购回交易成交后，公司及时以短信、邮件方式提示客户。</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第二十九条 </w:t>
                                    </w:r>
                                    <w:r w:rsidRPr="0037372E">
                                      <w:rPr>
                                        <w:rFonts w:ascii="宋体" w:eastAsia="宋体" w:hAnsi="宋体" w:cs="宋体"/>
                                        <w:kern w:val="0"/>
                                        <w:sz w:val="18"/>
                                        <w:szCs w:val="18"/>
                                      </w:rPr>
                                      <w:t>当标的证券所属上市公司出现配股、增发、发行可转债、发行权证、投票表决、被要约收购、被吸收合并、吸收合并等对客户股东权益产生影响的情形时，公司及时以短信、邮件或录音电话方式提示客户。</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第三十条 </w:t>
                                    </w:r>
                                    <w:r w:rsidRPr="0037372E">
                                      <w:rPr>
                                        <w:rFonts w:ascii="宋体" w:eastAsia="宋体" w:hAnsi="宋体" w:cs="宋体"/>
                                        <w:kern w:val="0"/>
                                        <w:sz w:val="18"/>
                                        <w:szCs w:val="18"/>
                                      </w:rPr>
                                      <w:t xml:space="preserve">当履约保障比例低于 “预警履约保障比例”但高于 “最低履约保障比例”时，公司向客户发送“预警提示”，要求客户关注市场风险，做好提前购回或采取其它履约风险管理措施的准备工作。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lastRenderedPageBreak/>
                                      <w:t xml:space="preserve">第三十一条 </w:t>
                                    </w:r>
                                    <w:r w:rsidRPr="0037372E">
                                      <w:rPr>
                                        <w:rFonts w:ascii="宋体" w:eastAsia="宋体" w:hAnsi="宋体" w:cs="宋体"/>
                                        <w:kern w:val="0"/>
                                        <w:sz w:val="18"/>
                                        <w:szCs w:val="18"/>
                                      </w:rPr>
                                      <w:t>当履约保障比例低于“最低履约保障比例”时，公司在触线当日清算后向客户发送“违约预警通知”，提示客户提前购回或采取履约风险管理措施，否则视为客户违约。</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第三十二条 </w:t>
                                    </w:r>
                                    <w:r w:rsidRPr="0037372E">
                                      <w:rPr>
                                        <w:rFonts w:ascii="宋体" w:eastAsia="宋体" w:hAnsi="宋体" w:cs="宋体"/>
                                        <w:kern w:val="0"/>
                                        <w:sz w:val="18"/>
                                        <w:szCs w:val="18"/>
                                      </w:rPr>
                                      <w:t>公司在交易期限届满前五个交易日连续向客户发送“交易拟到期提示”，提示客户提前做好资金调度工作，确保在到期日14：30前资金账户内资金可足额支付购回交易金额。</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第三十三条 </w:t>
                                    </w:r>
                                    <w:r w:rsidRPr="0037372E">
                                      <w:rPr>
                                        <w:rFonts w:ascii="宋体" w:eastAsia="宋体" w:hAnsi="宋体" w:cs="宋体"/>
                                        <w:kern w:val="0"/>
                                        <w:sz w:val="18"/>
                                        <w:szCs w:val="18"/>
                                      </w:rPr>
                                      <w:t>当客户提前或延期购回申请获公司确认后，公司在核准当日及时以短信、邮件、录音电话方式通知客户。</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第三十四条 </w:t>
                                    </w:r>
                                    <w:r w:rsidRPr="0037372E">
                                      <w:rPr>
                                        <w:rFonts w:ascii="宋体" w:eastAsia="宋体" w:hAnsi="宋体" w:cs="宋体"/>
                                        <w:kern w:val="0"/>
                                        <w:sz w:val="18"/>
                                        <w:szCs w:val="18"/>
                                      </w:rPr>
                                      <w:t>当因标的证券被ST、*ST、涉及吸收合并、要约收购事件、权证发行、公司缩股或公司分立、发生严重影响客户履约能力事件等情形时，公司要求客户提前购回的，公司及时以短信、邮件、录音电话方式通知客户。</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第三十五条 </w:t>
                                    </w:r>
                                    <w:r w:rsidRPr="0037372E">
                                      <w:rPr>
                                        <w:rFonts w:ascii="宋体" w:eastAsia="宋体" w:hAnsi="宋体" w:cs="宋体"/>
                                        <w:kern w:val="0"/>
                                        <w:sz w:val="18"/>
                                        <w:szCs w:val="18"/>
                                      </w:rPr>
                                      <w:t xml:space="preserve">当客户进入违约处理流程的，公司及时以短信、邮件、录音电话方式通知客户。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第八章     客户服务及投诉纠纷处理</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第三十六条 </w:t>
                                    </w:r>
                                    <w:r w:rsidRPr="0037372E">
                                      <w:rPr>
                                        <w:rFonts w:ascii="宋体" w:eastAsia="宋体" w:hAnsi="宋体" w:cs="宋体"/>
                                        <w:kern w:val="0"/>
                                        <w:sz w:val="18"/>
                                        <w:szCs w:val="18"/>
                                      </w:rPr>
                                      <w:t xml:space="preserve">公司通过营业部柜台或客户服务中心为客户提供人工查询及对账服务。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第三十七条 </w:t>
                                    </w:r>
                                    <w:r w:rsidRPr="0037372E">
                                      <w:rPr>
                                        <w:rFonts w:ascii="宋体" w:eastAsia="宋体" w:hAnsi="宋体" w:cs="宋体"/>
                                        <w:kern w:val="0"/>
                                        <w:sz w:val="18"/>
                                        <w:szCs w:val="18"/>
                                      </w:rPr>
                                      <w:t>公司根据协议约定的方式定期为客户寄送对账单。</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第三十八条 </w:t>
                                    </w:r>
                                    <w:r w:rsidRPr="0037372E">
                                      <w:rPr>
                                        <w:rFonts w:ascii="宋体" w:eastAsia="宋体" w:hAnsi="宋体" w:cs="宋体"/>
                                        <w:kern w:val="0"/>
                                        <w:sz w:val="18"/>
                                        <w:szCs w:val="18"/>
                                      </w:rPr>
                                      <w:t xml:space="preserve">公司制定投诉及纠纷处理制度，建立投诉受理、处理及处理情况回访的机制。在营业部经营场所公布营业部投诉电话、公司客服电话、公司总部业务投诉邮件地址、总部通讯地址等投诉渠道信息。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第三十九条 </w:t>
                                    </w:r>
                                    <w:r w:rsidRPr="0037372E">
                                      <w:rPr>
                                        <w:rFonts w:ascii="宋体" w:eastAsia="宋体" w:hAnsi="宋体" w:cs="宋体"/>
                                        <w:kern w:val="0"/>
                                        <w:sz w:val="18"/>
                                        <w:szCs w:val="18"/>
                                      </w:rPr>
                                      <w:t>营业部须指定专人在交易日工作时间内接听投诉电话；对客户投诉事项进行登记、处理；不能处理的，应及时上报公司。</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第四十条 </w:t>
                                    </w:r>
                                    <w:r w:rsidRPr="0037372E">
                                      <w:rPr>
                                        <w:rFonts w:ascii="宋体" w:eastAsia="宋体" w:hAnsi="宋体" w:cs="宋体"/>
                                        <w:kern w:val="0"/>
                                        <w:sz w:val="18"/>
                                        <w:szCs w:val="18"/>
                                      </w:rPr>
                                      <w:t>客户服务中心接到客户投诉电话后，应对投诉事项进行详细登记，并转交融资融券部或营业部处理。</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第四十一条 </w:t>
                                    </w:r>
                                    <w:r w:rsidRPr="0037372E">
                                      <w:rPr>
                                        <w:rFonts w:ascii="宋体" w:eastAsia="宋体" w:hAnsi="宋体" w:cs="宋体"/>
                                        <w:kern w:val="0"/>
                                        <w:sz w:val="18"/>
                                        <w:szCs w:val="18"/>
                                      </w:rPr>
                                      <w:t xml:space="preserve">公司总部职能部门收到客户投诉的电子邮件或书面信函后，应将投诉信息转至融资融券部，由融资融券部或营业部处理。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第四十二条 </w:t>
                                    </w:r>
                                    <w:r w:rsidRPr="0037372E">
                                      <w:rPr>
                                        <w:rFonts w:ascii="宋体" w:eastAsia="宋体" w:hAnsi="宋体" w:cs="宋体"/>
                                        <w:kern w:val="0"/>
                                        <w:sz w:val="18"/>
                                        <w:szCs w:val="18"/>
                                      </w:rPr>
                                      <w:t xml:space="preserve">公司建立投诉处理应急机制。 </w:t>
                                    </w:r>
                                    <w:r w:rsidRPr="0037372E">
                                      <w:rPr>
                                        <w:rFonts w:ascii="宋体" w:eastAsia="宋体" w:hAnsi="宋体" w:cs="宋体"/>
                                        <w:kern w:val="0"/>
                                        <w:sz w:val="18"/>
                                        <w:szCs w:val="18"/>
                                      </w:rPr>
                                      <w:br/>
                                      <w:t xml:space="preserve">（一）对有可能或已经导致客户到监管部门、政府上访、闹访及到公司本部或营业部发生客户投诉群体性事件等严重影响公司正常经营活动的，公司应启动应急投诉处理机制。对已经到相关部门投诉、上访的客户，公司融资融券部负责人、相关营业部总经理应亲临事发现场，做好客户劝导和安抚工作，带回客户，同时应会同相关业务人员，积极商量对策，拟定解决方案，上报上级领导。必要时，公司分管领导应亲临现场，组织指导、协调解决有关问题，同时应向当地监管部门、公安部门报告。 </w:t>
                                    </w:r>
                                    <w:r w:rsidRPr="0037372E">
                                      <w:rPr>
                                        <w:rFonts w:ascii="宋体" w:eastAsia="宋体" w:hAnsi="宋体" w:cs="宋体"/>
                                        <w:kern w:val="0"/>
                                        <w:sz w:val="18"/>
                                        <w:szCs w:val="18"/>
                                      </w:rPr>
                                      <w:br/>
                                      <w:t xml:space="preserve">（二）对属于客户误解的，相关负责人应耐心解释，认真疏导，取得客户理解，让客户满意，争取当场解决问题。 </w:t>
                                    </w:r>
                                    <w:r w:rsidRPr="0037372E">
                                      <w:rPr>
                                        <w:rFonts w:ascii="宋体" w:eastAsia="宋体" w:hAnsi="宋体" w:cs="宋体"/>
                                        <w:kern w:val="0"/>
                                        <w:sz w:val="18"/>
                                        <w:szCs w:val="18"/>
                                      </w:rPr>
                                      <w:br/>
                                      <w:t xml:space="preserve">（三）对确属公司差错且造成客户损失的，相关负责人应首先做好客户的安抚工作，约定三日内给客户回复处理意见。 </w:t>
                                    </w:r>
                                    <w:r w:rsidRPr="0037372E">
                                      <w:rPr>
                                        <w:rFonts w:ascii="宋体" w:eastAsia="宋体" w:hAnsi="宋体" w:cs="宋体"/>
                                        <w:kern w:val="0"/>
                                        <w:sz w:val="18"/>
                                        <w:szCs w:val="18"/>
                                      </w:rPr>
                                      <w:br/>
                                      <w:t xml:space="preserve">（四）融资融券部应及时跟踪上述重大投诉事项的处理情况，同时向分管领导、合规与风险管理总部等相关部门报告。 </w:t>
                                    </w:r>
                                    <w:r w:rsidRPr="0037372E">
                                      <w:rPr>
                                        <w:rFonts w:ascii="宋体" w:eastAsia="宋体" w:hAnsi="宋体" w:cs="宋体"/>
                                        <w:kern w:val="0"/>
                                        <w:sz w:val="18"/>
                                        <w:szCs w:val="18"/>
                                      </w:rPr>
                                      <w:br/>
                                      <w:t xml:space="preserve">（五）营业部总经理为负责本部客户投诉应急处理的第一责任人，要认真做好客户投诉处理、来访接待和劝导工作，尽量化解矛盾，防范客户上访事件的发生，务必将投诉、信访问题解决在基层，防止事态扩大。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第四十三条 </w:t>
                                    </w:r>
                                    <w:r w:rsidRPr="0037372E">
                                      <w:rPr>
                                        <w:rFonts w:ascii="宋体" w:eastAsia="宋体" w:hAnsi="宋体" w:cs="宋体"/>
                                        <w:kern w:val="0"/>
                                        <w:sz w:val="18"/>
                                        <w:szCs w:val="18"/>
                                      </w:rPr>
                                      <w:t xml:space="preserve">公司建立投诉处理情况的回访机制，对投诉事项中负有责任的人员进行问责。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lastRenderedPageBreak/>
                                      <w:t xml:space="preserve">第四十四条 </w:t>
                                    </w:r>
                                    <w:r w:rsidRPr="0037372E">
                                      <w:rPr>
                                        <w:rFonts w:ascii="宋体" w:eastAsia="宋体" w:hAnsi="宋体" w:cs="宋体"/>
                                        <w:kern w:val="0"/>
                                        <w:sz w:val="18"/>
                                        <w:szCs w:val="18"/>
                                      </w:rPr>
                                      <w:t xml:space="preserve">融资融券部对营业部的客户投诉处理情况进行定期或不定期检查，合规与风险管理总部及稽核部对营业部及公司的客户投诉处理情况进行定期或不定期检查、稽核。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第九章     投资者教育</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第四十五条 </w:t>
                                    </w:r>
                                    <w:r w:rsidRPr="0037372E">
                                      <w:rPr>
                                        <w:rFonts w:ascii="宋体" w:eastAsia="宋体" w:hAnsi="宋体" w:cs="宋体"/>
                                        <w:kern w:val="0"/>
                                        <w:sz w:val="18"/>
                                        <w:szCs w:val="18"/>
                                      </w:rPr>
                                      <w:t xml:space="preserve">公司将投资者教育工作有机融入约定购回式交易营销、客户资质评级、授予最大交易额度、签约、履约管理与违约处理等各项业务环节中。引导客户理性、规范地参与约定购回式交易。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第四十六条 </w:t>
                                    </w:r>
                                    <w:r w:rsidRPr="0037372E">
                                      <w:rPr>
                                        <w:rFonts w:ascii="宋体" w:eastAsia="宋体" w:hAnsi="宋体" w:cs="宋体"/>
                                        <w:kern w:val="0"/>
                                        <w:sz w:val="18"/>
                                        <w:szCs w:val="18"/>
                                      </w:rPr>
                                      <w:t xml:space="preserve">业务营销环节： </w:t>
                                    </w:r>
                                    <w:r w:rsidRPr="0037372E">
                                      <w:rPr>
                                        <w:rFonts w:ascii="宋体" w:eastAsia="宋体" w:hAnsi="宋体" w:cs="宋体"/>
                                        <w:kern w:val="0"/>
                                        <w:sz w:val="18"/>
                                        <w:szCs w:val="18"/>
                                      </w:rPr>
                                      <w:br/>
                                      <w:t xml:space="preserve">（一）公司定期组织内部营销人员以及与公司正式签订委托合同的证券经纪人进行约定购回式交易培训； </w:t>
                                    </w:r>
                                    <w:r w:rsidRPr="0037372E">
                                      <w:rPr>
                                        <w:rFonts w:ascii="宋体" w:eastAsia="宋体" w:hAnsi="宋体" w:cs="宋体"/>
                                        <w:kern w:val="0"/>
                                        <w:sz w:val="18"/>
                                        <w:szCs w:val="18"/>
                                      </w:rPr>
                                      <w:br/>
                                      <w:t xml:space="preserve">（二）公司统一制作约定购回式交易投资者教育培训教材、各类知识手册、宣传资料及多媒体光盘，发放给客户，进行投资者教育。 </w:t>
                                    </w:r>
                                    <w:r w:rsidRPr="0037372E">
                                      <w:rPr>
                                        <w:rFonts w:ascii="宋体" w:eastAsia="宋体" w:hAnsi="宋体" w:cs="宋体"/>
                                        <w:kern w:val="0"/>
                                        <w:sz w:val="18"/>
                                        <w:szCs w:val="18"/>
                                      </w:rPr>
                                      <w:br/>
                                      <w:t xml:space="preserve">（三）营业部应指定专人对客户进行业务知识培训，对培训记录应留痕。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第四十七条 </w:t>
                                    </w:r>
                                    <w:r w:rsidRPr="0037372E">
                                      <w:rPr>
                                        <w:rFonts w:ascii="宋体" w:eastAsia="宋体" w:hAnsi="宋体" w:cs="宋体"/>
                                        <w:kern w:val="0"/>
                                        <w:sz w:val="18"/>
                                        <w:szCs w:val="18"/>
                                      </w:rPr>
                                      <w:t xml:space="preserve">客户资质调查与授予最大交易额度环节： </w:t>
                                    </w:r>
                                    <w:r w:rsidRPr="0037372E">
                                      <w:rPr>
                                        <w:rFonts w:ascii="宋体" w:eastAsia="宋体" w:hAnsi="宋体" w:cs="宋体"/>
                                        <w:kern w:val="0"/>
                                        <w:sz w:val="18"/>
                                        <w:szCs w:val="18"/>
                                      </w:rPr>
                                      <w:br/>
                                      <w:t xml:space="preserve">（一）受理客户开展约定购回式交易申请时，机构业务部向其讲解业务规则及对其进行风险揭示，使其充分了解约定购回式交易业务规则及风险。 </w:t>
                                    </w:r>
                                    <w:r w:rsidRPr="0037372E">
                                      <w:rPr>
                                        <w:rFonts w:ascii="宋体" w:eastAsia="宋体" w:hAnsi="宋体" w:cs="宋体"/>
                                        <w:kern w:val="0"/>
                                        <w:sz w:val="18"/>
                                        <w:szCs w:val="18"/>
                                      </w:rPr>
                                      <w:br/>
                                      <w:t xml:space="preserve">（二）营业部对客户展开尽职调查，充分了解客户的基本情况、财务状况、证券投资能力、信用状况及对业务规则、风险的认识程度。严格审察客户资质调查材料，保证其真实性、完整性、有效性及一致性。 </w:t>
                                    </w:r>
                                    <w:r w:rsidRPr="0037372E">
                                      <w:rPr>
                                        <w:rFonts w:ascii="宋体" w:eastAsia="宋体" w:hAnsi="宋体" w:cs="宋体"/>
                                        <w:kern w:val="0"/>
                                        <w:sz w:val="18"/>
                                        <w:szCs w:val="18"/>
                                      </w:rPr>
                                      <w:br/>
                                      <w:t xml:space="preserve">（三）融资融券部通过客户资质评级系统客观对其进行资质评级，并根据客户资质等级及账户内资产市值授予客户最大交易额度。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第四十八条 </w:t>
                                    </w:r>
                                    <w:r w:rsidRPr="0037372E">
                                      <w:rPr>
                                        <w:rFonts w:ascii="宋体" w:eastAsia="宋体" w:hAnsi="宋体" w:cs="宋体"/>
                                        <w:kern w:val="0"/>
                                        <w:sz w:val="18"/>
                                        <w:szCs w:val="18"/>
                                      </w:rPr>
                                      <w:t xml:space="preserve">客户签约环节： </w:t>
                                    </w:r>
                                    <w:r w:rsidRPr="0037372E">
                                      <w:rPr>
                                        <w:rFonts w:ascii="宋体" w:eastAsia="宋体" w:hAnsi="宋体" w:cs="宋体"/>
                                        <w:kern w:val="0"/>
                                        <w:sz w:val="18"/>
                                        <w:szCs w:val="18"/>
                                      </w:rPr>
                                      <w:br/>
                                      <w:t>（一）客户签约前，营业部指定专人向客户详细讲解业务规则、客户协议条款及风险揭示并留痕，要求客户仔细阅读《风险揭示书》内容并签字。</w:t>
                                    </w:r>
                                    <w:r w:rsidRPr="0037372E">
                                      <w:rPr>
                                        <w:rFonts w:ascii="宋体" w:eastAsia="宋体" w:hAnsi="宋体" w:cs="宋体"/>
                                        <w:kern w:val="0"/>
                                        <w:sz w:val="18"/>
                                        <w:szCs w:val="18"/>
                                      </w:rPr>
                                      <w:br/>
                                      <w:t xml:space="preserve">（二）客户现场签定《客户协议》时，要求其预留正确的联系电话、电子邮箱、应急联系人及应急电话。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第四十九条 </w:t>
                                    </w:r>
                                    <w:r w:rsidRPr="0037372E">
                                      <w:rPr>
                                        <w:rFonts w:ascii="宋体" w:eastAsia="宋体" w:hAnsi="宋体" w:cs="宋体"/>
                                        <w:kern w:val="0"/>
                                        <w:sz w:val="18"/>
                                        <w:szCs w:val="18"/>
                                      </w:rPr>
                                      <w:t xml:space="preserve">逐日盯市、履约管理及违约处置环节： </w:t>
                                    </w:r>
                                    <w:r w:rsidRPr="0037372E">
                                      <w:rPr>
                                        <w:rFonts w:ascii="宋体" w:eastAsia="宋体" w:hAnsi="宋体" w:cs="宋体"/>
                                        <w:kern w:val="0"/>
                                        <w:sz w:val="18"/>
                                        <w:szCs w:val="18"/>
                                      </w:rPr>
                                      <w:br/>
                                      <w:t>（一）及时向客户发送预警通知或违约预警通知。对于履约保障比例触及预警水平和最低水平的客户，融资融券部及时通过手机短信及电子邮箱发送相关通知。同时，营业部以录音电话通知客户并留痕。</w:t>
                                    </w:r>
                                    <w:r w:rsidRPr="0037372E">
                                      <w:rPr>
                                        <w:rFonts w:ascii="宋体" w:eastAsia="宋体" w:hAnsi="宋体" w:cs="宋体"/>
                                        <w:kern w:val="0"/>
                                        <w:sz w:val="18"/>
                                        <w:szCs w:val="18"/>
                                      </w:rPr>
                                      <w:br/>
                                      <w:t>（二）及时向客户发送风险提示。日终清算后，融资融券部对逐日盯市中的重点监控客户发送风险提示。同时将相应的客户清单发送营业部。对于其中风险较大的客户，营业部及时以录音电话方式与客户沟通。重点客户主要包括：交易规模比较大、资质等级降低、标的证券集中度较高、亏损幅度较大、压力测试后履约保障比例将触及预警水平或最低水平的客户等。</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w:t>
                                    </w:r>
                                  </w:p>
                                  <w:p w:rsidR="0037372E" w:rsidRPr="0037372E" w:rsidRDefault="0037372E" w:rsidP="0037372E">
                                    <w:pPr>
                                      <w:widowControl/>
                                      <w:spacing w:before="100" w:beforeAutospacing="1" w:after="100" w:afterAutospacing="1"/>
                                      <w:jc w:val="center"/>
                                      <w:rPr>
                                        <w:rFonts w:ascii="宋体" w:eastAsia="宋体" w:hAnsi="宋体" w:cs="宋体"/>
                                        <w:kern w:val="0"/>
                                        <w:sz w:val="18"/>
                                        <w:szCs w:val="18"/>
                                      </w:rPr>
                                    </w:pPr>
                                    <w:r w:rsidRPr="0037372E">
                                      <w:rPr>
                                        <w:rFonts w:ascii="宋体" w:eastAsia="宋体" w:hAnsi="宋体" w:cs="宋体"/>
                                        <w:b/>
                                        <w:bCs/>
                                        <w:kern w:val="0"/>
                                        <w:sz w:val="18"/>
                                        <w:szCs w:val="18"/>
                                      </w:rPr>
                                      <w:t>第十章     附 则</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b/>
                                        <w:bCs/>
                                        <w:kern w:val="0"/>
                                        <w:sz w:val="18"/>
                                        <w:szCs w:val="18"/>
                                      </w:rPr>
                                      <w:t xml:space="preserve">第五十条 </w:t>
                                    </w:r>
                                    <w:r w:rsidRPr="0037372E">
                                      <w:rPr>
                                        <w:rFonts w:ascii="宋体" w:eastAsia="宋体" w:hAnsi="宋体" w:cs="宋体"/>
                                        <w:kern w:val="0"/>
                                        <w:sz w:val="18"/>
                                        <w:szCs w:val="18"/>
                                      </w:rPr>
                                      <w:t xml:space="preserve">本办法未尽事宜遵照法律、法规、规章及公司其他相关业务规章制度执行，本办法与证券监督管理部门发布的约定购回式交易规定有冲突的，以证券监督管理部门的最新规定为准。 </w:t>
                                    </w:r>
                                  </w:p>
                                  <w:p w:rsidR="0037372E" w:rsidRPr="0037372E" w:rsidRDefault="0037372E" w:rsidP="0037372E">
                                    <w:pPr>
                                      <w:widowControl/>
                                      <w:spacing w:before="100" w:beforeAutospacing="1" w:after="100" w:afterAutospacing="1"/>
                                      <w:jc w:val="left"/>
                                      <w:rPr>
                                        <w:rFonts w:ascii="宋体" w:eastAsia="宋体" w:hAnsi="宋体" w:cs="宋体"/>
                                        <w:kern w:val="0"/>
                                        <w:sz w:val="18"/>
                                        <w:szCs w:val="18"/>
                                      </w:rPr>
                                    </w:pPr>
                                    <w:r w:rsidRPr="0037372E">
                                      <w:rPr>
                                        <w:rFonts w:ascii="宋体" w:eastAsia="宋体" w:hAnsi="宋体" w:cs="宋体"/>
                                        <w:kern w:val="0"/>
                                        <w:sz w:val="18"/>
                                        <w:szCs w:val="18"/>
                                      </w:rPr>
                                      <w:t xml:space="preserve"> 本办法由融资融券部负责解释及修订，自印发之日起实施。 </w:t>
                                    </w:r>
                                  </w:p>
                                </w:tc>
                              </w:tr>
                            </w:tbl>
                            <w:p w:rsidR="0037372E" w:rsidRPr="0037372E" w:rsidRDefault="0037372E" w:rsidP="0037372E">
                              <w:pPr>
                                <w:widowControl/>
                                <w:spacing w:line="312" w:lineRule="auto"/>
                                <w:jc w:val="left"/>
                                <w:rPr>
                                  <w:rFonts w:ascii="宋体" w:eastAsia="宋体" w:hAnsi="宋体" w:cs="宋体"/>
                                  <w:kern w:val="0"/>
                                  <w:szCs w:val="21"/>
                                </w:rPr>
                              </w:pPr>
                            </w:p>
                          </w:tc>
                        </w:tr>
                      </w:tbl>
                      <w:p w:rsidR="0037372E" w:rsidRPr="0037372E" w:rsidRDefault="0037372E" w:rsidP="0037372E">
                        <w:pPr>
                          <w:widowControl/>
                          <w:jc w:val="center"/>
                          <w:rPr>
                            <w:rFonts w:ascii="宋体" w:eastAsia="宋体" w:hAnsi="宋体" w:cs="宋体"/>
                            <w:vanish/>
                            <w:kern w:val="0"/>
                            <w:sz w:val="18"/>
                            <w:szCs w:val="18"/>
                          </w:rPr>
                        </w:pPr>
                      </w:p>
                      <w:tbl>
                        <w:tblPr>
                          <w:tblW w:w="4800" w:type="pct"/>
                          <w:jc w:val="center"/>
                          <w:tblCellSpacing w:w="0" w:type="dxa"/>
                          <w:tblCellMar>
                            <w:left w:w="0" w:type="dxa"/>
                            <w:right w:w="0" w:type="dxa"/>
                          </w:tblCellMar>
                          <w:tblLook w:val="04A0" w:firstRow="1" w:lastRow="0" w:firstColumn="1" w:lastColumn="0" w:noHBand="0" w:noVBand="1"/>
                        </w:tblPr>
                        <w:tblGrid>
                          <w:gridCol w:w="10080"/>
                        </w:tblGrid>
                        <w:tr w:rsidR="0037372E" w:rsidRPr="0037372E">
                          <w:trPr>
                            <w:tblCellSpacing w:w="0" w:type="dxa"/>
                            <w:jc w:val="center"/>
                          </w:trPr>
                          <w:tc>
                            <w:tcPr>
                              <w:tcW w:w="0" w:type="auto"/>
                              <w:vAlign w:val="center"/>
                              <w:hideMark/>
                            </w:tcPr>
                            <w:p w:rsidR="0037372E" w:rsidRPr="0037372E" w:rsidRDefault="0037372E" w:rsidP="0037372E">
                              <w:pPr>
                                <w:widowControl/>
                                <w:jc w:val="left"/>
                                <w:rPr>
                                  <w:rFonts w:ascii="宋体" w:eastAsia="宋体" w:hAnsi="宋体" w:cs="宋体"/>
                                  <w:kern w:val="0"/>
                                  <w:sz w:val="18"/>
                                  <w:szCs w:val="18"/>
                                </w:rPr>
                              </w:pPr>
                              <w:r w:rsidRPr="0037372E">
                                <w:rPr>
                                  <w:rFonts w:ascii="宋体" w:eastAsia="宋体" w:hAnsi="宋体" w:cs="宋体"/>
                                  <w:kern w:val="0"/>
                                  <w:sz w:val="18"/>
                                  <w:szCs w:val="18"/>
                                </w:rPr>
                                <w:t xml:space="preserve">  </w:t>
                              </w:r>
                            </w:p>
                          </w:tc>
                        </w:tr>
                        <w:tr w:rsidR="0037372E" w:rsidRPr="0037372E">
                          <w:trPr>
                            <w:tblCellSpacing w:w="0" w:type="dxa"/>
                            <w:jc w:val="center"/>
                          </w:trPr>
                          <w:tc>
                            <w:tcPr>
                              <w:tcW w:w="0" w:type="auto"/>
                              <w:vAlign w:val="center"/>
                              <w:hideMark/>
                            </w:tcPr>
                            <w:p w:rsidR="0037372E" w:rsidRPr="0037372E" w:rsidRDefault="0037372E" w:rsidP="0037372E">
                              <w:pPr>
                                <w:widowControl/>
                                <w:jc w:val="center"/>
                                <w:rPr>
                                  <w:rFonts w:ascii="宋体" w:eastAsia="宋体" w:hAnsi="宋体" w:cs="宋体"/>
                                  <w:kern w:val="0"/>
                                  <w:sz w:val="18"/>
                                  <w:szCs w:val="18"/>
                                </w:rPr>
                              </w:pPr>
                              <w:r>
                                <w:rPr>
                                  <w:rFonts w:ascii="宋体" w:eastAsia="宋体" w:hAnsi="宋体" w:cs="宋体"/>
                                  <w:noProof/>
                                  <w:kern w:val="0"/>
                                  <w:sz w:val="18"/>
                                  <w:szCs w:val="18"/>
                                </w:rPr>
                                <w:lastRenderedPageBreak/>
                                <w:drawing>
                                  <wp:inline distT="0" distB="0" distL="0" distR="0">
                                    <wp:extent cx="647700" cy="171450"/>
                                    <wp:effectExtent l="0" t="0" r="0" b="0"/>
                                    <wp:docPr id="1" name="图片 1" descr="http://www.htsec.com/static/htsec/f/hgyx/tzgwyw/images/pic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tsec.com/static/htsec/f/hgyx/tzgwyw/images/pic6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171450"/>
                                            </a:xfrm>
                                            <a:prstGeom prst="rect">
                                              <a:avLst/>
                                            </a:prstGeom>
                                            <a:noFill/>
                                            <a:ln>
                                              <a:noFill/>
                                            </a:ln>
                                          </pic:spPr>
                                        </pic:pic>
                                      </a:graphicData>
                                    </a:graphic>
                                  </wp:inline>
                                </w:drawing>
                              </w:r>
                            </w:p>
                          </w:tc>
                        </w:tr>
                        <w:tr w:rsidR="0037372E" w:rsidRPr="0037372E">
                          <w:trPr>
                            <w:trHeight w:val="375"/>
                            <w:tblCellSpacing w:w="0" w:type="dxa"/>
                            <w:jc w:val="center"/>
                          </w:trPr>
                          <w:tc>
                            <w:tcPr>
                              <w:tcW w:w="0" w:type="auto"/>
                              <w:vAlign w:val="center"/>
                              <w:hideMark/>
                            </w:tcPr>
                            <w:p w:rsidR="0037372E" w:rsidRPr="0037372E" w:rsidRDefault="0037372E" w:rsidP="0037372E">
                              <w:pPr>
                                <w:widowControl/>
                                <w:jc w:val="center"/>
                                <w:rPr>
                                  <w:rFonts w:ascii="宋体" w:eastAsia="宋体" w:hAnsi="宋体" w:cs="宋体"/>
                                  <w:kern w:val="0"/>
                                  <w:sz w:val="18"/>
                                  <w:szCs w:val="18"/>
                                </w:rPr>
                              </w:pPr>
                              <w:r w:rsidRPr="0037372E">
                                <w:rPr>
                                  <w:rFonts w:ascii="宋体" w:eastAsia="宋体" w:hAnsi="宋体" w:cs="宋体"/>
                                  <w:kern w:val="0"/>
                                  <w:sz w:val="18"/>
                                  <w:szCs w:val="18"/>
                                </w:rPr>
                                <w:t xml:space="preserve">  </w:t>
                              </w:r>
                            </w:p>
                          </w:tc>
                        </w:tr>
                      </w:tbl>
                      <w:p w:rsidR="0037372E" w:rsidRPr="0037372E" w:rsidRDefault="0037372E" w:rsidP="0037372E">
                        <w:pPr>
                          <w:widowControl/>
                          <w:jc w:val="center"/>
                          <w:rPr>
                            <w:rFonts w:ascii="宋体" w:eastAsia="宋体" w:hAnsi="宋体" w:cs="宋体"/>
                            <w:vanish/>
                            <w:kern w:val="0"/>
                            <w:sz w:val="18"/>
                            <w:szCs w:val="18"/>
                          </w:rPr>
                        </w:pPr>
                      </w:p>
                      <w:tbl>
                        <w:tblPr>
                          <w:tblW w:w="5000" w:type="pct"/>
                          <w:jc w:val="center"/>
                          <w:tblCellSpacing w:w="0" w:type="dxa"/>
                          <w:tblCellMar>
                            <w:left w:w="0" w:type="dxa"/>
                            <w:right w:w="0" w:type="dxa"/>
                          </w:tblCellMar>
                          <w:tblLook w:val="04A0" w:firstRow="1" w:lastRow="0" w:firstColumn="1" w:lastColumn="0" w:noHBand="0" w:noVBand="1"/>
                        </w:tblPr>
                        <w:tblGrid>
                          <w:gridCol w:w="10500"/>
                        </w:tblGrid>
                        <w:tr w:rsidR="0037372E" w:rsidRPr="0037372E">
                          <w:trPr>
                            <w:trHeight w:val="300"/>
                            <w:tblCellSpacing w:w="0" w:type="dxa"/>
                            <w:jc w:val="center"/>
                          </w:trPr>
                          <w:tc>
                            <w:tcPr>
                              <w:tcW w:w="0" w:type="auto"/>
                              <w:vAlign w:val="center"/>
                              <w:hideMark/>
                            </w:tcPr>
                            <w:p w:rsidR="0037372E" w:rsidRPr="0037372E" w:rsidRDefault="0037372E" w:rsidP="0037372E">
                              <w:pPr>
                                <w:widowControl/>
                                <w:jc w:val="left"/>
                                <w:rPr>
                                  <w:rFonts w:ascii="宋体" w:eastAsia="宋体" w:hAnsi="宋体" w:cs="宋体"/>
                                  <w:kern w:val="0"/>
                                  <w:sz w:val="18"/>
                                  <w:szCs w:val="18"/>
                                </w:rPr>
                              </w:pPr>
                              <w:r w:rsidRPr="0037372E">
                                <w:rPr>
                                  <w:rFonts w:ascii="宋体" w:eastAsia="宋体" w:hAnsi="宋体" w:cs="宋体"/>
                                  <w:kern w:val="0"/>
                                  <w:sz w:val="18"/>
                                  <w:szCs w:val="18"/>
                                </w:rPr>
                                <w:t xml:space="preserve">  </w:t>
                              </w:r>
                            </w:p>
                          </w:tc>
                        </w:tr>
                      </w:tbl>
                      <w:p w:rsidR="0037372E" w:rsidRPr="0037372E" w:rsidRDefault="0037372E" w:rsidP="0037372E">
                        <w:pPr>
                          <w:widowControl/>
                          <w:jc w:val="center"/>
                          <w:rPr>
                            <w:rFonts w:ascii="宋体" w:eastAsia="宋体" w:hAnsi="宋体" w:cs="宋体"/>
                            <w:kern w:val="0"/>
                            <w:sz w:val="18"/>
                            <w:szCs w:val="18"/>
                          </w:rPr>
                        </w:pPr>
                      </w:p>
                    </w:tc>
                  </w:tr>
                </w:tbl>
                <w:p w:rsidR="0037372E" w:rsidRPr="0037372E" w:rsidRDefault="0037372E" w:rsidP="0037372E">
                  <w:pPr>
                    <w:widowControl/>
                    <w:jc w:val="left"/>
                    <w:rPr>
                      <w:rFonts w:ascii="宋体" w:eastAsia="宋体" w:hAnsi="宋体" w:cs="宋体"/>
                      <w:kern w:val="0"/>
                      <w:sz w:val="18"/>
                      <w:szCs w:val="18"/>
                    </w:rPr>
                  </w:pPr>
                </w:p>
              </w:tc>
            </w:tr>
          </w:tbl>
          <w:p w:rsidR="0037372E" w:rsidRPr="0037372E" w:rsidRDefault="0037372E" w:rsidP="0037372E">
            <w:pPr>
              <w:widowControl/>
              <w:jc w:val="center"/>
              <w:rPr>
                <w:rFonts w:ascii="宋体" w:eastAsia="宋体" w:hAnsi="宋体" w:cs="宋体"/>
                <w:kern w:val="0"/>
                <w:sz w:val="18"/>
                <w:szCs w:val="18"/>
              </w:rPr>
            </w:pPr>
          </w:p>
        </w:tc>
      </w:tr>
    </w:tbl>
    <w:p w:rsidR="00B34FC6" w:rsidRDefault="00B34FC6">
      <w:bookmarkStart w:id="0" w:name="_GoBack"/>
      <w:bookmarkEnd w:id="0"/>
    </w:p>
    <w:sectPr w:rsidR="00B34F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CC4" w:rsidRDefault="007B4CC4" w:rsidP="0037372E">
      <w:r>
        <w:separator/>
      </w:r>
    </w:p>
  </w:endnote>
  <w:endnote w:type="continuationSeparator" w:id="0">
    <w:p w:rsidR="007B4CC4" w:rsidRDefault="007B4CC4" w:rsidP="0037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CC4" w:rsidRDefault="007B4CC4" w:rsidP="0037372E">
      <w:r>
        <w:separator/>
      </w:r>
    </w:p>
  </w:footnote>
  <w:footnote w:type="continuationSeparator" w:id="0">
    <w:p w:rsidR="007B4CC4" w:rsidRDefault="007B4CC4" w:rsidP="003737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15"/>
    <w:multiLevelType w:val="multilevel"/>
    <w:tmpl w:val="1538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01"/>
    <w:rsid w:val="0037372E"/>
    <w:rsid w:val="007B4CC4"/>
    <w:rsid w:val="00B34FC6"/>
    <w:rsid w:val="00F0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37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372E"/>
    <w:rPr>
      <w:sz w:val="18"/>
      <w:szCs w:val="18"/>
    </w:rPr>
  </w:style>
  <w:style w:type="paragraph" w:styleId="a4">
    <w:name w:val="footer"/>
    <w:basedOn w:val="a"/>
    <w:link w:val="Char0"/>
    <w:uiPriority w:val="99"/>
    <w:unhideWhenUsed/>
    <w:rsid w:val="0037372E"/>
    <w:pPr>
      <w:tabs>
        <w:tab w:val="center" w:pos="4153"/>
        <w:tab w:val="right" w:pos="8306"/>
      </w:tabs>
      <w:snapToGrid w:val="0"/>
      <w:jc w:val="left"/>
    </w:pPr>
    <w:rPr>
      <w:sz w:val="18"/>
      <w:szCs w:val="18"/>
    </w:rPr>
  </w:style>
  <w:style w:type="character" w:customStyle="1" w:styleId="Char0">
    <w:name w:val="页脚 Char"/>
    <w:basedOn w:val="a0"/>
    <w:link w:val="a4"/>
    <w:uiPriority w:val="99"/>
    <w:rsid w:val="0037372E"/>
    <w:rPr>
      <w:sz w:val="18"/>
      <w:szCs w:val="18"/>
    </w:rPr>
  </w:style>
  <w:style w:type="character" w:styleId="a5">
    <w:name w:val="Hyperlink"/>
    <w:basedOn w:val="a0"/>
    <w:uiPriority w:val="99"/>
    <w:semiHidden/>
    <w:unhideWhenUsed/>
    <w:rsid w:val="0037372E"/>
    <w:rPr>
      <w:color w:val="0000FF"/>
      <w:u w:val="single"/>
    </w:rPr>
  </w:style>
  <w:style w:type="character" w:styleId="a6">
    <w:name w:val="FollowedHyperlink"/>
    <w:basedOn w:val="a0"/>
    <w:uiPriority w:val="99"/>
    <w:semiHidden/>
    <w:unhideWhenUsed/>
    <w:rsid w:val="0037372E"/>
    <w:rPr>
      <w:color w:val="800080"/>
      <w:u w:val="single"/>
    </w:rPr>
  </w:style>
  <w:style w:type="paragraph" w:customStyle="1" w:styleId="menutd">
    <w:name w:val="menu_td"/>
    <w:basedOn w:val="a"/>
    <w:rsid w:val="0037372E"/>
    <w:pPr>
      <w:widowControl/>
      <w:spacing w:before="100" w:beforeAutospacing="1" w:after="100" w:afterAutospacing="1"/>
      <w:jc w:val="left"/>
    </w:pPr>
    <w:rPr>
      <w:rFonts w:ascii="宋体" w:eastAsia="宋体" w:hAnsi="宋体" w:cs="宋体"/>
      <w:color w:val="163456"/>
      <w:kern w:val="0"/>
      <w:sz w:val="20"/>
      <w:szCs w:val="20"/>
    </w:rPr>
  </w:style>
  <w:style w:type="paragraph" w:customStyle="1" w:styleId="secmenubg">
    <w:name w:val="secmenu_bg"/>
    <w:basedOn w:val="a"/>
    <w:rsid w:val="0037372E"/>
    <w:pPr>
      <w:widowControl/>
      <w:shd w:val="clear" w:color="auto" w:fill="AAB9D1"/>
      <w:spacing w:before="100" w:beforeAutospacing="1" w:after="100" w:afterAutospacing="1"/>
      <w:jc w:val="left"/>
    </w:pPr>
    <w:rPr>
      <w:rFonts w:ascii="宋体" w:eastAsia="宋体" w:hAnsi="宋体" w:cs="宋体"/>
      <w:kern w:val="0"/>
      <w:sz w:val="24"/>
      <w:szCs w:val="24"/>
    </w:rPr>
  </w:style>
  <w:style w:type="paragraph" w:customStyle="1" w:styleId="submenutd">
    <w:name w:val="submenu_td"/>
    <w:basedOn w:val="a"/>
    <w:rsid w:val="0037372E"/>
    <w:pPr>
      <w:widowControl/>
      <w:spacing w:before="100" w:beforeAutospacing="1" w:after="100" w:afterAutospacing="1"/>
      <w:jc w:val="left"/>
    </w:pPr>
    <w:rPr>
      <w:rFonts w:ascii="宋体" w:eastAsia="宋体" w:hAnsi="宋体" w:cs="宋体"/>
      <w:kern w:val="0"/>
      <w:sz w:val="24"/>
      <w:szCs w:val="24"/>
    </w:rPr>
  </w:style>
  <w:style w:type="paragraph" w:customStyle="1" w:styleId="btnstyle01">
    <w:name w:val="btnstyle01"/>
    <w:basedOn w:val="a"/>
    <w:rsid w:val="0037372E"/>
    <w:pPr>
      <w:widowControl/>
      <w:spacing w:before="100" w:beforeAutospacing="1" w:after="100" w:afterAutospacing="1"/>
      <w:jc w:val="left"/>
    </w:pPr>
    <w:rPr>
      <w:rFonts w:ascii="宋体" w:eastAsia="宋体" w:hAnsi="宋体" w:cs="宋体"/>
      <w:kern w:val="0"/>
      <w:sz w:val="24"/>
      <w:szCs w:val="24"/>
    </w:rPr>
  </w:style>
  <w:style w:type="paragraph" w:customStyle="1" w:styleId="fontsize">
    <w:name w:val="fontsize"/>
    <w:basedOn w:val="a"/>
    <w:rsid w:val="0037372E"/>
    <w:pPr>
      <w:widowControl/>
      <w:spacing w:before="100" w:beforeAutospacing="1" w:after="100" w:afterAutospacing="1"/>
      <w:jc w:val="left"/>
    </w:pPr>
    <w:rPr>
      <w:rFonts w:ascii="宋体" w:eastAsia="宋体" w:hAnsi="宋体" w:cs="宋体"/>
      <w:kern w:val="0"/>
      <w:szCs w:val="21"/>
    </w:rPr>
  </w:style>
  <w:style w:type="paragraph" w:customStyle="1" w:styleId="fontwhite">
    <w:name w:val="fontwhite"/>
    <w:basedOn w:val="a"/>
    <w:rsid w:val="0037372E"/>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fontblue">
    <w:name w:val="fontblue"/>
    <w:basedOn w:val="a"/>
    <w:rsid w:val="0037372E"/>
    <w:pPr>
      <w:widowControl/>
      <w:spacing w:before="100" w:beforeAutospacing="1" w:after="100" w:afterAutospacing="1"/>
      <w:jc w:val="left"/>
    </w:pPr>
    <w:rPr>
      <w:rFonts w:ascii="宋体" w:eastAsia="宋体" w:hAnsi="宋体" w:cs="宋体"/>
      <w:color w:val="0057F7"/>
      <w:kern w:val="0"/>
      <w:sz w:val="24"/>
      <w:szCs w:val="24"/>
    </w:rPr>
  </w:style>
  <w:style w:type="paragraph" w:customStyle="1" w:styleId="fontred">
    <w:name w:val="fontred"/>
    <w:basedOn w:val="a"/>
    <w:rsid w:val="0037372E"/>
    <w:pPr>
      <w:widowControl/>
      <w:spacing w:before="100" w:beforeAutospacing="1" w:after="100" w:afterAutospacing="1"/>
      <w:jc w:val="left"/>
    </w:pPr>
    <w:rPr>
      <w:rFonts w:ascii="宋体" w:eastAsia="宋体" w:hAnsi="宋体" w:cs="宋体"/>
      <w:color w:val="ED292D"/>
      <w:kern w:val="0"/>
      <w:sz w:val="24"/>
      <w:szCs w:val="24"/>
    </w:rPr>
  </w:style>
  <w:style w:type="paragraph" w:customStyle="1" w:styleId="fontred2">
    <w:name w:val="fontred2"/>
    <w:basedOn w:val="a"/>
    <w:rsid w:val="0037372E"/>
    <w:pPr>
      <w:widowControl/>
      <w:spacing w:before="100" w:beforeAutospacing="1" w:after="100" w:afterAutospacing="1"/>
      <w:jc w:val="left"/>
    </w:pPr>
    <w:rPr>
      <w:rFonts w:ascii="宋体" w:eastAsia="宋体" w:hAnsi="宋体" w:cs="宋体"/>
      <w:color w:val="C90101"/>
      <w:kern w:val="0"/>
      <w:szCs w:val="21"/>
    </w:rPr>
  </w:style>
  <w:style w:type="paragraph" w:customStyle="1" w:styleId="fontred3">
    <w:name w:val="fontred3"/>
    <w:basedOn w:val="a"/>
    <w:rsid w:val="0037372E"/>
    <w:pPr>
      <w:widowControl/>
      <w:spacing w:before="100" w:beforeAutospacing="1" w:after="100" w:afterAutospacing="1"/>
      <w:jc w:val="left"/>
    </w:pPr>
    <w:rPr>
      <w:rFonts w:ascii="宋体" w:eastAsia="宋体" w:hAnsi="宋体" w:cs="宋体"/>
      <w:color w:val="AA5600"/>
      <w:kern w:val="0"/>
      <w:sz w:val="24"/>
      <w:szCs w:val="24"/>
    </w:rPr>
  </w:style>
  <w:style w:type="paragraph" w:customStyle="1" w:styleId="fontred4">
    <w:name w:val="fontred4"/>
    <w:basedOn w:val="a"/>
    <w:rsid w:val="0037372E"/>
    <w:pPr>
      <w:widowControl/>
      <w:spacing w:before="100" w:beforeAutospacing="1" w:after="100" w:afterAutospacing="1"/>
      <w:jc w:val="left"/>
    </w:pPr>
    <w:rPr>
      <w:rFonts w:ascii="宋体" w:eastAsia="宋体" w:hAnsi="宋体" w:cs="宋体"/>
      <w:color w:val="7C6C30"/>
      <w:kern w:val="0"/>
      <w:sz w:val="24"/>
      <w:szCs w:val="24"/>
    </w:rPr>
  </w:style>
  <w:style w:type="paragraph" w:customStyle="1" w:styleId="fontgray">
    <w:name w:val="fontgray"/>
    <w:basedOn w:val="a"/>
    <w:rsid w:val="0037372E"/>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ontgray2">
    <w:name w:val="fontgray2"/>
    <w:basedOn w:val="a"/>
    <w:rsid w:val="0037372E"/>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fontorange">
    <w:name w:val="fontorange"/>
    <w:basedOn w:val="a"/>
    <w:rsid w:val="0037372E"/>
    <w:pPr>
      <w:widowControl/>
      <w:spacing w:before="100" w:beforeAutospacing="1" w:after="100" w:afterAutospacing="1"/>
      <w:jc w:val="left"/>
    </w:pPr>
    <w:rPr>
      <w:rFonts w:ascii="宋体" w:eastAsia="宋体" w:hAnsi="宋体" w:cs="宋体"/>
      <w:color w:val="E26F05"/>
      <w:kern w:val="0"/>
      <w:sz w:val="24"/>
      <w:szCs w:val="24"/>
    </w:rPr>
  </w:style>
  <w:style w:type="paragraph" w:customStyle="1" w:styleId="fontgreen">
    <w:name w:val="fontgreen"/>
    <w:basedOn w:val="a"/>
    <w:rsid w:val="0037372E"/>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newstitlehtsec">
    <w:name w:val="newstitle_htsec"/>
    <w:basedOn w:val="a"/>
    <w:rsid w:val="0037372E"/>
    <w:pPr>
      <w:widowControl/>
      <w:spacing w:before="100" w:beforeAutospacing="1" w:after="100" w:afterAutospacing="1"/>
      <w:jc w:val="left"/>
    </w:pPr>
    <w:rPr>
      <w:rFonts w:ascii="宋体" w:eastAsia="宋体" w:hAnsi="宋体" w:cs="宋体"/>
      <w:b/>
      <w:bCs/>
      <w:kern w:val="0"/>
      <w:sz w:val="24"/>
      <w:szCs w:val="24"/>
    </w:rPr>
  </w:style>
  <w:style w:type="paragraph" w:customStyle="1" w:styleId="fontnews3">
    <w:name w:val="fontnews3"/>
    <w:basedOn w:val="a"/>
    <w:rsid w:val="0037372E"/>
    <w:pPr>
      <w:widowControl/>
      <w:spacing w:before="100" w:beforeAutospacing="1" w:after="100" w:afterAutospacing="1" w:line="312" w:lineRule="auto"/>
      <w:jc w:val="left"/>
    </w:pPr>
    <w:rPr>
      <w:rFonts w:ascii="宋体" w:eastAsia="宋体" w:hAnsi="宋体" w:cs="宋体"/>
      <w:kern w:val="0"/>
      <w:szCs w:val="21"/>
    </w:rPr>
  </w:style>
  <w:style w:type="paragraph" w:styleId="a7">
    <w:name w:val="Normal (Web)"/>
    <w:basedOn w:val="a"/>
    <w:uiPriority w:val="99"/>
    <w:unhideWhenUsed/>
    <w:rsid w:val="0037372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7372E"/>
    <w:rPr>
      <w:b/>
      <w:bCs/>
    </w:rPr>
  </w:style>
  <w:style w:type="paragraph" w:styleId="a9">
    <w:name w:val="Balloon Text"/>
    <w:basedOn w:val="a"/>
    <w:link w:val="Char1"/>
    <w:uiPriority w:val="99"/>
    <w:semiHidden/>
    <w:unhideWhenUsed/>
    <w:rsid w:val="0037372E"/>
    <w:rPr>
      <w:sz w:val="18"/>
      <w:szCs w:val="18"/>
    </w:rPr>
  </w:style>
  <w:style w:type="character" w:customStyle="1" w:styleId="Char1">
    <w:name w:val="批注框文本 Char"/>
    <w:basedOn w:val="a0"/>
    <w:link w:val="a9"/>
    <w:uiPriority w:val="99"/>
    <w:semiHidden/>
    <w:rsid w:val="003737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37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372E"/>
    <w:rPr>
      <w:sz w:val="18"/>
      <w:szCs w:val="18"/>
    </w:rPr>
  </w:style>
  <w:style w:type="paragraph" w:styleId="a4">
    <w:name w:val="footer"/>
    <w:basedOn w:val="a"/>
    <w:link w:val="Char0"/>
    <w:uiPriority w:val="99"/>
    <w:unhideWhenUsed/>
    <w:rsid w:val="0037372E"/>
    <w:pPr>
      <w:tabs>
        <w:tab w:val="center" w:pos="4153"/>
        <w:tab w:val="right" w:pos="8306"/>
      </w:tabs>
      <w:snapToGrid w:val="0"/>
      <w:jc w:val="left"/>
    </w:pPr>
    <w:rPr>
      <w:sz w:val="18"/>
      <w:szCs w:val="18"/>
    </w:rPr>
  </w:style>
  <w:style w:type="character" w:customStyle="1" w:styleId="Char0">
    <w:name w:val="页脚 Char"/>
    <w:basedOn w:val="a0"/>
    <w:link w:val="a4"/>
    <w:uiPriority w:val="99"/>
    <w:rsid w:val="0037372E"/>
    <w:rPr>
      <w:sz w:val="18"/>
      <w:szCs w:val="18"/>
    </w:rPr>
  </w:style>
  <w:style w:type="character" w:styleId="a5">
    <w:name w:val="Hyperlink"/>
    <w:basedOn w:val="a0"/>
    <w:uiPriority w:val="99"/>
    <w:semiHidden/>
    <w:unhideWhenUsed/>
    <w:rsid w:val="0037372E"/>
    <w:rPr>
      <w:color w:val="0000FF"/>
      <w:u w:val="single"/>
    </w:rPr>
  </w:style>
  <w:style w:type="character" w:styleId="a6">
    <w:name w:val="FollowedHyperlink"/>
    <w:basedOn w:val="a0"/>
    <w:uiPriority w:val="99"/>
    <w:semiHidden/>
    <w:unhideWhenUsed/>
    <w:rsid w:val="0037372E"/>
    <w:rPr>
      <w:color w:val="800080"/>
      <w:u w:val="single"/>
    </w:rPr>
  </w:style>
  <w:style w:type="paragraph" w:customStyle="1" w:styleId="menutd">
    <w:name w:val="menu_td"/>
    <w:basedOn w:val="a"/>
    <w:rsid w:val="0037372E"/>
    <w:pPr>
      <w:widowControl/>
      <w:spacing w:before="100" w:beforeAutospacing="1" w:after="100" w:afterAutospacing="1"/>
      <w:jc w:val="left"/>
    </w:pPr>
    <w:rPr>
      <w:rFonts w:ascii="宋体" w:eastAsia="宋体" w:hAnsi="宋体" w:cs="宋体"/>
      <w:color w:val="163456"/>
      <w:kern w:val="0"/>
      <w:sz w:val="20"/>
      <w:szCs w:val="20"/>
    </w:rPr>
  </w:style>
  <w:style w:type="paragraph" w:customStyle="1" w:styleId="secmenubg">
    <w:name w:val="secmenu_bg"/>
    <w:basedOn w:val="a"/>
    <w:rsid w:val="0037372E"/>
    <w:pPr>
      <w:widowControl/>
      <w:shd w:val="clear" w:color="auto" w:fill="AAB9D1"/>
      <w:spacing w:before="100" w:beforeAutospacing="1" w:after="100" w:afterAutospacing="1"/>
      <w:jc w:val="left"/>
    </w:pPr>
    <w:rPr>
      <w:rFonts w:ascii="宋体" w:eastAsia="宋体" w:hAnsi="宋体" w:cs="宋体"/>
      <w:kern w:val="0"/>
      <w:sz w:val="24"/>
      <w:szCs w:val="24"/>
    </w:rPr>
  </w:style>
  <w:style w:type="paragraph" w:customStyle="1" w:styleId="submenutd">
    <w:name w:val="submenu_td"/>
    <w:basedOn w:val="a"/>
    <w:rsid w:val="0037372E"/>
    <w:pPr>
      <w:widowControl/>
      <w:spacing w:before="100" w:beforeAutospacing="1" w:after="100" w:afterAutospacing="1"/>
      <w:jc w:val="left"/>
    </w:pPr>
    <w:rPr>
      <w:rFonts w:ascii="宋体" w:eastAsia="宋体" w:hAnsi="宋体" w:cs="宋体"/>
      <w:kern w:val="0"/>
      <w:sz w:val="24"/>
      <w:szCs w:val="24"/>
    </w:rPr>
  </w:style>
  <w:style w:type="paragraph" w:customStyle="1" w:styleId="btnstyle01">
    <w:name w:val="btnstyle01"/>
    <w:basedOn w:val="a"/>
    <w:rsid w:val="0037372E"/>
    <w:pPr>
      <w:widowControl/>
      <w:spacing w:before="100" w:beforeAutospacing="1" w:after="100" w:afterAutospacing="1"/>
      <w:jc w:val="left"/>
    </w:pPr>
    <w:rPr>
      <w:rFonts w:ascii="宋体" w:eastAsia="宋体" w:hAnsi="宋体" w:cs="宋体"/>
      <w:kern w:val="0"/>
      <w:sz w:val="24"/>
      <w:szCs w:val="24"/>
    </w:rPr>
  </w:style>
  <w:style w:type="paragraph" w:customStyle="1" w:styleId="fontsize">
    <w:name w:val="fontsize"/>
    <w:basedOn w:val="a"/>
    <w:rsid w:val="0037372E"/>
    <w:pPr>
      <w:widowControl/>
      <w:spacing w:before="100" w:beforeAutospacing="1" w:after="100" w:afterAutospacing="1"/>
      <w:jc w:val="left"/>
    </w:pPr>
    <w:rPr>
      <w:rFonts w:ascii="宋体" w:eastAsia="宋体" w:hAnsi="宋体" w:cs="宋体"/>
      <w:kern w:val="0"/>
      <w:szCs w:val="21"/>
    </w:rPr>
  </w:style>
  <w:style w:type="paragraph" w:customStyle="1" w:styleId="fontwhite">
    <w:name w:val="fontwhite"/>
    <w:basedOn w:val="a"/>
    <w:rsid w:val="0037372E"/>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fontblue">
    <w:name w:val="fontblue"/>
    <w:basedOn w:val="a"/>
    <w:rsid w:val="0037372E"/>
    <w:pPr>
      <w:widowControl/>
      <w:spacing w:before="100" w:beforeAutospacing="1" w:after="100" w:afterAutospacing="1"/>
      <w:jc w:val="left"/>
    </w:pPr>
    <w:rPr>
      <w:rFonts w:ascii="宋体" w:eastAsia="宋体" w:hAnsi="宋体" w:cs="宋体"/>
      <w:color w:val="0057F7"/>
      <w:kern w:val="0"/>
      <w:sz w:val="24"/>
      <w:szCs w:val="24"/>
    </w:rPr>
  </w:style>
  <w:style w:type="paragraph" w:customStyle="1" w:styleId="fontred">
    <w:name w:val="fontred"/>
    <w:basedOn w:val="a"/>
    <w:rsid w:val="0037372E"/>
    <w:pPr>
      <w:widowControl/>
      <w:spacing w:before="100" w:beforeAutospacing="1" w:after="100" w:afterAutospacing="1"/>
      <w:jc w:val="left"/>
    </w:pPr>
    <w:rPr>
      <w:rFonts w:ascii="宋体" w:eastAsia="宋体" w:hAnsi="宋体" w:cs="宋体"/>
      <w:color w:val="ED292D"/>
      <w:kern w:val="0"/>
      <w:sz w:val="24"/>
      <w:szCs w:val="24"/>
    </w:rPr>
  </w:style>
  <w:style w:type="paragraph" w:customStyle="1" w:styleId="fontred2">
    <w:name w:val="fontred2"/>
    <w:basedOn w:val="a"/>
    <w:rsid w:val="0037372E"/>
    <w:pPr>
      <w:widowControl/>
      <w:spacing w:before="100" w:beforeAutospacing="1" w:after="100" w:afterAutospacing="1"/>
      <w:jc w:val="left"/>
    </w:pPr>
    <w:rPr>
      <w:rFonts w:ascii="宋体" w:eastAsia="宋体" w:hAnsi="宋体" w:cs="宋体"/>
      <w:color w:val="C90101"/>
      <w:kern w:val="0"/>
      <w:szCs w:val="21"/>
    </w:rPr>
  </w:style>
  <w:style w:type="paragraph" w:customStyle="1" w:styleId="fontred3">
    <w:name w:val="fontred3"/>
    <w:basedOn w:val="a"/>
    <w:rsid w:val="0037372E"/>
    <w:pPr>
      <w:widowControl/>
      <w:spacing w:before="100" w:beforeAutospacing="1" w:after="100" w:afterAutospacing="1"/>
      <w:jc w:val="left"/>
    </w:pPr>
    <w:rPr>
      <w:rFonts w:ascii="宋体" w:eastAsia="宋体" w:hAnsi="宋体" w:cs="宋体"/>
      <w:color w:val="AA5600"/>
      <w:kern w:val="0"/>
      <w:sz w:val="24"/>
      <w:szCs w:val="24"/>
    </w:rPr>
  </w:style>
  <w:style w:type="paragraph" w:customStyle="1" w:styleId="fontred4">
    <w:name w:val="fontred4"/>
    <w:basedOn w:val="a"/>
    <w:rsid w:val="0037372E"/>
    <w:pPr>
      <w:widowControl/>
      <w:spacing w:before="100" w:beforeAutospacing="1" w:after="100" w:afterAutospacing="1"/>
      <w:jc w:val="left"/>
    </w:pPr>
    <w:rPr>
      <w:rFonts w:ascii="宋体" w:eastAsia="宋体" w:hAnsi="宋体" w:cs="宋体"/>
      <w:color w:val="7C6C30"/>
      <w:kern w:val="0"/>
      <w:sz w:val="24"/>
      <w:szCs w:val="24"/>
    </w:rPr>
  </w:style>
  <w:style w:type="paragraph" w:customStyle="1" w:styleId="fontgray">
    <w:name w:val="fontgray"/>
    <w:basedOn w:val="a"/>
    <w:rsid w:val="0037372E"/>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ontgray2">
    <w:name w:val="fontgray2"/>
    <w:basedOn w:val="a"/>
    <w:rsid w:val="0037372E"/>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fontorange">
    <w:name w:val="fontorange"/>
    <w:basedOn w:val="a"/>
    <w:rsid w:val="0037372E"/>
    <w:pPr>
      <w:widowControl/>
      <w:spacing w:before="100" w:beforeAutospacing="1" w:after="100" w:afterAutospacing="1"/>
      <w:jc w:val="left"/>
    </w:pPr>
    <w:rPr>
      <w:rFonts w:ascii="宋体" w:eastAsia="宋体" w:hAnsi="宋体" w:cs="宋体"/>
      <w:color w:val="E26F05"/>
      <w:kern w:val="0"/>
      <w:sz w:val="24"/>
      <w:szCs w:val="24"/>
    </w:rPr>
  </w:style>
  <w:style w:type="paragraph" w:customStyle="1" w:styleId="fontgreen">
    <w:name w:val="fontgreen"/>
    <w:basedOn w:val="a"/>
    <w:rsid w:val="0037372E"/>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newstitlehtsec">
    <w:name w:val="newstitle_htsec"/>
    <w:basedOn w:val="a"/>
    <w:rsid w:val="0037372E"/>
    <w:pPr>
      <w:widowControl/>
      <w:spacing w:before="100" w:beforeAutospacing="1" w:after="100" w:afterAutospacing="1"/>
      <w:jc w:val="left"/>
    </w:pPr>
    <w:rPr>
      <w:rFonts w:ascii="宋体" w:eastAsia="宋体" w:hAnsi="宋体" w:cs="宋体"/>
      <w:b/>
      <w:bCs/>
      <w:kern w:val="0"/>
      <w:sz w:val="24"/>
      <w:szCs w:val="24"/>
    </w:rPr>
  </w:style>
  <w:style w:type="paragraph" w:customStyle="1" w:styleId="fontnews3">
    <w:name w:val="fontnews3"/>
    <w:basedOn w:val="a"/>
    <w:rsid w:val="0037372E"/>
    <w:pPr>
      <w:widowControl/>
      <w:spacing w:before="100" w:beforeAutospacing="1" w:after="100" w:afterAutospacing="1" w:line="312" w:lineRule="auto"/>
      <w:jc w:val="left"/>
    </w:pPr>
    <w:rPr>
      <w:rFonts w:ascii="宋体" w:eastAsia="宋体" w:hAnsi="宋体" w:cs="宋体"/>
      <w:kern w:val="0"/>
      <w:szCs w:val="21"/>
    </w:rPr>
  </w:style>
  <w:style w:type="paragraph" w:styleId="a7">
    <w:name w:val="Normal (Web)"/>
    <w:basedOn w:val="a"/>
    <w:uiPriority w:val="99"/>
    <w:unhideWhenUsed/>
    <w:rsid w:val="0037372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7372E"/>
    <w:rPr>
      <w:b/>
      <w:bCs/>
    </w:rPr>
  </w:style>
  <w:style w:type="paragraph" w:styleId="a9">
    <w:name w:val="Balloon Text"/>
    <w:basedOn w:val="a"/>
    <w:link w:val="Char1"/>
    <w:uiPriority w:val="99"/>
    <w:semiHidden/>
    <w:unhideWhenUsed/>
    <w:rsid w:val="0037372E"/>
    <w:rPr>
      <w:sz w:val="18"/>
      <w:szCs w:val="18"/>
    </w:rPr>
  </w:style>
  <w:style w:type="character" w:customStyle="1" w:styleId="Char1">
    <w:name w:val="批注框文本 Char"/>
    <w:basedOn w:val="a0"/>
    <w:link w:val="a9"/>
    <w:uiPriority w:val="99"/>
    <w:semiHidden/>
    <w:rsid w:val="003737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5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1595</Words>
  <Characters>9096</Characters>
  <Application>Microsoft Office Word</Application>
  <DocSecurity>0</DocSecurity>
  <Lines>75</Lines>
  <Paragraphs>21</Paragraphs>
  <ScaleCrop>false</ScaleCrop>
  <Company>hs</Company>
  <LinksUpToDate>false</LinksUpToDate>
  <CharactersWithSpaces>10670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2011-12-14T09:47:00Z</dcterms:created>
  <dcterms:modified xsi:type="dcterms:W3CDTF">2011-12-14T09:47:00Z</dcterms:modified>
</cp:coreProperties>
</file>