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46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”Gheorghe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Asachi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” din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Iași</w:t>
      </w:r>
      <w:proofErr w:type="spellEnd"/>
    </w:p>
    <w:p w:rsidR="0003646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Automatică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Calculatoare</w:t>
      </w:r>
      <w:proofErr w:type="spellEnd"/>
    </w:p>
    <w:p w:rsidR="0003646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Domeniul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Tehnologia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Informației</w:t>
      </w:r>
      <w:proofErr w:type="spellEnd"/>
    </w:p>
    <w:p w:rsidR="0003646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Specializarea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Tehnologia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Informației</w:t>
      </w:r>
      <w:proofErr w:type="spellEnd"/>
    </w:p>
    <w:p w:rsidR="0003646A" w:rsidRDefault="000364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46A" w:rsidRDefault="000364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46A" w:rsidRDefault="000364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46A" w:rsidRDefault="0003646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3646A" w:rsidRDefault="0003646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3646A" w:rsidRDefault="0003646A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3646A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Aplicație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bazată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microservicii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regăsirea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în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scopuri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educaționale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unor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persoane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interese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comune</w:t>
      </w:r>
      <w:proofErr w:type="spellEnd"/>
    </w:p>
    <w:p w:rsidR="0003646A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Referat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2</w:t>
      </w:r>
    </w:p>
    <w:p w:rsidR="0003646A" w:rsidRDefault="0003646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3646A" w:rsidRDefault="0003646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3646A" w:rsidRDefault="0003646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  <w:sectPr w:rsidR="0003646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03646A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Student:</w:t>
      </w:r>
    </w:p>
    <w:p w:rsidR="0003646A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  <w:sectPr w:rsidR="0003646A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320" w:space="720"/>
            <w:col w:w="4320" w:space="0"/>
          </w:cols>
        </w:sect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Coordonator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științific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03646A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Cornea Radu-Valentin, 1411A</w:t>
      </w:r>
    </w:p>
    <w:p w:rsidR="0003646A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  <w:sectPr w:rsidR="0003646A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320" w:space="720"/>
            <w:col w:w="4320" w:space="0"/>
          </w:cols>
        </w:sect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S.l.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dr. inf.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Dumitriu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Tiberius</w:t>
      </w:r>
    </w:p>
    <w:p w:rsidR="0003646A" w:rsidRDefault="0003646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3646A" w:rsidRDefault="0003646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3646A" w:rsidRDefault="0003646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3646A" w:rsidRDefault="0003646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3646A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2022-2023</w:t>
      </w:r>
      <w:r>
        <w:br w:type="page"/>
      </w:r>
    </w:p>
    <w:p w:rsidR="0003646A" w:rsidRDefault="00000000">
      <w:pPr>
        <w:pStyle w:val="Subtitle"/>
        <w:ind w:firstLine="72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Introducere</w:t>
      </w:r>
      <w:proofErr w:type="spellEnd"/>
    </w:p>
    <w:p w:rsidR="0003646A" w:rsidRPr="00AC57FF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interconectarea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oamenilor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diverși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inteligență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recomandarea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geografică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momentan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recomandările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fac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oamenii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educațional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tehnologii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teoretice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decât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educaționale.Totuși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mulțime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recomandărilor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oameni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gândindu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recomandări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inteligență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psihologia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tocmai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studenților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interacționeaza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pe site-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respectivei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studenți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activi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studenți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potențial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studenți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inactivi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trei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grupuri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împărțite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modului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interacționau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paginile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respective,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urmând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primească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educative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potrivite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anchor="ehuei5m4979s">
        <w:r w:rsidRPr="00AC57FF">
          <w:rPr>
            <w:rFonts w:ascii="Times New Roman" w:eastAsia="Times New Roman" w:hAnsi="Times New Roman" w:cs="Times New Roman"/>
            <w:sz w:val="24"/>
            <w:szCs w:val="24"/>
          </w:rPr>
          <w:t>[1]</w:t>
        </w:r>
      </w:hyperlink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domenii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aplicare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algoritmii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recomandare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pot fi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folosiți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scopuri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educative, ci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divertisment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precum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filmele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anchor="mwxypucevweu">
        <w:r w:rsidRPr="00AC57FF">
          <w:rPr>
            <w:rFonts w:ascii="Times New Roman" w:eastAsia="Times New Roman" w:hAnsi="Times New Roman" w:cs="Times New Roman"/>
            <w:sz w:val="24"/>
            <w:szCs w:val="24"/>
          </w:rPr>
          <w:t>[2]</w:t>
        </w:r>
      </w:hyperlink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3646A" w:rsidRPr="00AC57FF" w:rsidRDefault="0003646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Pr="00AC57FF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studiu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piață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s-a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constatat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ciuda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faptului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încearcă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recomande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oameni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criterii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realizează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totalitate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obiectivul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dorit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aplicațiile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găsite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pe Play Store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includ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opțiunea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alegere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preferințe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mâncare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>, hobby-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muzică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însă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filtrele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inexistente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neputând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primi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similari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ținte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puțîn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punctul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vedere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preferințelor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Singura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aplicație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care s-a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constatat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face o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recomandare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Meetup,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acolo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au loc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recomandări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evenimente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nu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persoane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Panion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bun,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prezent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funcționează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publicului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larg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46A" w:rsidRPr="00AC57FF" w:rsidRDefault="0003646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Pr="00AC57FF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acestui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studiu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piață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s-a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ajuns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concluzia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aplicație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recomandarea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persoanelor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necesară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pieței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Obiectivul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principal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acela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găși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a filtra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mulți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potriviți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ținta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cauză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AC57F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produs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funcțional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sigur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securizat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plăcut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înțeles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oricine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3646A" w:rsidRPr="00AC57FF" w:rsidRDefault="0003646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posibilitate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rezolva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problemă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microserviciile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inteligența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Arhitecturile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bazate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microservicii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scalabilitate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rulare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independentă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performanțe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adiționale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avantajul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a fi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menținut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costuri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reduse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altele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anchor="3w36wgfi9d6e">
        <w:r w:rsidRPr="00AC57FF">
          <w:rPr>
            <w:rFonts w:ascii="Times New Roman" w:eastAsia="Times New Roman" w:hAnsi="Times New Roman" w:cs="Times New Roman"/>
            <w:sz w:val="24"/>
            <w:szCs w:val="24"/>
          </w:rPr>
          <w:t>[3]</w:t>
        </w:r>
      </w:hyperlink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inteligența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posibilități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multiple de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modelare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antrenare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de date.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Câțiva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acești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algoritmi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pot fi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folosiți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sens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sunt: KNN, SVM, SVD, Random Forest,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filtrul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colaborativ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filtrul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bazat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conținut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abordări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7FF">
        <w:rPr>
          <w:rFonts w:ascii="Times New Roman" w:eastAsia="Times New Roman" w:hAnsi="Times New Roman" w:cs="Times New Roman"/>
          <w:sz w:val="24"/>
          <w:szCs w:val="24"/>
        </w:rPr>
        <w:t>hibride</w:t>
      </w:r>
      <w:proofErr w:type="spellEnd"/>
      <w:r w:rsidRPr="00A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anchor="6j8170afsdno">
        <w:r w:rsidRPr="00AC57FF">
          <w:rPr>
            <w:rFonts w:ascii="Times New Roman" w:eastAsia="Times New Roman" w:hAnsi="Times New Roman" w:cs="Times New Roman"/>
            <w:sz w:val="24"/>
            <w:szCs w:val="24"/>
          </w:rPr>
          <w:t>[4,</w:t>
        </w:r>
      </w:hyperlink>
      <w:hyperlink w:anchor="yf6s3w1mj1zu">
        <w:r w:rsidRPr="00AC57FF">
          <w:rPr>
            <w:rFonts w:ascii="Times New Roman" w:eastAsia="Times New Roman" w:hAnsi="Times New Roman" w:cs="Times New Roman"/>
            <w:sz w:val="24"/>
            <w:szCs w:val="24"/>
          </w:rPr>
          <w:t xml:space="preserve"> 5]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46A" w:rsidRDefault="000364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Tocmai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încercarea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propusă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tehnologiile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teoretice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clasificate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64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Backend: Spring, Spring Security, JWTs, REST, Kotlin, MariaDB, MongoDB,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criptare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decriptare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364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Frontend: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Thymeleaf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JavaScript, CSS, HTML;</w:t>
      </w:r>
    </w:p>
    <w:p w:rsidR="000364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AI: KNN, Python,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pandas;</w:t>
      </w:r>
    </w:p>
    <w:p w:rsidR="000364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Aplicații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software: IntelliJ IDEA, PyCharm, Visual Studio Code, Postman, MongoDB, Compass,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DBeaver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3646A" w:rsidRDefault="000364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pStyle w:val="Subtitle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Proiectarea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software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aplicației</w:t>
      </w:r>
      <w:proofErr w:type="spellEnd"/>
    </w:p>
    <w:p w:rsidR="0003646A" w:rsidRDefault="00000000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posibilitate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propusă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așa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s-a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discutat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anterior,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împreună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inteligența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împărțită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comunică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împărțite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încercând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respecte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SOLID,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inteligență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așteaptă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ieșiri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prelucrate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white box.</w:t>
      </w:r>
    </w:p>
    <w:p w:rsidR="0003646A" w:rsidRDefault="0003646A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părți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cod au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granularitate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propriul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urmărindu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decuplarea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client-server,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cuprind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IDM (Identity Management), Profile, Algorithms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Gateway-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leagă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Alte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neimplementate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comunicarea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suport-ul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03646A" w:rsidRDefault="0003646A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menționate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funcționalitate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părțile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cod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despărțite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șabloanele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șablonul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decide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recomandați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ținte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prezent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 decide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aspect: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căutari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bazându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-se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46A" w:rsidRDefault="00000000">
      <w:pPr>
        <w:ind w:firstLine="3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3086100" cy="1885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646A" w:rsidRDefault="0003646A">
      <w:pPr>
        <w:ind w:firstLine="3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3646A" w:rsidRDefault="00000000">
      <w:pPr>
        <w:pStyle w:val="Subtitle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Rezultate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intermediare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obținute</w:t>
      </w:r>
      <w:proofErr w:type="spellEnd"/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s-a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Jaccard,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euclidiană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cosine. Dar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s-au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întocmit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rapoarte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potrivite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46A" w:rsidRDefault="000364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urmăresc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cosine,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euclidiană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Jaccard;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KNN (3, 5, 7, 11,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lungimea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urmărirea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potrivirii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țintă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oarecare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46A" w:rsidRDefault="000364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KNN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KNNCosine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training_preferences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knn.train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(k)</w:t>
      </w: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indices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knn.fit_indices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fitting_preferences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3646A" w:rsidRDefault="000364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secvențe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cod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vecinii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apropiați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adânc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constructorului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binarizează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train(k),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binarizate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Indicii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apropiate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obțin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vectorului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kneighbors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target_user_binary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])). Similar se pot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țintei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prelucrând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menționate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3646A" w:rsidRDefault="000364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Cosine</w:t>
      </w: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cos_sim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np.dot(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u, v) /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np.linalg.norm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(u)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np.linalg.norm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(v))</w:t>
      </w:r>
    </w:p>
    <w:p w:rsidR="0003646A" w:rsidRDefault="000364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Euclidiană</w:t>
      </w:r>
      <w:proofErr w:type="spellEnd"/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np.linalg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(u - v)</w:t>
      </w:r>
    </w:p>
    <w:p w:rsidR="0003646A" w:rsidRDefault="000364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Jaccard</w:t>
      </w: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intersection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u.intersection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(v))</w:t>
      </w: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union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u.union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(v))</w:t>
      </w: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jaccard_sim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intersection / union</w:t>
      </w:r>
    </w:p>
    <w:p w:rsidR="0003646A" w:rsidRDefault="000364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364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530"/>
        <w:gridCol w:w="1170"/>
        <w:gridCol w:w="3687"/>
      </w:tblGrid>
      <w:tr w:rsidR="0003646A">
        <w:trPr>
          <w:cantSplit/>
          <w:trHeight w:val="240"/>
          <w:tblHeader/>
          <w:jc w:val="center"/>
        </w:trPr>
        <w:tc>
          <w:tcPr>
            <w:tcW w:w="2520" w:type="dxa"/>
            <w:vMerge w:val="restart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Preferințele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țintei</w:t>
            </w:r>
            <w:proofErr w:type="spellEnd"/>
          </w:p>
        </w:tc>
        <w:tc>
          <w:tcPr>
            <w:tcW w:w="6387" w:type="dxa"/>
            <w:gridSpan w:val="3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Metricile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evaluate</w:t>
            </w:r>
          </w:p>
        </w:tc>
      </w:tr>
      <w:tr w:rsidR="0003646A">
        <w:trPr>
          <w:cantSplit/>
          <w:trHeight w:val="240"/>
          <w:tblHeader/>
          <w:jc w:val="center"/>
        </w:trPr>
        <w:tc>
          <w:tcPr>
            <w:tcW w:w="2520" w:type="dxa"/>
            <w:vMerge/>
            <w:vAlign w:val="center"/>
          </w:tcPr>
          <w:p w:rsidR="0003646A" w:rsidRDefault="0003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0364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Cosine</w:t>
            </w:r>
          </w:p>
        </w:tc>
        <w:tc>
          <w:tcPr>
            <w:tcW w:w="1170" w:type="dxa"/>
            <w:vAlign w:val="center"/>
          </w:tcPr>
          <w:p w:rsidR="000364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Euclidiană</w:t>
            </w:r>
            <w:proofErr w:type="spellEnd"/>
          </w:p>
        </w:tc>
        <w:tc>
          <w:tcPr>
            <w:tcW w:w="3687" w:type="dxa"/>
            <w:vAlign w:val="center"/>
          </w:tcPr>
          <w:p w:rsidR="000364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Jaccard</w:t>
            </w:r>
          </w:p>
        </w:tc>
      </w:tr>
      <w:tr w:rsidR="0003646A">
        <w:trPr>
          <w:trHeight w:val="320"/>
          <w:jc w:val="center"/>
        </w:trPr>
        <w:tc>
          <w:tcPr>
            <w:tcW w:w="2520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[5, 19, 32]</w:t>
            </w:r>
          </w:p>
        </w:tc>
        <w:tc>
          <w:tcPr>
            <w:tcW w:w="1530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[[19, 99, 81, 4, 5], [58, 19, 4, 5, 6, 14], [58, 19, 4, 5, 6, 66], [142, 19, 4, 5, 6, 14], [58, 19, 4, 5, 6, 15]]</w:t>
            </w:r>
          </w:p>
        </w:tc>
        <w:tc>
          <w:tcPr>
            <w:tcW w:w="1170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[[18], [19, 145, 146], [8], [19, 29, 212], [19, 29, 212]]</w:t>
            </w:r>
          </w:p>
        </w:tc>
        <w:tc>
          <w:tcPr>
            <w:tcW w:w="3687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[[19, 99, 81, 4, 5], [142, 19, 4, 5, 6, 15], [58, 19, 4, 5, 6, 15], [142, 19, 4, 5, 6, 14], [58, 19, 4, 5, 6, 14]]</w:t>
            </w:r>
          </w:p>
        </w:tc>
      </w:tr>
      <w:tr w:rsidR="0003646A">
        <w:trPr>
          <w:trHeight w:val="320"/>
          <w:jc w:val="center"/>
        </w:trPr>
        <w:tc>
          <w:tcPr>
            <w:tcW w:w="2520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[16]</w:t>
            </w:r>
          </w:p>
        </w:tc>
        <w:tc>
          <w:tcPr>
            <w:tcW w:w="1530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[[16], [13, 5, 14, 15, 6, 4, 16, 17], [18, 19, 6, 4, 5, 14, 20, 21, 17, 16], [116, 117, 80, 118, 119], [159, 160]]</w:t>
            </w:r>
          </w:p>
        </w:tc>
        <w:tc>
          <w:tcPr>
            <w:tcW w:w="1170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[[16], [113], [18], [21], [161, 162]]</w:t>
            </w:r>
          </w:p>
        </w:tc>
        <w:tc>
          <w:tcPr>
            <w:tcW w:w="3687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[[16], [13, 5, 14, 15, 6, 4, 16, 17], [18, 19, 6, 4, 5, 14, 20, 21, 17, 16], [58, 19, 8, 31, 29, 50, 28], [205, 206, 207, 208]]</w:t>
            </w:r>
          </w:p>
        </w:tc>
      </w:tr>
      <w:tr w:rsidR="0003646A">
        <w:trPr>
          <w:trHeight w:val="320"/>
          <w:jc w:val="center"/>
        </w:trPr>
        <w:tc>
          <w:tcPr>
            <w:tcW w:w="2520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[141, 5, 19, 55, 13]</w:t>
            </w:r>
          </w:p>
        </w:tc>
        <w:tc>
          <w:tcPr>
            <w:tcW w:w="1530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[[142, 19, 4, 5, 6, 15], [142, 19, 4, 5, 6, 14], [142, 19, 4, 5, 6, 66, 67], [13, 5, 14, 15, 6, 4, 16, 17], [19, 8]]</w:t>
            </w:r>
          </w:p>
        </w:tc>
        <w:tc>
          <w:tcPr>
            <w:tcW w:w="1170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[[19, 8], [8], [215, 19, 209], [19, 29, 212], [19, 29, 212]]</w:t>
            </w:r>
          </w:p>
        </w:tc>
        <w:tc>
          <w:tcPr>
            <w:tcW w:w="3687" w:type="dxa"/>
            <w:vAlign w:val="center"/>
          </w:tcPr>
          <w:p w:rsidR="0003646A" w:rsidRDefault="00000000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[[142, 19, 4, 5, 6, 15], [142, 19, 4, 5, 6, 14], [142, 19, 4, 5, 6, 66, 67], [13, 5, 14, 15, 6, 4, 16, 17], [19, 8]]</w:t>
            </w:r>
          </w:p>
        </w:tc>
      </w:tr>
    </w:tbl>
    <w:p w:rsidR="0003646A" w:rsidRDefault="0003646A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3646A" w:rsidRDefault="00000000">
      <w:pPr>
        <w:pStyle w:val="Subtitle"/>
        <w:ind w:firstLine="36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Concluzie</w:t>
      </w:r>
      <w:proofErr w:type="spellEnd"/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numeroase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viața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zi cu zi,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abordările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inteligența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sunt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s-au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recomandările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Jaccard, cosine,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euclidiană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modaliăți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diverși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abordarea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reușește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rezolve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46A" w:rsidRDefault="000364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numeroase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recomandări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inteligență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contextul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găsite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recomandările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minimalist, fie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funcționalitate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precară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recomandați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stohastic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3646A" w:rsidRDefault="0003646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46A" w:rsidRDefault="00000000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s-a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oameni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educațional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646A" w:rsidRDefault="0003646A">
      <w:pPr>
        <w:ind w:firstLine="36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3646A" w:rsidRDefault="00000000">
      <w:pPr>
        <w:pStyle w:val="Subtitle"/>
        <w:ind w:firstLine="36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Bibliografie</w:t>
      </w:r>
      <w:proofErr w:type="spellEnd"/>
    </w:p>
    <w:p w:rsidR="0003646A" w:rsidRDefault="00000000">
      <w:pPr>
        <w:pStyle w:val="Heading6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bookmarkStart w:id="0" w:name="ehuei5m4979s" w:colFirst="0" w:colLast="0"/>
      <w:bookmarkStart w:id="1" w:name="_30j0zll" w:colFirst="0" w:colLast="0"/>
      <w:bookmarkEnd w:id="0"/>
      <w:bookmarkEnd w:id="1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[1] </w:t>
      </w:r>
      <w:hyperlink r:id="rId6">
        <w:r>
          <w:rPr>
            <w:rFonts w:ascii="Times New Roman" w:eastAsia="Times New Roman" w:hAnsi="Times New Roman" w:cs="Times New Roman"/>
            <w:i w:val="0"/>
            <w:color w:val="000000"/>
            <w:sz w:val="24"/>
            <w:szCs w:val="24"/>
          </w:rPr>
          <w:t>https://www.frontiersin.org/articles/10.3389/fpsyg.2021.767837/full</w:t>
        </w:r>
      </w:hyperlink>
    </w:p>
    <w:p w:rsidR="0003646A" w:rsidRDefault="00000000">
      <w:pPr>
        <w:pStyle w:val="Heading6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bookmarkStart w:id="2" w:name="mwxypucevweu" w:colFirst="0" w:colLast="0"/>
      <w:bookmarkEnd w:id="2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[2] </w:t>
      </w:r>
      <w:hyperlink r:id="rId7">
        <w:r>
          <w:rPr>
            <w:rFonts w:ascii="Times New Roman" w:eastAsia="Times New Roman" w:hAnsi="Times New Roman" w:cs="Times New Roman"/>
            <w:i w:val="0"/>
            <w:color w:val="000000"/>
            <w:sz w:val="24"/>
            <w:szCs w:val="24"/>
          </w:rPr>
          <w:t>https://www.sciencedirect.com/science/article/pii/S0950584921000793?via%3Dihub</w:t>
        </w:r>
      </w:hyperlink>
    </w:p>
    <w:p w:rsidR="0003646A" w:rsidRDefault="00000000">
      <w:pPr>
        <w:pStyle w:val="Heading6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bookmarkStart w:id="3" w:name="3w36wgfi9d6e" w:colFirst="0" w:colLast="0"/>
      <w:bookmarkStart w:id="4" w:name="_2et92p0" w:colFirst="0" w:colLast="0"/>
      <w:bookmarkEnd w:id="3"/>
      <w:bookmarkEnd w:id="4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[3] </w:t>
      </w:r>
      <w:hyperlink r:id="rId8">
        <w:r>
          <w:rPr>
            <w:rFonts w:ascii="Times New Roman" w:eastAsia="Times New Roman" w:hAnsi="Times New Roman" w:cs="Times New Roman"/>
            <w:i w:val="0"/>
            <w:color w:val="000000"/>
            <w:sz w:val="24"/>
            <w:szCs w:val="24"/>
          </w:rPr>
          <w:t>https://www.mdpi.com/2227-7390/10/7/1192</w:t>
        </w:r>
      </w:hyperlink>
    </w:p>
    <w:p w:rsidR="0003646A" w:rsidRDefault="00000000">
      <w:pPr>
        <w:pStyle w:val="Heading6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bookmarkStart w:id="5" w:name="6j8170afsdno" w:colFirst="0" w:colLast="0"/>
      <w:bookmarkStart w:id="6" w:name="_3dy6vkm" w:colFirst="0" w:colLast="0"/>
      <w:bookmarkEnd w:id="5"/>
      <w:bookmarkEnd w:id="6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[4] </w:t>
      </w:r>
      <w:hyperlink r:id="rId9">
        <w:r>
          <w:rPr>
            <w:rFonts w:ascii="Times New Roman" w:eastAsia="Times New Roman" w:hAnsi="Times New Roman" w:cs="Times New Roman"/>
            <w:i w:val="0"/>
            <w:color w:val="000000"/>
            <w:sz w:val="24"/>
            <w:szCs w:val="24"/>
          </w:rPr>
          <w:t>https://link.springer.com/article/10.1007/s40747-020-00212-w</w:t>
        </w:r>
      </w:hyperlink>
    </w:p>
    <w:p w:rsidR="0003646A" w:rsidRDefault="00000000">
      <w:pPr>
        <w:pStyle w:val="Heading6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bookmarkStart w:id="7" w:name="yf6s3w1mj1zu" w:colFirst="0" w:colLast="0"/>
      <w:bookmarkStart w:id="8" w:name="_4d34og8" w:colFirst="0" w:colLast="0"/>
      <w:bookmarkEnd w:id="7"/>
      <w:bookmarkEnd w:id="8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[5] </w:t>
      </w:r>
      <w:hyperlink r:id="rId10">
        <w:r>
          <w:rPr>
            <w:rFonts w:ascii="Times New Roman" w:eastAsia="Times New Roman" w:hAnsi="Times New Roman" w:cs="Times New Roman"/>
            <w:i w:val="0"/>
            <w:color w:val="000000"/>
            <w:sz w:val="24"/>
            <w:szCs w:val="24"/>
          </w:rPr>
          <w:t>https://docs.spring.io/spring-security/reference/servlet/authorization/expression-based.html</w:t>
        </w:r>
      </w:hyperlink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, ultima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accesare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aprilie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 2023</w:t>
      </w:r>
    </w:p>
    <w:sectPr w:rsidR="0003646A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44E"/>
    <w:multiLevelType w:val="multilevel"/>
    <w:tmpl w:val="486A9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82F4A"/>
    <w:multiLevelType w:val="multilevel"/>
    <w:tmpl w:val="AC9A3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69190402">
    <w:abstractNumId w:val="1"/>
  </w:num>
  <w:num w:numId="2" w16cid:durableId="214349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46A"/>
    <w:rsid w:val="0003646A"/>
    <w:rsid w:val="00AC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AEE35-EAA6-456E-AADE-0DAD875E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227-7390/10/7/11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50584921000793?via%3Di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articles/10.3389/fpsyg.2021.767837/ful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spring.io/spring-security/reference/servlet/authorization/expression-bas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40747-020-00212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1602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 Cornea</cp:lastModifiedBy>
  <cp:revision>2</cp:revision>
  <dcterms:created xsi:type="dcterms:W3CDTF">2023-05-01T15:19:00Z</dcterms:created>
  <dcterms:modified xsi:type="dcterms:W3CDTF">2023-05-01T15:20:00Z</dcterms:modified>
</cp:coreProperties>
</file>