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4B65A" w14:textId="77777777" w:rsidR="007B15A9" w:rsidRDefault="00000000">
      <w:pPr>
        <w:rPr>
          <w:b/>
          <w:sz w:val="30"/>
          <w:szCs w:val="30"/>
        </w:rPr>
      </w:pPr>
      <w:r>
        <w:rPr>
          <w:b/>
          <w:sz w:val="30"/>
          <w:szCs w:val="30"/>
        </w:rPr>
        <w:t>NEGOCIERE</w:t>
      </w:r>
    </w:p>
    <w:p w14:paraId="25F45A3D" w14:textId="77777777" w:rsidR="007B15A9" w:rsidRDefault="007B15A9">
      <w:pPr>
        <w:rPr>
          <w:sz w:val="20"/>
          <w:szCs w:val="20"/>
        </w:rPr>
      </w:pPr>
    </w:p>
    <w:p w14:paraId="2A368AD6" w14:textId="77777777" w:rsidR="007B15A9" w:rsidRDefault="00000000">
      <w:pPr>
        <w:rPr>
          <w:sz w:val="20"/>
          <w:szCs w:val="20"/>
        </w:rPr>
      </w:pPr>
      <w:r>
        <w:rPr>
          <w:sz w:val="20"/>
          <w:szCs w:val="20"/>
        </w:rPr>
        <w:t>Negocierea este un proces complex care necesită abilități de comunicare, înțelegere și gândire strategică. Cursul nostru combină diverse instrumente de învățare, inclusiv jocuri de rol, exerciții și chestionare, care facilitează construirea unor baze solide de principii și abilități comune și susține dezvoltarea unor competențe individuale esențiale în fundamentarea unei echipe de negocieri dinamice și eficiente.</w:t>
      </w:r>
    </w:p>
    <w:p w14:paraId="097901D2" w14:textId="77777777" w:rsidR="007B15A9" w:rsidRDefault="00000000">
      <w:pPr>
        <w:rPr>
          <w:sz w:val="20"/>
          <w:szCs w:val="20"/>
        </w:rPr>
      </w:pPr>
      <w:r>
        <w:rPr>
          <w:sz w:val="20"/>
          <w:szCs w:val="20"/>
        </w:rPr>
        <w:t>În timpul acestui curs, participanții vor învăța cum să gestioneze situațiile dificile și încărcate de tensiune, cum să construiască relații de încredere cu partenerii de negociere și cum să creeze o filozofie și un mod de gândire menit să crească performanța. Metoda de abordare a acestui training este learning by doing, combinând experiența, debriefing-ul și teoretizarea pentru o înțelegere profundă și aplicabilă în practică.</w:t>
      </w:r>
    </w:p>
    <w:p w14:paraId="0247931C" w14:textId="77777777" w:rsidR="007B15A9" w:rsidRDefault="007B15A9">
      <w:pPr>
        <w:jc w:val="both"/>
        <w:rPr>
          <w:sz w:val="20"/>
          <w:szCs w:val="20"/>
        </w:rPr>
      </w:pPr>
    </w:p>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2762"/>
        <w:gridCol w:w="2508"/>
        <w:gridCol w:w="3755"/>
      </w:tblGrid>
      <w:tr w:rsidR="007B15A9" w14:paraId="356863EF" w14:textId="77777777">
        <w:trPr>
          <w:trHeight w:val="270"/>
        </w:trPr>
        <w:tc>
          <w:tcPr>
            <w:tcW w:w="2761"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0EE34708" w14:textId="77777777" w:rsidR="007B15A9" w:rsidRDefault="00000000">
            <w:pPr>
              <w:jc w:val="center"/>
              <w:rPr>
                <w:b/>
                <w:sz w:val="20"/>
                <w:szCs w:val="20"/>
              </w:rPr>
            </w:pPr>
            <w:r>
              <w:rPr>
                <w:b/>
                <w:sz w:val="20"/>
                <w:szCs w:val="20"/>
              </w:rPr>
              <w:t>SUBIECTE</w:t>
            </w:r>
          </w:p>
        </w:tc>
        <w:tc>
          <w:tcPr>
            <w:tcW w:w="2508"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4028B7AE" w14:textId="77777777" w:rsidR="007B15A9" w:rsidRDefault="00000000">
            <w:pPr>
              <w:jc w:val="center"/>
              <w:rPr>
                <w:b/>
                <w:sz w:val="20"/>
                <w:szCs w:val="20"/>
              </w:rPr>
            </w:pPr>
            <w:r>
              <w:rPr>
                <w:b/>
                <w:sz w:val="20"/>
                <w:szCs w:val="20"/>
              </w:rPr>
              <w:t>OBIECTIVE</w:t>
            </w:r>
          </w:p>
        </w:tc>
        <w:tc>
          <w:tcPr>
            <w:tcW w:w="375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751B5A69" w14:textId="77777777" w:rsidR="007B15A9" w:rsidRDefault="00000000">
            <w:pPr>
              <w:jc w:val="center"/>
              <w:rPr>
                <w:b/>
                <w:sz w:val="20"/>
                <w:szCs w:val="20"/>
              </w:rPr>
            </w:pPr>
            <w:r>
              <w:rPr>
                <w:b/>
                <w:sz w:val="20"/>
                <w:szCs w:val="20"/>
              </w:rPr>
              <w:t>PUNCTE CHEIE</w:t>
            </w:r>
          </w:p>
        </w:tc>
      </w:tr>
      <w:tr w:rsidR="007B15A9" w14:paraId="762D797A" w14:textId="77777777">
        <w:trPr>
          <w:trHeight w:val="2055"/>
        </w:trPr>
        <w:tc>
          <w:tcPr>
            <w:tcW w:w="2761"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00CE8FFC" w14:textId="77777777" w:rsidR="007B15A9" w:rsidRDefault="00000000">
            <w:pPr>
              <w:rPr>
                <w:sz w:val="20"/>
                <w:szCs w:val="20"/>
              </w:rPr>
            </w:pPr>
            <w:r>
              <w:rPr>
                <w:sz w:val="20"/>
                <w:szCs w:val="20"/>
              </w:rPr>
              <w:t>Introducere și prezentare a scopului sesiunii</w:t>
            </w:r>
          </w:p>
          <w:p w14:paraId="0F7666F4" w14:textId="77777777" w:rsidR="007B15A9" w:rsidRDefault="007B15A9">
            <w:pPr>
              <w:rPr>
                <w:sz w:val="30"/>
                <w:szCs w:val="30"/>
              </w:rPr>
            </w:pPr>
          </w:p>
          <w:p w14:paraId="4C585F28" w14:textId="77777777" w:rsidR="007B15A9" w:rsidRDefault="00000000">
            <w:pPr>
              <w:rPr>
                <w:sz w:val="20"/>
                <w:szCs w:val="20"/>
              </w:rPr>
            </w:pPr>
            <w:r>
              <w:rPr>
                <w:sz w:val="20"/>
                <w:szCs w:val="20"/>
              </w:rPr>
              <w:t>Obiective/ Icebreaker</w:t>
            </w:r>
          </w:p>
        </w:tc>
        <w:tc>
          <w:tcPr>
            <w:tcW w:w="2508"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75474F91" w14:textId="77777777" w:rsidR="007B15A9" w:rsidRDefault="00000000">
            <w:pPr>
              <w:rPr>
                <w:sz w:val="20"/>
                <w:szCs w:val="20"/>
              </w:rPr>
            </w:pPr>
            <w:r>
              <w:rPr>
                <w:sz w:val="20"/>
                <w:szCs w:val="20"/>
              </w:rPr>
              <w:t>Prezentarea sesiunii, crearea contextului, cunoașterea participanților</w:t>
            </w:r>
          </w:p>
        </w:tc>
        <w:tc>
          <w:tcPr>
            <w:tcW w:w="375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4BC46184" w14:textId="77777777" w:rsidR="007B15A9" w:rsidRDefault="00000000">
            <w:pPr>
              <w:rPr>
                <w:sz w:val="20"/>
                <w:szCs w:val="20"/>
              </w:rPr>
            </w:pPr>
            <w:r>
              <w:rPr>
                <w:sz w:val="20"/>
                <w:szCs w:val="20"/>
              </w:rPr>
              <w:t xml:space="preserve">Introducere și bun venit </w:t>
            </w:r>
          </w:p>
          <w:p w14:paraId="47DDD7E6" w14:textId="77777777" w:rsidR="007B15A9" w:rsidRDefault="00000000">
            <w:pPr>
              <w:rPr>
                <w:sz w:val="20"/>
                <w:szCs w:val="20"/>
              </w:rPr>
            </w:pPr>
            <w:r>
              <w:rPr>
                <w:sz w:val="20"/>
                <w:szCs w:val="20"/>
              </w:rPr>
              <w:t xml:space="preserve">Story telling pentru introducerea în program </w:t>
            </w:r>
          </w:p>
          <w:p w14:paraId="24B06F51" w14:textId="77777777" w:rsidR="007B15A9" w:rsidRDefault="00000000">
            <w:pPr>
              <w:rPr>
                <w:sz w:val="20"/>
                <w:szCs w:val="20"/>
              </w:rPr>
            </w:pPr>
            <w:r>
              <w:rPr>
                <w:sz w:val="20"/>
                <w:szCs w:val="20"/>
              </w:rPr>
              <w:t xml:space="preserve">Comunicarea aspectelor de logistică/administrative/timing </w:t>
            </w:r>
          </w:p>
          <w:p w14:paraId="1FAB4B52" w14:textId="77777777" w:rsidR="007B15A9" w:rsidRDefault="00000000">
            <w:pPr>
              <w:rPr>
                <w:sz w:val="20"/>
                <w:szCs w:val="20"/>
              </w:rPr>
            </w:pPr>
            <w:r>
              <w:rPr>
                <w:sz w:val="20"/>
                <w:szCs w:val="20"/>
              </w:rPr>
              <w:t>Icebreaker de cunoaștere/Evaluarea așteptărilor participanților – Așteptări – Frici – Cu ce putem contribui</w:t>
            </w:r>
          </w:p>
          <w:p w14:paraId="09755AEA" w14:textId="77777777" w:rsidR="007B15A9" w:rsidRDefault="007B15A9">
            <w:pPr>
              <w:rPr>
                <w:sz w:val="18"/>
                <w:szCs w:val="18"/>
              </w:rPr>
            </w:pPr>
          </w:p>
        </w:tc>
      </w:tr>
      <w:tr w:rsidR="007B15A9" w14:paraId="29519594" w14:textId="77777777">
        <w:trPr>
          <w:trHeight w:val="1845"/>
        </w:trPr>
        <w:tc>
          <w:tcPr>
            <w:tcW w:w="2761"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499A3F8C" w14:textId="77777777" w:rsidR="007B15A9" w:rsidRDefault="00000000">
            <w:pPr>
              <w:rPr>
                <w:sz w:val="20"/>
                <w:szCs w:val="20"/>
              </w:rPr>
            </w:pPr>
            <w:r>
              <w:rPr>
                <w:sz w:val="20"/>
                <w:szCs w:val="20"/>
              </w:rPr>
              <w:t xml:space="preserve">Completarea chestionarului </w:t>
            </w:r>
          </w:p>
          <w:p w14:paraId="3D84AC03" w14:textId="77777777" w:rsidR="007B15A9" w:rsidRDefault="007B15A9">
            <w:pPr>
              <w:rPr>
                <w:sz w:val="18"/>
                <w:szCs w:val="18"/>
              </w:rPr>
            </w:pPr>
          </w:p>
        </w:tc>
        <w:tc>
          <w:tcPr>
            <w:tcW w:w="2508"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25C7B3E0" w14:textId="77777777" w:rsidR="007B15A9" w:rsidRDefault="00000000">
            <w:pPr>
              <w:rPr>
                <w:sz w:val="20"/>
                <w:szCs w:val="20"/>
              </w:rPr>
            </w:pPr>
            <w:r>
              <w:rPr>
                <w:sz w:val="20"/>
                <w:szCs w:val="20"/>
              </w:rPr>
              <w:t xml:space="preserve">•Familiarizarea cu chestionarul </w:t>
            </w:r>
          </w:p>
          <w:p w14:paraId="794C6878" w14:textId="77777777" w:rsidR="007B15A9" w:rsidRDefault="00000000">
            <w:pPr>
              <w:rPr>
                <w:sz w:val="20"/>
                <w:szCs w:val="20"/>
              </w:rPr>
            </w:pPr>
            <w:r>
              <w:rPr>
                <w:sz w:val="20"/>
                <w:szCs w:val="20"/>
              </w:rPr>
              <w:t>•Conștientizarea importanței cunoașterii propriului profil</w:t>
            </w:r>
          </w:p>
        </w:tc>
        <w:tc>
          <w:tcPr>
            <w:tcW w:w="375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0350CA78" w14:textId="77777777" w:rsidR="007B15A9" w:rsidRDefault="00000000">
            <w:pPr>
              <w:rPr>
                <w:sz w:val="20"/>
                <w:szCs w:val="20"/>
              </w:rPr>
            </w:pPr>
            <w:r>
              <w:rPr>
                <w:sz w:val="20"/>
                <w:szCs w:val="20"/>
              </w:rPr>
              <w:t>•Completare profile</w:t>
            </w:r>
          </w:p>
          <w:p w14:paraId="4D740F45" w14:textId="77777777" w:rsidR="007B15A9" w:rsidRDefault="00000000">
            <w:pPr>
              <w:rPr>
                <w:sz w:val="20"/>
                <w:szCs w:val="20"/>
              </w:rPr>
            </w:pPr>
            <w:r>
              <w:rPr>
                <w:sz w:val="20"/>
                <w:szCs w:val="20"/>
              </w:rPr>
              <w:t>•Explicare background științific</w:t>
            </w:r>
          </w:p>
          <w:p w14:paraId="787AB450" w14:textId="77777777" w:rsidR="007B15A9" w:rsidRDefault="00000000">
            <w:pPr>
              <w:rPr>
                <w:sz w:val="20"/>
                <w:szCs w:val="20"/>
              </w:rPr>
            </w:pPr>
            <w:r>
              <w:rPr>
                <w:sz w:val="20"/>
                <w:szCs w:val="20"/>
              </w:rPr>
              <w:t>•Discutii</w:t>
            </w:r>
          </w:p>
          <w:p w14:paraId="166467A3" w14:textId="77777777" w:rsidR="007B15A9" w:rsidRDefault="00000000">
            <w:pPr>
              <w:rPr>
                <w:sz w:val="20"/>
                <w:szCs w:val="20"/>
              </w:rPr>
            </w:pPr>
            <w:r>
              <w:rPr>
                <w:sz w:val="20"/>
                <w:szCs w:val="20"/>
              </w:rPr>
              <w:t>•Puncte cheie pentru fiecare profil</w:t>
            </w:r>
          </w:p>
          <w:p w14:paraId="24E89462" w14:textId="77777777" w:rsidR="007B15A9" w:rsidRDefault="00000000">
            <w:pPr>
              <w:rPr>
                <w:sz w:val="20"/>
                <w:szCs w:val="20"/>
              </w:rPr>
            </w:pPr>
            <w:r>
              <w:rPr>
                <w:sz w:val="20"/>
                <w:szCs w:val="20"/>
              </w:rPr>
              <w:t>•Puncte cheie din profilul personal care pot fi utilizate într-o negociere</w:t>
            </w:r>
          </w:p>
          <w:p w14:paraId="099147F9" w14:textId="77777777" w:rsidR="007B15A9" w:rsidRDefault="00000000">
            <w:pPr>
              <w:rPr>
                <w:sz w:val="20"/>
                <w:szCs w:val="20"/>
              </w:rPr>
            </w:pPr>
            <w:r>
              <w:rPr>
                <w:sz w:val="20"/>
                <w:szCs w:val="20"/>
              </w:rPr>
              <w:t>•Arii de îmbunătățire</w:t>
            </w:r>
          </w:p>
          <w:p w14:paraId="2582E32A" w14:textId="77777777" w:rsidR="007B15A9" w:rsidRDefault="00000000">
            <w:pPr>
              <w:rPr>
                <w:sz w:val="20"/>
                <w:szCs w:val="20"/>
              </w:rPr>
            </w:pPr>
            <w:r>
              <w:rPr>
                <w:sz w:val="20"/>
                <w:szCs w:val="20"/>
              </w:rPr>
              <w:t>•</w:t>
            </w:r>
          </w:p>
        </w:tc>
      </w:tr>
      <w:tr w:rsidR="007B15A9" w14:paraId="6E4E5660" w14:textId="77777777">
        <w:trPr>
          <w:trHeight w:val="2055"/>
        </w:trPr>
        <w:tc>
          <w:tcPr>
            <w:tcW w:w="2761"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39E42802" w14:textId="77777777" w:rsidR="007B15A9" w:rsidRDefault="00000000">
            <w:pPr>
              <w:rPr>
                <w:sz w:val="20"/>
                <w:szCs w:val="20"/>
              </w:rPr>
            </w:pPr>
            <w:r>
              <w:rPr>
                <w:sz w:val="20"/>
                <w:szCs w:val="20"/>
              </w:rPr>
              <w:t>Contextualizarea comportamentelor și reacțiilor personale în circumstanțe profesionale specifice</w:t>
            </w:r>
          </w:p>
          <w:p w14:paraId="00DF9505" w14:textId="77777777" w:rsidR="007B15A9" w:rsidRDefault="007B15A9">
            <w:pPr>
              <w:rPr>
                <w:sz w:val="18"/>
                <w:szCs w:val="18"/>
              </w:rPr>
            </w:pPr>
          </w:p>
        </w:tc>
        <w:tc>
          <w:tcPr>
            <w:tcW w:w="2508"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1C648E73" w14:textId="77777777" w:rsidR="007B15A9" w:rsidRDefault="00000000">
            <w:pPr>
              <w:rPr>
                <w:sz w:val="20"/>
                <w:szCs w:val="20"/>
              </w:rPr>
            </w:pPr>
            <w:r>
              <w:rPr>
                <w:sz w:val="20"/>
                <w:szCs w:val="20"/>
              </w:rPr>
              <w:t>•Aplicarea profilelor de personalitate în funcție de diferitele contexte</w:t>
            </w:r>
          </w:p>
        </w:tc>
        <w:tc>
          <w:tcPr>
            <w:tcW w:w="375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58B99D01" w14:textId="77777777" w:rsidR="007B15A9" w:rsidRDefault="00000000">
            <w:pPr>
              <w:rPr>
                <w:sz w:val="20"/>
                <w:szCs w:val="20"/>
              </w:rPr>
            </w:pPr>
            <w:r>
              <w:rPr>
                <w:sz w:val="20"/>
                <w:szCs w:val="20"/>
              </w:rPr>
              <w:t>Ajustarea abordării clientului în funcție de profil comunicațional al interlocutorului</w:t>
            </w:r>
          </w:p>
          <w:p w14:paraId="63C922CA" w14:textId="77777777" w:rsidR="007B15A9" w:rsidRDefault="00000000">
            <w:pPr>
              <w:rPr>
                <w:sz w:val="20"/>
                <w:szCs w:val="20"/>
              </w:rPr>
            </w:pPr>
            <w:r>
              <w:rPr>
                <w:sz w:val="20"/>
                <w:szCs w:val="20"/>
              </w:rPr>
              <w:t>Îmbunătățirea punctelor slabe și valorificare punctelor tari</w:t>
            </w:r>
          </w:p>
          <w:p w14:paraId="36488570" w14:textId="77777777" w:rsidR="007B15A9" w:rsidRDefault="00000000">
            <w:pPr>
              <w:rPr>
                <w:sz w:val="20"/>
                <w:szCs w:val="20"/>
              </w:rPr>
            </w:pPr>
            <w:r>
              <w:rPr>
                <w:sz w:val="20"/>
                <w:szCs w:val="20"/>
              </w:rPr>
              <w:t>Întrebări care contextualizează diferite comportamente în funcție de profil</w:t>
            </w:r>
          </w:p>
          <w:p w14:paraId="1733DC4D" w14:textId="77777777" w:rsidR="007B15A9" w:rsidRDefault="00000000">
            <w:pPr>
              <w:rPr>
                <w:sz w:val="20"/>
                <w:szCs w:val="20"/>
              </w:rPr>
            </w:pPr>
            <w:r>
              <w:rPr>
                <w:sz w:val="20"/>
                <w:szCs w:val="20"/>
              </w:rPr>
              <w:t>Discutarea reacțiiilor</w:t>
            </w:r>
          </w:p>
          <w:p w14:paraId="3B973BCE" w14:textId="77777777" w:rsidR="007B15A9" w:rsidRDefault="00000000">
            <w:pPr>
              <w:rPr>
                <w:sz w:val="20"/>
                <w:szCs w:val="20"/>
              </w:rPr>
            </w:pPr>
            <w:r>
              <w:rPr>
                <w:sz w:val="20"/>
                <w:szCs w:val="20"/>
              </w:rPr>
              <w:t>Situații ipotetice abordate diferențiat</w:t>
            </w:r>
          </w:p>
          <w:p w14:paraId="33DE32C4" w14:textId="77777777" w:rsidR="007B15A9" w:rsidRDefault="007B15A9">
            <w:pPr>
              <w:rPr>
                <w:sz w:val="18"/>
                <w:szCs w:val="18"/>
              </w:rPr>
            </w:pPr>
          </w:p>
        </w:tc>
      </w:tr>
      <w:tr w:rsidR="007B15A9" w14:paraId="2098A196" w14:textId="77777777">
        <w:trPr>
          <w:trHeight w:val="1155"/>
        </w:trPr>
        <w:tc>
          <w:tcPr>
            <w:tcW w:w="2761"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4E54A486" w14:textId="77777777" w:rsidR="007B15A9" w:rsidRDefault="00000000">
            <w:pPr>
              <w:rPr>
                <w:sz w:val="20"/>
                <w:szCs w:val="20"/>
              </w:rPr>
            </w:pPr>
            <w:r>
              <w:rPr>
                <w:sz w:val="20"/>
                <w:szCs w:val="20"/>
              </w:rPr>
              <w:t>Activități de ofertare și studii de caz pentru aplicarea cunoștințelor într-un context practic</w:t>
            </w:r>
          </w:p>
          <w:p w14:paraId="20388811" w14:textId="77777777" w:rsidR="007B15A9" w:rsidRDefault="007B15A9">
            <w:pPr>
              <w:rPr>
                <w:sz w:val="18"/>
                <w:szCs w:val="18"/>
              </w:rPr>
            </w:pPr>
          </w:p>
        </w:tc>
        <w:tc>
          <w:tcPr>
            <w:tcW w:w="2508"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33C8B06B" w14:textId="77777777" w:rsidR="007B15A9" w:rsidRDefault="00000000">
            <w:pPr>
              <w:rPr>
                <w:sz w:val="20"/>
                <w:szCs w:val="20"/>
              </w:rPr>
            </w:pPr>
            <w:r>
              <w:rPr>
                <w:sz w:val="20"/>
                <w:szCs w:val="20"/>
              </w:rPr>
              <w:t>•Îmbunătățirea capacității de a aplica cele învățate în contexte reale de viață profesională</w:t>
            </w:r>
          </w:p>
        </w:tc>
        <w:tc>
          <w:tcPr>
            <w:tcW w:w="375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3524D436" w14:textId="77777777" w:rsidR="007B15A9" w:rsidRDefault="00000000">
            <w:pPr>
              <w:rPr>
                <w:sz w:val="20"/>
                <w:szCs w:val="20"/>
              </w:rPr>
            </w:pPr>
            <w:r>
              <w:rPr>
                <w:sz w:val="20"/>
                <w:szCs w:val="20"/>
              </w:rPr>
              <w:t>Debriefing și discuții de grup pentru consolidarea înțelegerii și aplicarea cunoștințelor în viitor.</w:t>
            </w:r>
          </w:p>
          <w:p w14:paraId="60EDDF33" w14:textId="77777777" w:rsidR="007B15A9" w:rsidRDefault="007B15A9">
            <w:pPr>
              <w:rPr>
                <w:sz w:val="20"/>
                <w:szCs w:val="20"/>
              </w:rPr>
            </w:pPr>
          </w:p>
        </w:tc>
      </w:tr>
    </w:tbl>
    <w:p w14:paraId="1A7BCD36" w14:textId="77777777" w:rsidR="007B15A9" w:rsidRDefault="007B15A9"/>
    <w:tbl>
      <w:tblPr>
        <w:tblStyle w:val="a0"/>
        <w:tblW w:w="9025" w:type="dxa"/>
        <w:tblBorders>
          <w:top w:val="nil"/>
          <w:left w:val="nil"/>
          <w:bottom w:val="nil"/>
          <w:right w:val="nil"/>
          <w:insideH w:val="nil"/>
          <w:insideV w:val="nil"/>
        </w:tblBorders>
        <w:tblLayout w:type="fixed"/>
        <w:tblLook w:val="0600" w:firstRow="0" w:lastRow="0" w:firstColumn="0" w:lastColumn="0" w:noHBand="1" w:noVBand="1"/>
      </w:tblPr>
      <w:tblGrid>
        <w:gridCol w:w="1218"/>
        <w:gridCol w:w="3547"/>
        <w:gridCol w:w="4260"/>
      </w:tblGrid>
      <w:tr w:rsidR="007B15A9" w14:paraId="06BA1E19" w14:textId="77777777">
        <w:trPr>
          <w:trHeight w:val="3180"/>
        </w:trPr>
        <w:tc>
          <w:tcPr>
            <w:tcW w:w="1217"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1A7C62AB" w14:textId="77777777" w:rsidR="007B15A9" w:rsidRDefault="00000000">
            <w:pPr>
              <w:rPr>
                <w:sz w:val="20"/>
                <w:szCs w:val="20"/>
              </w:rPr>
            </w:pPr>
            <w:r>
              <w:rPr>
                <w:sz w:val="20"/>
                <w:szCs w:val="20"/>
              </w:rPr>
              <w:lastRenderedPageBreak/>
              <w:t>•Arta Negocierii</w:t>
            </w:r>
          </w:p>
        </w:tc>
        <w:tc>
          <w:tcPr>
            <w:tcW w:w="3547"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30E1E9A0" w14:textId="77777777" w:rsidR="007B15A9" w:rsidRDefault="00000000">
            <w:pPr>
              <w:rPr>
                <w:sz w:val="20"/>
                <w:szCs w:val="20"/>
              </w:rPr>
            </w:pPr>
            <w:r>
              <w:rPr>
                <w:sz w:val="20"/>
                <w:szCs w:val="20"/>
              </w:rPr>
              <w:t>Colectarea informațiilor și realizarea unui tablou cât mai realist</w:t>
            </w:r>
          </w:p>
          <w:p w14:paraId="65CC7F1B" w14:textId="77777777" w:rsidR="007B15A9" w:rsidRDefault="00000000">
            <w:pPr>
              <w:rPr>
                <w:sz w:val="20"/>
                <w:szCs w:val="20"/>
              </w:rPr>
            </w:pPr>
            <w:r>
              <w:rPr>
                <w:sz w:val="20"/>
                <w:szCs w:val="20"/>
              </w:rPr>
              <w:t>Înțelegerea diferitelor tipuri de negociere și a comportamentelor frecvent întâlnite</w:t>
            </w:r>
          </w:p>
        </w:tc>
        <w:tc>
          <w:tcPr>
            <w:tcW w:w="426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713522CB" w14:textId="77777777" w:rsidR="007B15A9" w:rsidRDefault="00000000">
            <w:pPr>
              <w:rPr>
                <w:sz w:val="20"/>
                <w:szCs w:val="20"/>
              </w:rPr>
            </w:pPr>
            <w:r>
              <w:rPr>
                <w:sz w:val="20"/>
                <w:szCs w:val="20"/>
              </w:rPr>
              <w:t xml:space="preserve"> Înțelegerea procesului de negociere, de la dorința inițială până la obținerea rezultatului dorit</w:t>
            </w:r>
          </w:p>
          <w:p w14:paraId="1E84CCD8" w14:textId="77777777" w:rsidR="007B15A9" w:rsidRDefault="00000000">
            <w:pPr>
              <w:rPr>
                <w:sz w:val="20"/>
                <w:szCs w:val="20"/>
              </w:rPr>
            </w:pPr>
            <w:r>
              <w:rPr>
                <w:sz w:val="20"/>
                <w:szCs w:val="20"/>
              </w:rPr>
              <w:t xml:space="preserve"> Identificarea diferitelor tipuri de negociere și a caracteristicilor lor specifice</w:t>
            </w:r>
          </w:p>
          <w:p w14:paraId="67B34120" w14:textId="77777777" w:rsidR="007B15A9" w:rsidRDefault="00000000">
            <w:pPr>
              <w:rPr>
                <w:sz w:val="20"/>
                <w:szCs w:val="20"/>
              </w:rPr>
            </w:pPr>
            <w:r>
              <w:rPr>
                <w:sz w:val="20"/>
                <w:szCs w:val="20"/>
              </w:rPr>
              <w:t xml:space="preserve"> Cunoașterea stilurilor de negociere, inclusiv lupta și cucerirea, acomodarea, retragerea, compromisul și colaborarea</w:t>
            </w:r>
          </w:p>
          <w:p w14:paraId="62D64D7A" w14:textId="77777777" w:rsidR="007B15A9" w:rsidRDefault="00000000">
            <w:pPr>
              <w:rPr>
                <w:sz w:val="20"/>
                <w:szCs w:val="20"/>
              </w:rPr>
            </w:pPr>
            <w:r>
              <w:rPr>
                <w:sz w:val="20"/>
                <w:szCs w:val="20"/>
              </w:rPr>
              <w:t xml:space="preserve"> Învățarea unor tehnici eficiente de tratare a obiecțiilor în cadrul negocierii</w:t>
            </w:r>
          </w:p>
          <w:p w14:paraId="52672DE4" w14:textId="77777777" w:rsidR="007B15A9" w:rsidRDefault="00000000">
            <w:pPr>
              <w:rPr>
                <w:sz w:val="20"/>
                <w:szCs w:val="20"/>
              </w:rPr>
            </w:pPr>
            <w:r>
              <w:rPr>
                <w:sz w:val="20"/>
                <w:szCs w:val="20"/>
              </w:rPr>
              <w:t xml:space="preserve"> Examinarea comportamentelor și tendințelor comune în procesul de negociere</w:t>
            </w:r>
          </w:p>
          <w:p w14:paraId="5B58653C" w14:textId="77777777" w:rsidR="007B15A9" w:rsidRDefault="007B15A9">
            <w:pPr>
              <w:rPr>
                <w:sz w:val="20"/>
                <w:szCs w:val="20"/>
              </w:rPr>
            </w:pPr>
          </w:p>
          <w:p w14:paraId="69308DBB" w14:textId="77777777" w:rsidR="007B15A9" w:rsidRDefault="007B15A9">
            <w:pPr>
              <w:rPr>
                <w:sz w:val="18"/>
                <w:szCs w:val="18"/>
              </w:rPr>
            </w:pPr>
          </w:p>
        </w:tc>
      </w:tr>
      <w:tr w:rsidR="007B15A9" w14:paraId="30C4FF6F" w14:textId="77777777">
        <w:trPr>
          <w:trHeight w:val="2295"/>
        </w:trPr>
        <w:tc>
          <w:tcPr>
            <w:tcW w:w="1217"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2D214C6C" w14:textId="77777777" w:rsidR="007B15A9" w:rsidRDefault="00000000">
            <w:pPr>
              <w:rPr>
                <w:sz w:val="20"/>
                <w:szCs w:val="20"/>
              </w:rPr>
            </w:pPr>
            <w:r>
              <w:rPr>
                <w:sz w:val="20"/>
                <w:szCs w:val="20"/>
              </w:rPr>
              <w:t>•Inchiderea</w:t>
            </w:r>
          </w:p>
        </w:tc>
        <w:tc>
          <w:tcPr>
            <w:tcW w:w="3547"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717D8C92" w14:textId="77777777" w:rsidR="007B15A9" w:rsidRDefault="00000000">
            <w:pPr>
              <w:rPr>
                <w:sz w:val="20"/>
                <w:szCs w:val="20"/>
              </w:rPr>
            </w:pPr>
            <w:r>
              <w:rPr>
                <w:sz w:val="20"/>
                <w:szCs w:val="20"/>
              </w:rPr>
              <w:t>Conștientizarea importanței adaptării stilului de negociere și influențării în funcție de partenerul de conversație.</w:t>
            </w:r>
          </w:p>
          <w:p w14:paraId="7886A5DC" w14:textId="77777777" w:rsidR="007B15A9" w:rsidRDefault="007B15A9">
            <w:pPr>
              <w:rPr>
                <w:sz w:val="18"/>
                <w:szCs w:val="18"/>
              </w:rPr>
            </w:pPr>
          </w:p>
        </w:tc>
        <w:tc>
          <w:tcPr>
            <w:tcW w:w="426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6095ED9E" w14:textId="77777777" w:rsidR="007B15A9" w:rsidRDefault="00000000">
            <w:pPr>
              <w:rPr>
                <w:sz w:val="20"/>
                <w:szCs w:val="20"/>
              </w:rPr>
            </w:pPr>
            <w:r>
              <w:rPr>
                <w:sz w:val="20"/>
                <w:szCs w:val="20"/>
              </w:rPr>
              <w:t xml:space="preserve"> Conștientizarea importanței negocierii în viața cotidiană și identificarea celor mai întâlnite situații în care se poate aplica</w:t>
            </w:r>
          </w:p>
          <w:p w14:paraId="72C9BA9C" w14:textId="77777777" w:rsidR="007B15A9" w:rsidRDefault="00000000">
            <w:pPr>
              <w:rPr>
                <w:sz w:val="20"/>
                <w:szCs w:val="20"/>
              </w:rPr>
            </w:pPr>
            <w:r>
              <w:rPr>
                <w:sz w:val="20"/>
                <w:szCs w:val="20"/>
              </w:rPr>
              <w:t>Analiza și discutarea strategiilor de negociere, inclusiv Lose-Lose, Lose-Win, Win-Lose și Win-Win</w:t>
            </w:r>
          </w:p>
          <w:p w14:paraId="4008E84F" w14:textId="77777777" w:rsidR="007B15A9" w:rsidRDefault="00000000">
            <w:pPr>
              <w:rPr>
                <w:sz w:val="20"/>
                <w:szCs w:val="20"/>
              </w:rPr>
            </w:pPr>
            <w:r>
              <w:rPr>
                <w:sz w:val="20"/>
                <w:szCs w:val="20"/>
              </w:rPr>
              <w:t xml:space="preserve"> Înțelegerea etapelor-cheie ale negocierii, inclusiv planificarea și pregătirea, discutarea, propunerea, negocierea propriu-zisă și finalizarea acordului.</w:t>
            </w:r>
          </w:p>
        </w:tc>
      </w:tr>
    </w:tbl>
    <w:p w14:paraId="10880BE9" w14:textId="77777777" w:rsidR="007B15A9" w:rsidRDefault="007B15A9"/>
    <w:p w14:paraId="4E3DA12A" w14:textId="77777777" w:rsidR="007B15A9" w:rsidRDefault="007B15A9"/>
    <w:sectPr w:rsidR="007B15A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5A9"/>
    <w:rsid w:val="007B15A9"/>
    <w:rsid w:val="00D013C9"/>
  </w:rsids>
  <m:mathPr>
    <m:mathFont m:val="Cambria Math"/>
    <m:brkBin m:val="before"/>
    <m:brkBinSub m:val="--"/>
    <m:smallFrac m:val="0"/>
    <m:dispDef/>
    <m:lMargin m:val="0"/>
    <m:rMargin m:val="0"/>
    <m:defJc m:val="centerGroup"/>
    <m:wrapIndent m:val="1440"/>
    <m:intLim m:val="subSup"/>
    <m:naryLim m:val="undOvr"/>
  </m:mathPr>
  <w:themeFontLang w:val="en-RO"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930234F"/>
  <w15:docId w15:val="{65A6BE42-DD23-8949-943D-8BD9D6961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2970</Characters>
  <Application>Microsoft Office Word</Application>
  <DocSecurity>0</DocSecurity>
  <Lines>24</Lines>
  <Paragraphs>6</Paragraphs>
  <ScaleCrop>false</ScaleCrop>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Mihnea Radita</cp:lastModifiedBy>
  <cp:revision>2</cp:revision>
  <dcterms:created xsi:type="dcterms:W3CDTF">2023-02-20T12:23:00Z</dcterms:created>
  <dcterms:modified xsi:type="dcterms:W3CDTF">2023-02-20T12:23:00Z</dcterms:modified>
</cp:coreProperties>
</file>