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40" w:before="0" w:line="276"/>
        <w:jc w:val="center"/>
      </w:pPr>
      <w:r>
        <w:rPr>
          <w:rFonts w:ascii="Arial" w:cs="Arial" w:eastAsia="Arial" w:hAnsi="Arial"/>
          <w:b/>
          <w:bCs/>
          <w:color w:val="1B2A4A"/>
          <w:sz w:val="52"/>
          <w:szCs w:val="52"/>
        </w:rPr>
        <w:t xml:space="preserve">LIGHTWEIGHT</w:t>
      </w:r>
    </w:p>
    <w:p>
      <w:pPr>
        <w:spacing w:after="80" w:before="0" w:line="276"/>
        <w:jc w:val="center"/>
      </w:pPr>
      <w:r>
        <w:rPr>
          <w:rFonts w:ascii="Arial" w:cs="Arial" w:eastAsia="Arial" w:hAnsi="Arial"/>
          <w:b/>
          <w:bCs/>
          <w:color w:val="1B2A4A"/>
          <w:sz w:val="36"/>
          <w:szCs w:val="36"/>
        </w:rPr>
        <w:t xml:space="preserve">PRODUCT TEST MATURITY MATRIX</w:t>
      </w:r>
    </w:p>
    <w:p>
      <w:pPr>
        <w:spacing w:after="80" w:before="0" w:line="276"/>
        <w:jc w:val="center"/>
      </w:pPr>
      <w:r>
        <w:rPr>
          <w:rFonts w:ascii="Arial" w:cs="Arial" w:eastAsia="Arial" w:hAnsi="Arial"/>
          <w:color w:val="2C5282"/>
          <w:sz w:val="26"/>
          <w:szCs w:val="26"/>
        </w:rPr>
        <w:t xml:space="preserve">Quick Wins Edition — Maximum ROI Criteria</w:t>
      </w:r>
    </w:p>
    <w:p>
      <w:pPr>
        <w:spacing w:after="500" w:before="0" w:line="276"/>
        <w:jc w:val="center"/>
      </w:pPr>
      <w:r>
        <w:rPr>
          <w:rFonts w:ascii="Arial" w:cs="Arial" w:eastAsia="Arial" w:hAnsi="Arial"/>
          <w:i/>
          <w:iCs/>
          <w:color w:val="4A5568"/>
          <w:sz w:val="20"/>
          <w:szCs w:val="20"/>
        </w:rPr>
        <w:t xml:space="preserve">Including: Contract Testing Deep Dive (Consumer, Provider, Broker)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1B2A4A"/>
                <w:sz w:val="20"/>
                <w:szCs w:val="20"/>
              </w:rPr>
              <w:t xml:space="preserve">Document Version</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1.0</w:t>
            </w:r>
          </w:p>
        </w:tc>
      </w:tr>
      <w:tr>
        <w:tc>
          <w:tcPr>
            <w:tcW w:type="dxa" w:w="2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1B2A4A"/>
                <w:sz w:val="20"/>
                <w:szCs w:val="20"/>
              </w:rPr>
              <w:t xml:space="preserve">Date</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2026-02-17</w:t>
            </w:r>
          </w:p>
        </w:tc>
      </w:tr>
      <w:tr>
        <w:tc>
          <w:tcPr>
            <w:tcW w:type="dxa" w:w="2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1B2A4A"/>
                <w:sz w:val="20"/>
                <w:szCs w:val="20"/>
              </w:rPr>
              <w:t xml:space="preserve">Owner</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Quality Engineering</w:t>
            </w:r>
          </w:p>
        </w:tc>
      </w:tr>
      <w:tr>
        <w:tc>
          <w:tcPr>
            <w:tcW w:type="dxa" w:w="2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1B2A4A"/>
                <w:sz w:val="20"/>
                <w:szCs w:val="20"/>
              </w:rPr>
              <w:t xml:space="preserve">Status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DRAFT</w:t>
            </w:r>
          </w:p>
        </w:tc>
      </w:tr>
      <w:tr>
        <w:tc>
          <w:tcPr>
            <w:tcW w:type="dxa" w:w="2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1B2A4A"/>
                <w:sz w:val="20"/>
                <w:szCs w:val="20"/>
              </w:rPr>
              <w:t xml:space="preserve">Related Documents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Product Test Maturity Matrix v1.0, Hotfix Pipeline Testing Strategy v1.0</w:t>
            </w:r>
          </w:p>
        </w:tc>
      </w:tr>
    </w:tbl>
    <w:p>
      <w:r>
        <w:br w:type="page"/>
      </w:r>
    </w:p>
    <w:p>
      <w:pPr>
        <w:pStyle w:val="Heading1"/>
      </w:pPr>
      <w:r>
        <w:rPr>
          <w:rFonts w:ascii="Arial" w:cs="Arial" w:eastAsia="Arial" w:hAnsi="Arial"/>
          <w:b/>
          <w:bCs/>
          <w:color w:val="1A202C"/>
          <w:sz w:val="22"/>
          <w:szCs w:val="2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A202C"/>
          <w:sz w:val="22"/>
          <w:szCs w:val="22"/>
        </w:rPr>
        <w:t xml:space="preserve">Lightweight Product Test Maturity Matrix</w:t>
      </w:r>
    </w:p>
    <w:p>
      <w:pPr>
        <w:spacing w:after="160" w:before="0" w:line="276"/>
        <w:jc w:val="left"/>
      </w:pPr>
      <w:r>
        <w:rPr>
          <w:rFonts w:ascii="Arial" w:cs="Arial" w:eastAsia="Arial" w:hAnsi="Arial"/>
          <w:color w:val="1A202C"/>
          <w:sz w:val="22"/>
          <w:szCs w:val="22"/>
        </w:rPr>
        <w:t xml:space="preserve">This section presents a distilled version of the full Product Test Maturity Matrix, containing only the 3 highest-ROI criteria per maturity level (15 total). These are the criteria that deliver the most value with the least effort, and should be the first to implement when establishing the automated hotfix pipeline.</w:t>
      </w:r>
    </w:p>
    <w:p>
      <w:pPr>
        <w:pStyle w:val="Heading2"/>
      </w:pPr>
      <w:r>
        <w:rPr>
          <w:rFonts w:ascii="Arial" w:cs="Arial" w:eastAsia="Arial" w:hAnsi="Arial"/>
          <w:b/>
          <w:bCs/>
          <w:color w:val="1A202C"/>
          <w:sz w:val="22"/>
          <w:szCs w:val="22"/>
        </w:rPr>
        <w:t xml:space="preserve">Selection Methodology</w:t>
      </w:r>
    </w:p>
    <w:p>
      <w:pPr>
        <w:spacing w:after="160" w:before="0" w:line="276"/>
        <w:jc w:val="left"/>
      </w:pPr>
      <w:r>
        <w:rPr>
          <w:rFonts w:ascii="Arial" w:cs="Arial" w:eastAsia="Arial" w:hAnsi="Arial"/>
          <w:color w:val="1A202C"/>
          <w:sz w:val="22"/>
          <w:szCs w:val="22"/>
        </w:rPr>
        <w:t xml:space="preserve">Each criterion was selected based on three factors:</w:t>
      </w:r>
    </w:p>
    <w:p>
      <w:pPr>
        <w:pStyle w:val="ListParagraph"/>
        <w:numPr>
          <w:ilvl w:val="0"/>
          <w:numId w:val="2"/>
        </w:numPr>
        <w:spacing w:after="70" w:line="276"/>
      </w:pPr>
      <w:r>
        <w:rPr>
          <w:rFonts w:ascii="Arial" w:cs="Arial" w:eastAsia="Arial" w:hAnsi="Arial"/>
          <w:b/>
          <w:bCs/>
          <w:color w:val="1A202C"/>
          <w:sz w:val="21"/>
          <w:szCs w:val="21"/>
        </w:rPr>
        <w:t xml:space="preserve">Implementation Effort: </w:t>
      </w:r>
      <w:r>
        <w:rPr>
          <w:rFonts w:ascii="Arial" w:cs="Arial" w:eastAsia="Arial" w:hAnsi="Arial"/>
          <w:color w:val="1A202C"/>
          <w:sz w:val="21"/>
          <w:szCs w:val="21"/>
        </w:rPr>
        <w:t xml:space="preserve">How long does it take to go from zero to functional? Days preferred over weeks.</w:t>
      </w:r>
    </w:p>
    <w:p>
      <w:pPr>
        <w:pStyle w:val="ListParagraph"/>
        <w:numPr>
          <w:ilvl w:val="0"/>
          <w:numId w:val="2"/>
        </w:numPr>
        <w:spacing w:after="70" w:line="276"/>
      </w:pPr>
      <w:r>
        <w:rPr>
          <w:rFonts w:ascii="Arial" w:cs="Arial" w:eastAsia="Arial" w:hAnsi="Arial"/>
          <w:b/>
          <w:bCs/>
          <w:color w:val="1A202C"/>
          <w:sz w:val="21"/>
          <w:szCs w:val="21"/>
        </w:rPr>
        <w:t xml:space="preserve">Value Added: </w:t>
      </w:r>
      <w:r>
        <w:rPr>
          <w:rFonts w:ascii="Arial" w:cs="Arial" w:eastAsia="Arial" w:hAnsi="Arial"/>
          <w:color w:val="1A202C"/>
          <w:sz w:val="21"/>
          <w:szCs w:val="21"/>
        </w:rPr>
        <w:t xml:space="preserve">How much does this criterion contribute to the automated hotfix pipeline, deployment safety, and production quality?</w:t>
      </w:r>
    </w:p>
    <w:p>
      <w:pPr>
        <w:pStyle w:val="ListParagraph"/>
        <w:numPr>
          <w:ilvl w:val="0"/>
          <w:numId w:val="2"/>
        </w:numPr>
        <w:spacing w:after="70" w:line="276"/>
      </w:pPr>
      <w:r>
        <w:rPr>
          <w:rFonts w:ascii="Arial" w:cs="Arial" w:eastAsia="Arial" w:hAnsi="Arial"/>
          <w:b/>
          <w:bCs/>
          <w:color w:val="1A202C"/>
          <w:sz w:val="21"/>
          <w:szCs w:val="21"/>
        </w:rPr>
        <w:t xml:space="preserve">Dependency Impact: </w:t>
      </w:r>
      <w:r>
        <w:rPr>
          <w:rFonts w:ascii="Arial" w:cs="Arial" w:eastAsia="Arial" w:hAnsi="Arial"/>
          <w:color w:val="1A202C"/>
          <w:sz w:val="21"/>
          <w:szCs w:val="21"/>
        </w:rPr>
        <w:t xml:space="preserve">How many other practices depend on this one? Foundational capabilities are prioritized.</w:t>
      </w:r>
    </w:p>
    <w:p>
      <w:pPr>
        <w:spacing w:before="200"/>
      </w:pP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4"/>
              <w:left w:val="single" w:color="E2E8F0" w:sz="1"/>
              <w:bottom w:val="single" w:color="E2E8F0" w:sz="1"/>
              <w:right w:val="single" w:color="E2E8F0" w:sz="1"/>
            </w:tcBorders>
            <w:shd w:fill="C53030" w:val="clear"/>
            <w:tcMar>
              <w:top w:type="dxa" w:w="80"/>
              <w:left w:type="dxa" w:w="160"/>
              <w:bottom w:type="dxa" w:w="80"/>
              <w:right w:type="dxa" w:w="160"/>
            </w:tcMar>
          </w:tcPr>
          <w:p>
            <w:r>
              <w:rPr>
                <w:rFonts w:ascii="Arial" w:cs="Arial" w:eastAsia="Arial" w:hAnsi="Arial"/>
                <w:b/>
                <w:bCs/>
                <w:color w:val="FFFFFF"/>
                <w:sz w:val="22"/>
                <w:szCs w:val="22"/>
              </w:rPr>
              <w:t xml:space="preserve">Level 1 — Initial / Ad-Hoc  |  Score: 0–20</w:t>
            </w:r>
          </w:p>
        </w:tc>
      </w:tr>
    </w:tbl>
    <w:p>
      <w:pPr>
        <w:spacing w:after="120" w:before="80" w:line="276"/>
        <w:jc w:val="left"/>
      </w:pPr>
      <w:r>
        <w:rPr>
          <w:rFonts w:ascii="Arial" w:cs="Arial" w:eastAsia="Arial" w:hAnsi="Arial"/>
          <w:i/>
          <w:iCs/>
          <w:color w:val="4A5568"/>
          <w:sz w:val="21"/>
          <w:szCs w:val="21"/>
        </w:rPr>
        <w:t xml:space="preserve">Bare minimum exists. Goal: establish basic foundations that everything else builds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500"/>
        <w:gridCol w:w="2200"/>
        <w:gridCol w:w="1060"/>
        <w:gridCol w:w="1000"/>
      </w:tblGrid>
      <w:tr>
        <w:tc>
          <w:tcPr>
            <w:tcW w:type="dxa" w:w="4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t>
            </w:r>
          </w:p>
        </w:tc>
        <w:tc>
          <w:tcPr>
            <w:tcW w:type="dxa" w:w="2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Criterion</w:t>
            </w:r>
          </w:p>
        </w:tc>
        <w:tc>
          <w:tcPr>
            <w:tcW w:type="dxa" w:w="25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What to Validate</w:t>
            </w:r>
          </w:p>
        </w:tc>
        <w:tc>
          <w:tcPr>
            <w:tcW w:type="dxa" w:w="2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Evidence</w:t>
            </w:r>
          </w:p>
        </w:tc>
        <w:tc>
          <w:tcPr>
            <w:tcW w:type="dxa" w:w="10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Effort</w:t>
            </w:r>
          </w:p>
        </w:tc>
        <w:tc>
          <w:tcPr>
            <w:tcW w:type="dxa" w:w="10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ROI</w:t>
            </w:r>
          </w:p>
        </w:tc>
      </w:tr>
      <w:tr>
        <w:tc>
          <w:tcPr>
            <w:tcW w:type="dxa" w:w="400"/>
            <w:tcBorders>
              <w:top w:val="single" w:color="E2E8F0" w:sz="1"/>
              <w:left w:val="single" w:color="E2E8F0" w:sz="1"/>
              <w:bottom w:val="single" w:color="E2E8F0" w:sz="1"/>
              <w:right w:val="single" w:color="E2E8F0" w:sz="1"/>
            </w:tcBorders>
            <w:shd w:fill="FED7D7" w:val="clear"/>
            <w:tcMar>
              <w:top w:type="dxa" w:w="80"/>
              <w:left w:type="dxa" w:w="120"/>
              <w:bottom w:type="dxa" w:w="80"/>
              <w:right w:type="dxa" w:w="120"/>
            </w:tcMar>
            <w:vAlign w:val="top"/>
          </w:tcPr>
          <w:p>
            <w:pPr>
              <w:spacing w:after="30"/>
            </w:pPr>
            <w:r>
              <w:rPr>
                <w:rFonts w:ascii="Arial" w:cs="Arial" w:eastAsia="Arial" w:hAnsi="Arial"/>
                <w:b/>
                <w:bCs/>
                <w:color w:val="C53030"/>
                <w:sz w:val="19"/>
                <w:szCs w:val="19"/>
              </w:rPr>
              <w:t xml:space="preserve">1</w:t>
            </w:r>
          </w:p>
        </w:tc>
        <w:tc>
          <w:tcPr>
            <w:tcW w:type="dxa" w:w="2200"/>
            <w:tcBorders>
              <w:top w:val="single" w:color="E2E8F0" w:sz="1"/>
              <w:left w:val="single" w:color="E2E8F0" w:sz="1"/>
              <w:bottom w:val="single" w:color="E2E8F0" w:sz="1"/>
              <w:right w:val="single" w:color="E2E8F0" w:sz="1"/>
            </w:tcBorders>
            <w:shd w:fill="FED7D7" w:val="clear"/>
            <w:tcMar>
              <w:top w:type="dxa" w:w="80"/>
              <w:left w:type="dxa" w:w="120"/>
              <w:bottom w:type="dxa" w:w="80"/>
              <w:right w:type="dxa" w:w="120"/>
            </w:tcMar>
            <w:vAlign w:val="top"/>
          </w:tcPr>
          <w:p>
            <w:pPr>
              <w:spacing w:after="40"/>
            </w:pPr>
            <w:r>
              <w:rPr>
                <w:rFonts w:ascii="Arial" w:cs="Arial" w:eastAsia="Arial" w:hAnsi="Arial"/>
                <w:b/>
                <w:bCs/>
                <w:color w:val="1A202C"/>
                <w:sz w:val="19"/>
                <w:szCs w:val="19"/>
              </w:rPr>
              <w:t xml:space="preserve">CI pipeline exists and runs on every PR</w:t>
            </w:r>
          </w:p>
          <w:p>
            <w:pPr>
              <w:spacing w:after="0"/>
            </w:pPr>
            <w:r>
              <w:rPr>
                <w:rFonts w:ascii="Arial" w:cs="Arial" w:eastAsia="Arial" w:hAnsi="Arial"/>
                <w:i/>
                <w:iCs/>
                <w:color w:val="C53030"/>
                <w:sz w:val="16"/>
                <w:szCs w:val="16"/>
              </w:rPr>
              <w:t xml:space="preserve">Test Automation</w:t>
            </w:r>
          </w:p>
        </w:tc>
        <w:tc>
          <w:tcPr>
            <w:tcW w:type="dxa" w:w="2500"/>
            <w:tcBorders>
              <w:top w:val="single" w:color="E2E8F0" w:sz="1"/>
              <w:left w:val="single" w:color="E2E8F0" w:sz="1"/>
              <w:bottom w:val="single" w:color="E2E8F0" w:sz="1"/>
              <w:right w:val="single" w:color="E2E8F0" w:sz="1"/>
            </w:tcBorders>
            <w:shd w:fill="FED7D7"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 CI pipeline (GitHub Actions, Jenkins, etc.) is configured and executes automatically when a developer opens a Pull Request. The build compiles successfully.</w:t>
            </w:r>
          </w:p>
        </w:tc>
        <w:tc>
          <w:tcPr>
            <w:tcW w:type="dxa" w:w="2200"/>
            <w:tcBorders>
              <w:top w:val="single" w:color="E2E8F0" w:sz="1"/>
              <w:left w:val="single" w:color="E2E8F0" w:sz="1"/>
              <w:bottom w:val="single" w:color="E2E8F0" w:sz="1"/>
              <w:right w:val="single" w:color="E2E8F0" w:sz="1"/>
            </w:tcBorders>
            <w:shd w:fill="FED7D7" w:val="clear"/>
            <w:tcMar>
              <w:top w:type="dxa" w:w="80"/>
              <w:left w:type="dxa" w:w="120"/>
              <w:bottom w:type="dxa" w:w="80"/>
              <w:right w:type="dxa" w:w="120"/>
            </w:tcMar>
            <w:vAlign w:val="top"/>
          </w:tcPr>
          <w:p>
            <w:pPr>
              <w:spacing w:after="30"/>
            </w:pPr>
            <w:r>
              <w:rPr>
                <w:rFonts w:ascii="Arial" w:cs="Arial" w:eastAsia="Arial" w:hAnsi="Arial"/>
                <w:color w:val="4A5568"/>
                <w:sz w:val="18"/>
                <w:szCs w:val="18"/>
              </w:rPr>
              <w:t xml:space="preserve">Open GitHub repo → check .github/workflows/ or Jenkinsfile exists. Verify last 10 PRs have CI status checks.</w:t>
            </w:r>
          </w:p>
        </w:tc>
        <w:tc>
          <w:tcPr>
            <w:tcW w:type="dxa" w:w="1060"/>
            <w:tcBorders>
              <w:top w:val="single" w:color="E2E8F0" w:sz="1"/>
              <w:left w:val="single" w:color="E2E8F0" w:sz="1"/>
              <w:bottom w:val="single" w:color="E2E8F0" w:sz="1"/>
              <w:right w:val="single" w:color="E2E8F0" w:sz="1"/>
            </w:tcBorders>
            <w:shd w:fill="FED7D7"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1–2 days</w:t>
            </w:r>
          </w:p>
        </w:tc>
        <w:tc>
          <w:tcPr>
            <w:tcW w:type="dxa" w:w="1000"/>
            <w:tcBorders>
              <w:top w:val="single" w:color="E2E8F0" w:sz="1"/>
              <w:left w:val="single" w:color="E2E8F0" w:sz="1"/>
              <w:bottom w:val="single" w:color="E2E8F0" w:sz="1"/>
              <w:right w:val="single" w:color="E2E8F0" w:sz="1"/>
            </w:tcBorders>
            <w:shd w:fill="FED7D7" w:val="clear"/>
            <w:tcMar>
              <w:top w:type="dxa" w:w="80"/>
              <w:left w:type="dxa" w:w="120"/>
              <w:bottom w:type="dxa" w:w="80"/>
              <w:right w:type="dxa" w:w="120"/>
            </w:tcMar>
            <w:vAlign w:val="top"/>
          </w:tcPr>
          <w:p>
            <w:pPr>
              <w:spacing w:after="30"/>
            </w:pPr>
            <w:r>
              <w:rPr>
                <w:rFonts w:ascii="Arial" w:cs="Arial" w:eastAsia="Arial" w:hAnsi="Arial"/>
                <w:color w:val="C05621"/>
                <w:sz w:val="18"/>
                <w:szCs w:val="18"/>
              </w:rPr>
              <w:t xml:space="preserve">★★★★★</w:t>
            </w:r>
          </w:p>
        </w:tc>
      </w:tr>
      <w:tr>
        <w:tc>
          <w:tcPr>
            <w:tcW w:type="dxa" w:w="4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30"/>
            </w:pPr>
            <w:r>
              <w:rPr>
                <w:rFonts w:ascii="Arial" w:cs="Arial" w:eastAsia="Arial" w:hAnsi="Arial"/>
                <w:b/>
                <w:bCs/>
                <w:color w:val="C53030"/>
                <w:sz w:val="19"/>
                <w:szCs w:val="19"/>
              </w:rPr>
              <w:t xml:space="preserve">2</w:t>
            </w:r>
          </w:p>
        </w:tc>
        <w:tc>
          <w:tcPr>
            <w:tcW w:type="dxa" w:w="22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40"/>
            </w:pPr>
            <w:r>
              <w:rPr>
                <w:rFonts w:ascii="Arial" w:cs="Arial" w:eastAsia="Arial" w:hAnsi="Arial"/>
                <w:b/>
                <w:bCs/>
                <w:color w:val="1A202C"/>
                <w:sz w:val="19"/>
                <w:szCs w:val="19"/>
              </w:rPr>
              <w:t xml:space="preserve">Unit tests exist and execute in CI</w:t>
            </w:r>
          </w:p>
          <w:p>
            <w:pPr>
              <w:spacing w:after="0"/>
            </w:pPr>
            <w:r>
              <w:rPr>
                <w:rFonts w:ascii="Arial" w:cs="Arial" w:eastAsia="Arial" w:hAnsi="Arial"/>
                <w:i/>
                <w:iCs/>
                <w:color w:val="C53030"/>
                <w:sz w:val="16"/>
                <w:szCs w:val="16"/>
              </w:rPr>
              <w:t xml:space="preserve">Unit Testing</w:t>
            </w:r>
          </w:p>
        </w:tc>
        <w:tc>
          <w:tcPr>
            <w:tcW w:type="dxa" w:w="25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At least some unit tests are present in the codebase and they run as part of the CI pipeline. They don’t need to be comprehensive yet—they need to exist and execute.</w:t>
            </w:r>
          </w:p>
        </w:tc>
        <w:tc>
          <w:tcPr>
            <w:tcW w:type="dxa" w:w="22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30"/>
            </w:pPr>
            <w:r>
              <w:rPr>
                <w:rFonts w:ascii="Arial" w:cs="Arial" w:eastAsia="Arial" w:hAnsi="Arial"/>
                <w:color w:val="4A5568"/>
                <w:sz w:val="18"/>
                <w:szCs w:val="18"/>
              </w:rPr>
              <w:t xml:space="preserve">Check test directories in repo (src/test, __tests__, *.spec.*). Verify CI logs show test execution output.</w:t>
            </w:r>
          </w:p>
        </w:tc>
        <w:tc>
          <w:tcPr>
            <w:tcW w:type="dxa" w:w="106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2–3 days</w:t>
            </w:r>
          </w:p>
        </w:tc>
        <w:tc>
          <w:tcPr>
            <w:tcW w:type="dxa" w:w="10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30"/>
            </w:pPr>
            <w:r>
              <w:rPr>
                <w:rFonts w:ascii="Arial" w:cs="Arial" w:eastAsia="Arial" w:hAnsi="Arial"/>
                <w:color w:val="C05621"/>
                <w:sz w:val="18"/>
                <w:szCs w:val="18"/>
              </w:rPr>
              <w:t xml:space="preserve">★★★★☆</w:t>
            </w:r>
          </w:p>
        </w:tc>
      </w:tr>
      <w:tr>
        <w:tc>
          <w:tcPr>
            <w:tcW w:type="dxa" w:w="400"/>
            <w:tcBorders>
              <w:top w:val="single" w:color="E2E8F0" w:sz="1"/>
              <w:left w:val="single" w:color="E2E8F0" w:sz="1"/>
              <w:bottom w:val="single" w:color="E2E8F0" w:sz="1"/>
              <w:right w:val="single" w:color="E2E8F0" w:sz="1"/>
            </w:tcBorders>
            <w:shd w:fill="FED7D7" w:val="clear"/>
            <w:tcMar>
              <w:top w:type="dxa" w:w="80"/>
              <w:left w:type="dxa" w:w="120"/>
              <w:bottom w:type="dxa" w:w="80"/>
              <w:right w:type="dxa" w:w="120"/>
            </w:tcMar>
            <w:vAlign w:val="top"/>
          </w:tcPr>
          <w:p>
            <w:pPr>
              <w:spacing w:after="30"/>
            </w:pPr>
            <w:r>
              <w:rPr>
                <w:rFonts w:ascii="Arial" w:cs="Arial" w:eastAsia="Arial" w:hAnsi="Arial"/>
                <w:b/>
                <w:bCs/>
                <w:color w:val="C53030"/>
                <w:sz w:val="19"/>
                <w:szCs w:val="19"/>
              </w:rPr>
              <w:t xml:space="preserve">3</w:t>
            </w:r>
          </w:p>
        </w:tc>
        <w:tc>
          <w:tcPr>
            <w:tcW w:type="dxa" w:w="2200"/>
            <w:tcBorders>
              <w:top w:val="single" w:color="E2E8F0" w:sz="1"/>
              <w:left w:val="single" w:color="E2E8F0" w:sz="1"/>
              <w:bottom w:val="single" w:color="E2E8F0" w:sz="1"/>
              <w:right w:val="single" w:color="E2E8F0" w:sz="1"/>
            </w:tcBorders>
            <w:shd w:fill="FED7D7" w:val="clear"/>
            <w:tcMar>
              <w:top w:type="dxa" w:w="80"/>
              <w:left w:type="dxa" w:w="120"/>
              <w:bottom w:type="dxa" w:w="80"/>
              <w:right w:type="dxa" w:w="120"/>
            </w:tcMar>
            <w:vAlign w:val="top"/>
          </w:tcPr>
          <w:p>
            <w:pPr>
              <w:spacing w:after="40"/>
            </w:pPr>
            <w:r>
              <w:rPr>
                <w:rFonts w:ascii="Arial" w:cs="Arial" w:eastAsia="Arial" w:hAnsi="Arial"/>
                <w:b/>
                <w:bCs/>
                <w:color w:val="1A202C"/>
                <w:sz w:val="19"/>
                <w:szCs w:val="19"/>
              </w:rPr>
              <w:t xml:space="preserve">Health check endpoint exists (GET /health)</w:t>
            </w:r>
          </w:p>
          <w:p>
            <w:pPr>
              <w:spacing w:after="0"/>
            </w:pPr>
            <w:r>
              <w:rPr>
                <w:rFonts w:ascii="Arial" w:cs="Arial" w:eastAsia="Arial" w:hAnsi="Arial"/>
                <w:i/>
                <w:iCs/>
                <w:color w:val="C53030"/>
                <w:sz w:val="16"/>
                <w:szCs w:val="16"/>
              </w:rPr>
              <w:t xml:space="preserve">Monitoring &amp; Observability</w:t>
            </w:r>
          </w:p>
        </w:tc>
        <w:tc>
          <w:tcPr>
            <w:tcW w:type="dxa" w:w="2500"/>
            <w:tcBorders>
              <w:top w:val="single" w:color="E2E8F0" w:sz="1"/>
              <w:left w:val="single" w:color="E2E8F0" w:sz="1"/>
              <w:bottom w:val="single" w:color="E2E8F0" w:sz="1"/>
              <w:right w:val="single" w:color="E2E8F0" w:sz="1"/>
            </w:tcBorders>
            <w:shd w:fill="FED7D7"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The application exposes a /health (or /actuator/health) endpoint that returns HTTP 200 when the service is running and can reach its dependencies (DB, cache, MQ).</w:t>
            </w:r>
          </w:p>
        </w:tc>
        <w:tc>
          <w:tcPr>
            <w:tcW w:type="dxa" w:w="2200"/>
            <w:tcBorders>
              <w:top w:val="single" w:color="E2E8F0" w:sz="1"/>
              <w:left w:val="single" w:color="E2E8F0" w:sz="1"/>
              <w:bottom w:val="single" w:color="E2E8F0" w:sz="1"/>
              <w:right w:val="single" w:color="E2E8F0" w:sz="1"/>
            </w:tcBorders>
            <w:shd w:fill="FED7D7" w:val="clear"/>
            <w:tcMar>
              <w:top w:type="dxa" w:w="80"/>
              <w:left w:type="dxa" w:w="120"/>
              <w:bottom w:type="dxa" w:w="80"/>
              <w:right w:type="dxa" w:w="120"/>
            </w:tcMar>
            <w:vAlign w:val="top"/>
          </w:tcPr>
          <w:p>
            <w:pPr>
              <w:spacing w:after="30"/>
            </w:pPr>
            <w:r>
              <w:rPr>
                <w:rFonts w:ascii="Arial" w:cs="Arial" w:eastAsia="Arial" w:hAnsi="Arial"/>
                <w:color w:val="4A5568"/>
                <w:sz w:val="18"/>
                <w:szCs w:val="18"/>
              </w:rPr>
              <w:t xml:space="preserve">Call GET /health on the running service. Verify 200 response with dependency status. Check if K8s readiness probe uses it.</w:t>
            </w:r>
          </w:p>
        </w:tc>
        <w:tc>
          <w:tcPr>
            <w:tcW w:type="dxa" w:w="1060"/>
            <w:tcBorders>
              <w:top w:val="single" w:color="E2E8F0" w:sz="1"/>
              <w:left w:val="single" w:color="E2E8F0" w:sz="1"/>
              <w:bottom w:val="single" w:color="E2E8F0" w:sz="1"/>
              <w:right w:val="single" w:color="E2E8F0" w:sz="1"/>
            </w:tcBorders>
            <w:shd w:fill="FED7D7"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1 day</w:t>
            </w:r>
          </w:p>
        </w:tc>
        <w:tc>
          <w:tcPr>
            <w:tcW w:type="dxa" w:w="1000"/>
            <w:tcBorders>
              <w:top w:val="single" w:color="E2E8F0" w:sz="1"/>
              <w:left w:val="single" w:color="E2E8F0" w:sz="1"/>
              <w:bottom w:val="single" w:color="E2E8F0" w:sz="1"/>
              <w:right w:val="single" w:color="E2E8F0" w:sz="1"/>
            </w:tcBorders>
            <w:shd w:fill="FED7D7" w:val="clear"/>
            <w:tcMar>
              <w:top w:type="dxa" w:w="80"/>
              <w:left w:type="dxa" w:w="120"/>
              <w:bottom w:type="dxa" w:w="80"/>
              <w:right w:type="dxa" w:w="120"/>
            </w:tcMar>
            <w:vAlign w:val="top"/>
          </w:tcPr>
          <w:p>
            <w:pPr>
              <w:spacing w:after="30"/>
            </w:pPr>
            <w:r>
              <w:rPr>
                <w:rFonts w:ascii="Arial" w:cs="Arial" w:eastAsia="Arial" w:hAnsi="Arial"/>
                <w:color w:val="C05621"/>
                <w:sz w:val="18"/>
                <w:szCs w:val="18"/>
              </w:rPr>
              <w:t xml:space="preserve">★★★★★</w:t>
            </w:r>
          </w:p>
        </w:tc>
      </w:tr>
    </w:tbl>
    <w:p>
      <w:pPr>
        <w:spacing w:before="100"/>
      </w:pPr>
    </w:p>
    <w:p>
      <w:pPr>
        <w:pStyle w:val="ListParagraph"/>
        <w:numPr>
          <w:ilvl w:val="0"/>
          <w:numId w:val="3"/>
        </w:numPr>
        <w:spacing w:after="70" w:line="276"/>
      </w:pPr>
      <w:r>
        <w:rPr>
          <w:rFonts w:ascii="Arial" w:cs="Arial" w:eastAsia="Arial" w:hAnsi="Arial"/>
          <w:b/>
          <w:bCs/>
          <w:color w:val="1A202C"/>
          <w:sz w:val="20"/>
          <w:szCs w:val="20"/>
        </w:rPr>
        <w:t xml:space="preserve">#1 CI pipeline exists and runs on every PR: </w:t>
      </w:r>
      <w:r>
        <w:rPr>
          <w:rFonts w:ascii="Arial" w:cs="Arial" w:eastAsia="Arial" w:hAnsi="Arial"/>
          <w:color w:val="1A202C"/>
          <w:sz w:val="20"/>
          <w:szCs w:val="20"/>
        </w:rPr>
        <w:t xml:space="preserve">Every other test type depends on CI existing. Without CI, there’s no automation, no quality gates, no feedback loop. This is the single most important capability.</w:t>
      </w:r>
    </w:p>
    <w:p>
      <w:pPr>
        <w:pStyle w:val="ListParagraph"/>
        <w:numPr>
          <w:ilvl w:val="0"/>
          <w:numId w:val="3"/>
        </w:numPr>
        <w:spacing w:after="70" w:line="276"/>
      </w:pPr>
      <w:r>
        <w:rPr>
          <w:rFonts w:ascii="Arial" w:cs="Arial" w:eastAsia="Arial" w:hAnsi="Arial"/>
          <w:b/>
          <w:bCs/>
          <w:color w:val="1A202C"/>
          <w:sz w:val="20"/>
          <w:szCs w:val="20"/>
        </w:rPr>
        <w:t xml:space="preserve">#2 Unit tests exist and execute in CI: </w:t>
      </w:r>
      <w:r>
        <w:rPr>
          <w:rFonts w:ascii="Arial" w:cs="Arial" w:eastAsia="Arial" w:hAnsi="Arial"/>
          <w:color w:val="1A202C"/>
          <w:sz w:val="20"/>
          <w:szCs w:val="20"/>
        </w:rPr>
        <w:t xml:space="preserve">First automated safety net. Catches regressions before any deployment. Fast feedback (&lt; 5 min). Foundation for code coverage measurement.</w:t>
      </w:r>
    </w:p>
    <w:p>
      <w:pPr>
        <w:pStyle w:val="ListParagraph"/>
        <w:numPr>
          <w:ilvl w:val="0"/>
          <w:numId w:val="3"/>
        </w:numPr>
        <w:spacing w:after="70" w:line="276"/>
      </w:pPr>
      <w:r>
        <w:rPr>
          <w:rFonts w:ascii="Arial" w:cs="Arial" w:eastAsia="Arial" w:hAnsi="Arial"/>
          <w:b/>
          <w:bCs/>
          <w:color w:val="1A202C"/>
          <w:sz w:val="20"/>
          <w:szCs w:val="20"/>
        </w:rPr>
        <w:t xml:space="preserve">#3 Health check endpoint exists (GET /health): </w:t>
      </w:r>
      <w:r>
        <w:rPr>
          <w:rFonts w:ascii="Arial" w:cs="Arial" w:eastAsia="Arial" w:hAnsi="Arial"/>
          <w:color w:val="1A202C"/>
          <w:sz w:val="20"/>
          <w:szCs w:val="20"/>
        </w:rPr>
        <w:t xml:space="preserve">Foundation for ALL deployment automation. Without this, no smoke tests, no auto-rollback, no CD pipeline. One endpoint unlocks the entire hotfix workflow.</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621" w:sz="4"/>
              <w:left w:val="single" w:color="E2E8F0" w:sz="1"/>
              <w:bottom w:val="single" w:color="E2E8F0" w:sz="1"/>
              <w:right w:val="single" w:color="E2E8F0" w:sz="1"/>
            </w:tcBorders>
            <w:shd w:fill="C05621" w:val="clear"/>
            <w:tcMar>
              <w:top w:type="dxa" w:w="80"/>
              <w:left w:type="dxa" w:w="160"/>
              <w:bottom w:type="dxa" w:w="80"/>
              <w:right w:type="dxa" w:w="160"/>
            </w:tcMar>
          </w:tcPr>
          <w:p>
            <w:r>
              <w:rPr>
                <w:rFonts w:ascii="Arial" w:cs="Arial" w:eastAsia="Arial" w:hAnsi="Arial"/>
                <w:b/>
                <w:bCs/>
                <w:color w:val="FFFFFF"/>
                <w:sz w:val="22"/>
                <w:szCs w:val="22"/>
              </w:rPr>
              <w:t xml:space="preserve">Level 2 — Managed / Repeatable  |  Score: 21–40</w:t>
            </w:r>
          </w:p>
        </w:tc>
      </w:tr>
    </w:tbl>
    <w:p>
      <w:pPr>
        <w:spacing w:after="120" w:before="80" w:line="276"/>
        <w:jc w:val="left"/>
      </w:pPr>
      <w:r>
        <w:rPr>
          <w:rFonts w:ascii="Arial" w:cs="Arial" w:eastAsia="Arial" w:hAnsi="Arial"/>
          <w:i/>
          <w:iCs/>
          <w:color w:val="4A5568"/>
          <w:sz w:val="21"/>
          <w:szCs w:val="21"/>
        </w:rPr>
        <w:t xml:space="preserve">Basic quality gates in place. Goal: make testing a repeatable, measured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500"/>
        <w:gridCol w:w="2200"/>
        <w:gridCol w:w="1060"/>
        <w:gridCol w:w="1000"/>
      </w:tblGrid>
      <w:tr>
        <w:tc>
          <w:tcPr>
            <w:tcW w:type="dxa" w:w="4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t>
            </w:r>
          </w:p>
        </w:tc>
        <w:tc>
          <w:tcPr>
            <w:tcW w:type="dxa" w:w="2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Criterion</w:t>
            </w:r>
          </w:p>
        </w:tc>
        <w:tc>
          <w:tcPr>
            <w:tcW w:type="dxa" w:w="25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What to Validate</w:t>
            </w:r>
          </w:p>
        </w:tc>
        <w:tc>
          <w:tcPr>
            <w:tcW w:type="dxa" w:w="2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Evidence</w:t>
            </w:r>
          </w:p>
        </w:tc>
        <w:tc>
          <w:tcPr>
            <w:tcW w:type="dxa" w:w="10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Effort</w:t>
            </w:r>
          </w:p>
        </w:tc>
        <w:tc>
          <w:tcPr>
            <w:tcW w:type="dxa" w:w="10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ROI</w:t>
            </w:r>
          </w:p>
        </w:tc>
      </w:tr>
      <w:tr>
        <w:tc>
          <w:tcPr>
            <w:tcW w:type="dxa" w:w="400"/>
            <w:tcBorders>
              <w:top w:val="single" w:color="E2E8F0" w:sz="1"/>
              <w:left w:val="single" w:color="E2E8F0" w:sz="1"/>
              <w:bottom w:val="single" w:color="E2E8F0" w:sz="1"/>
              <w:right w:val="single" w:color="E2E8F0" w:sz="1"/>
            </w:tcBorders>
            <w:shd w:fill="FEEBC8" w:val="clear"/>
            <w:tcMar>
              <w:top w:type="dxa" w:w="80"/>
              <w:left w:type="dxa" w:w="120"/>
              <w:bottom w:type="dxa" w:w="80"/>
              <w:right w:type="dxa" w:w="120"/>
            </w:tcMar>
            <w:vAlign w:val="top"/>
          </w:tcPr>
          <w:p>
            <w:pPr>
              <w:spacing w:after="30"/>
            </w:pPr>
            <w:r>
              <w:rPr>
                <w:rFonts w:ascii="Arial" w:cs="Arial" w:eastAsia="Arial" w:hAnsi="Arial"/>
                <w:b/>
                <w:bCs/>
                <w:color w:val="C05621"/>
                <w:sz w:val="19"/>
                <w:szCs w:val="19"/>
              </w:rPr>
              <w:t xml:space="preserve">4</w:t>
            </w:r>
          </w:p>
        </w:tc>
        <w:tc>
          <w:tcPr>
            <w:tcW w:type="dxa" w:w="2200"/>
            <w:tcBorders>
              <w:top w:val="single" w:color="E2E8F0" w:sz="1"/>
              <w:left w:val="single" w:color="E2E8F0" w:sz="1"/>
              <w:bottom w:val="single" w:color="E2E8F0" w:sz="1"/>
              <w:right w:val="single" w:color="E2E8F0" w:sz="1"/>
            </w:tcBorders>
            <w:shd w:fill="FEEBC8" w:val="clear"/>
            <w:tcMar>
              <w:top w:type="dxa" w:w="80"/>
              <w:left w:type="dxa" w:w="120"/>
              <w:bottom w:type="dxa" w:w="80"/>
              <w:right w:type="dxa" w:w="120"/>
            </w:tcMar>
            <w:vAlign w:val="top"/>
          </w:tcPr>
          <w:p>
            <w:pPr>
              <w:spacing w:after="40"/>
            </w:pPr>
            <w:r>
              <w:rPr>
                <w:rFonts w:ascii="Arial" w:cs="Arial" w:eastAsia="Arial" w:hAnsi="Arial"/>
                <w:b/>
                <w:bCs/>
                <w:color w:val="1A202C"/>
                <w:sz w:val="19"/>
                <w:szCs w:val="19"/>
              </w:rPr>
              <w:t xml:space="preserve">Code coverage measured and gated at ≥ 40%</w:t>
            </w:r>
          </w:p>
          <w:p>
            <w:pPr>
              <w:spacing w:after="0"/>
            </w:pPr>
            <w:r>
              <w:rPr>
                <w:rFonts w:ascii="Arial" w:cs="Arial" w:eastAsia="Arial" w:hAnsi="Arial"/>
                <w:i/>
                <w:iCs/>
                <w:color w:val="C05621"/>
                <w:sz w:val="16"/>
                <w:szCs w:val="16"/>
              </w:rPr>
              <w:t xml:space="preserve">Unit Testing</w:t>
            </w:r>
          </w:p>
        </w:tc>
        <w:tc>
          <w:tcPr>
            <w:tcW w:type="dxa" w:w="2500"/>
            <w:tcBorders>
              <w:top w:val="single" w:color="E2E8F0" w:sz="1"/>
              <w:left w:val="single" w:color="E2E8F0" w:sz="1"/>
              <w:bottom w:val="single" w:color="E2E8F0" w:sz="1"/>
              <w:right w:val="single" w:color="E2E8F0" w:sz="1"/>
            </w:tcBorders>
            <w:shd w:fill="FEEBC8"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Code coverage is computed on every build (Codecov, JaCoCo, SonarQube). A quality gate blocks PRs if coverage drops below 40% overall or if changed lines have &lt; 80% coverage.</w:t>
            </w:r>
          </w:p>
        </w:tc>
        <w:tc>
          <w:tcPr>
            <w:tcW w:type="dxa" w:w="2200"/>
            <w:tcBorders>
              <w:top w:val="single" w:color="E2E8F0" w:sz="1"/>
              <w:left w:val="single" w:color="E2E8F0" w:sz="1"/>
              <w:bottom w:val="single" w:color="E2E8F0" w:sz="1"/>
              <w:right w:val="single" w:color="E2E8F0" w:sz="1"/>
            </w:tcBorders>
            <w:shd w:fill="FEEBC8" w:val="clear"/>
            <w:tcMar>
              <w:top w:type="dxa" w:w="80"/>
              <w:left w:type="dxa" w:w="120"/>
              <w:bottom w:type="dxa" w:w="80"/>
              <w:right w:type="dxa" w:w="120"/>
            </w:tcMar>
            <w:vAlign w:val="top"/>
          </w:tcPr>
          <w:p>
            <w:pPr>
              <w:spacing w:after="30"/>
            </w:pPr>
            <w:r>
              <w:rPr>
                <w:rFonts w:ascii="Arial" w:cs="Arial" w:eastAsia="Arial" w:hAnsi="Arial"/>
                <w:color w:val="4A5568"/>
                <w:sz w:val="18"/>
                <w:szCs w:val="18"/>
              </w:rPr>
              <w:t xml:space="preserve">Check SonarQube / Codecov dashboard. Verify CI config has coverage threshold. Review last 5 PRs for gate enforcement.</w:t>
            </w:r>
          </w:p>
        </w:tc>
        <w:tc>
          <w:tcPr>
            <w:tcW w:type="dxa" w:w="1060"/>
            <w:tcBorders>
              <w:top w:val="single" w:color="E2E8F0" w:sz="1"/>
              <w:left w:val="single" w:color="E2E8F0" w:sz="1"/>
              <w:bottom w:val="single" w:color="E2E8F0" w:sz="1"/>
              <w:right w:val="single" w:color="E2E8F0" w:sz="1"/>
            </w:tcBorders>
            <w:shd w:fill="FEEBC8"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1–2 days</w:t>
            </w:r>
          </w:p>
        </w:tc>
        <w:tc>
          <w:tcPr>
            <w:tcW w:type="dxa" w:w="1000"/>
            <w:tcBorders>
              <w:top w:val="single" w:color="E2E8F0" w:sz="1"/>
              <w:left w:val="single" w:color="E2E8F0" w:sz="1"/>
              <w:bottom w:val="single" w:color="E2E8F0" w:sz="1"/>
              <w:right w:val="single" w:color="E2E8F0" w:sz="1"/>
            </w:tcBorders>
            <w:shd w:fill="FEEBC8" w:val="clear"/>
            <w:tcMar>
              <w:top w:type="dxa" w:w="80"/>
              <w:left w:type="dxa" w:w="120"/>
              <w:bottom w:type="dxa" w:w="80"/>
              <w:right w:type="dxa" w:w="120"/>
            </w:tcMar>
            <w:vAlign w:val="top"/>
          </w:tcPr>
          <w:p>
            <w:pPr>
              <w:spacing w:after="30"/>
            </w:pPr>
            <w:r>
              <w:rPr>
                <w:rFonts w:ascii="Arial" w:cs="Arial" w:eastAsia="Arial" w:hAnsi="Arial"/>
                <w:color w:val="C05621"/>
                <w:sz w:val="18"/>
                <w:szCs w:val="18"/>
              </w:rPr>
              <w:t xml:space="preserve">★★★★☆</w:t>
            </w:r>
          </w:p>
        </w:tc>
      </w:tr>
      <w:tr>
        <w:tc>
          <w:tcPr>
            <w:tcW w:type="dxa" w:w="4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30"/>
            </w:pPr>
            <w:r>
              <w:rPr>
                <w:rFonts w:ascii="Arial" w:cs="Arial" w:eastAsia="Arial" w:hAnsi="Arial"/>
                <w:b/>
                <w:bCs/>
                <w:color w:val="C05621"/>
                <w:sz w:val="19"/>
                <w:szCs w:val="19"/>
              </w:rPr>
              <w:t xml:space="preserve">5</w:t>
            </w:r>
          </w:p>
        </w:tc>
        <w:tc>
          <w:tcPr>
            <w:tcW w:type="dxa" w:w="22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40"/>
            </w:pPr>
            <w:r>
              <w:rPr>
                <w:rFonts w:ascii="Arial" w:cs="Arial" w:eastAsia="Arial" w:hAnsi="Arial"/>
                <w:b/>
                <w:bCs/>
                <w:color w:val="1A202C"/>
                <w:sz w:val="19"/>
                <w:szCs w:val="19"/>
              </w:rPr>
              <w:t xml:space="preserve">SAST security scanning integrated in CI</w:t>
            </w:r>
          </w:p>
          <w:p>
            <w:pPr>
              <w:spacing w:after="0"/>
            </w:pPr>
            <w:r>
              <w:rPr>
                <w:rFonts w:ascii="Arial" w:cs="Arial" w:eastAsia="Arial" w:hAnsi="Arial"/>
                <w:i/>
                <w:iCs/>
                <w:color w:val="C05621"/>
                <w:sz w:val="16"/>
                <w:szCs w:val="16"/>
              </w:rPr>
              <w:t xml:space="preserve">Performance &amp; Non-Functional</w:t>
            </w:r>
          </w:p>
        </w:tc>
        <w:tc>
          <w:tcPr>
            <w:tcW w:type="dxa" w:w="25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Static Application Security Testing (SonarQube security rules, Snyk Code, Semgrep) runs on every PR. Critical and high findings block the merge.</w:t>
            </w:r>
          </w:p>
        </w:tc>
        <w:tc>
          <w:tcPr>
            <w:tcW w:type="dxa" w:w="22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30"/>
            </w:pPr>
            <w:r>
              <w:rPr>
                <w:rFonts w:ascii="Arial" w:cs="Arial" w:eastAsia="Arial" w:hAnsi="Arial"/>
                <w:color w:val="4A5568"/>
                <w:sz w:val="18"/>
                <w:szCs w:val="18"/>
              </w:rPr>
              <w:t xml:space="preserve">Check CI pipeline for SAST step. Review SonarQube Security Hotspots dashboard. Verify critical findings block PRs.</w:t>
            </w:r>
          </w:p>
        </w:tc>
        <w:tc>
          <w:tcPr>
            <w:tcW w:type="dxa" w:w="106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1–2 days</w:t>
            </w:r>
          </w:p>
        </w:tc>
        <w:tc>
          <w:tcPr>
            <w:tcW w:type="dxa" w:w="10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30"/>
            </w:pPr>
            <w:r>
              <w:rPr>
                <w:rFonts w:ascii="Arial" w:cs="Arial" w:eastAsia="Arial" w:hAnsi="Arial"/>
                <w:color w:val="C05621"/>
                <w:sz w:val="18"/>
                <w:szCs w:val="18"/>
              </w:rPr>
              <w:t xml:space="preserve">★★★★☆</w:t>
            </w:r>
          </w:p>
        </w:tc>
      </w:tr>
      <w:tr>
        <w:tc>
          <w:tcPr>
            <w:tcW w:type="dxa" w:w="400"/>
            <w:tcBorders>
              <w:top w:val="single" w:color="E2E8F0" w:sz="1"/>
              <w:left w:val="single" w:color="E2E8F0" w:sz="1"/>
              <w:bottom w:val="single" w:color="E2E8F0" w:sz="1"/>
              <w:right w:val="single" w:color="E2E8F0" w:sz="1"/>
            </w:tcBorders>
            <w:shd w:fill="FEEBC8" w:val="clear"/>
            <w:tcMar>
              <w:top w:type="dxa" w:w="80"/>
              <w:left w:type="dxa" w:w="120"/>
              <w:bottom w:type="dxa" w:w="80"/>
              <w:right w:type="dxa" w:w="120"/>
            </w:tcMar>
            <w:vAlign w:val="top"/>
          </w:tcPr>
          <w:p>
            <w:pPr>
              <w:spacing w:after="30"/>
            </w:pPr>
            <w:r>
              <w:rPr>
                <w:rFonts w:ascii="Arial" w:cs="Arial" w:eastAsia="Arial" w:hAnsi="Arial"/>
                <w:b/>
                <w:bCs/>
                <w:color w:val="C05621"/>
                <w:sz w:val="19"/>
                <w:szCs w:val="19"/>
              </w:rPr>
              <w:t xml:space="preserve">6</w:t>
            </w:r>
          </w:p>
        </w:tc>
        <w:tc>
          <w:tcPr>
            <w:tcW w:type="dxa" w:w="2200"/>
            <w:tcBorders>
              <w:top w:val="single" w:color="E2E8F0" w:sz="1"/>
              <w:left w:val="single" w:color="E2E8F0" w:sz="1"/>
              <w:bottom w:val="single" w:color="E2E8F0" w:sz="1"/>
              <w:right w:val="single" w:color="E2E8F0" w:sz="1"/>
            </w:tcBorders>
            <w:shd w:fill="FEEBC8" w:val="clear"/>
            <w:tcMar>
              <w:top w:type="dxa" w:w="80"/>
              <w:left w:type="dxa" w:w="120"/>
              <w:bottom w:type="dxa" w:w="80"/>
              <w:right w:type="dxa" w:w="120"/>
            </w:tcMar>
            <w:vAlign w:val="top"/>
          </w:tcPr>
          <w:p>
            <w:pPr>
              <w:spacing w:after="40"/>
            </w:pPr>
            <w:r>
              <w:rPr>
                <w:rFonts w:ascii="Arial" w:cs="Arial" w:eastAsia="Arial" w:hAnsi="Arial"/>
                <w:b/>
                <w:bCs/>
                <w:color w:val="1A202C"/>
                <w:sz w:val="19"/>
                <w:szCs w:val="19"/>
              </w:rPr>
              <w:t xml:space="preserve">Test cases documented in qTest (linked to Jira)</w:t>
            </w:r>
          </w:p>
          <w:p>
            <w:pPr>
              <w:spacing w:after="0"/>
            </w:pPr>
            <w:r>
              <w:rPr>
                <w:rFonts w:ascii="Arial" w:cs="Arial" w:eastAsia="Arial" w:hAnsi="Arial"/>
                <w:i/>
                <w:iCs/>
                <w:color w:val="C05621"/>
                <w:sz w:val="16"/>
                <w:szCs w:val="16"/>
              </w:rPr>
              <w:t xml:space="preserve">Test Strategy &amp; Planning</w:t>
            </w:r>
          </w:p>
        </w:tc>
        <w:tc>
          <w:tcPr>
            <w:tcW w:type="dxa" w:w="2500"/>
            <w:tcBorders>
              <w:top w:val="single" w:color="E2E8F0" w:sz="1"/>
              <w:left w:val="single" w:color="E2E8F0" w:sz="1"/>
              <w:bottom w:val="single" w:color="E2E8F0" w:sz="1"/>
              <w:right w:val="single" w:color="E2E8F0" w:sz="1"/>
            </w:tcBorders>
            <w:shd w:fill="FEEBC8"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Test cases for critical user journeys exist in qTest, are linked to Jira stories, and have execution history. Actively maintained, not a dump of old tests.</w:t>
            </w:r>
          </w:p>
        </w:tc>
        <w:tc>
          <w:tcPr>
            <w:tcW w:type="dxa" w:w="2200"/>
            <w:tcBorders>
              <w:top w:val="single" w:color="E2E8F0" w:sz="1"/>
              <w:left w:val="single" w:color="E2E8F0" w:sz="1"/>
              <w:bottom w:val="single" w:color="E2E8F0" w:sz="1"/>
              <w:right w:val="single" w:color="E2E8F0" w:sz="1"/>
            </w:tcBorders>
            <w:shd w:fill="FEEBC8" w:val="clear"/>
            <w:tcMar>
              <w:top w:type="dxa" w:w="80"/>
              <w:left w:type="dxa" w:w="120"/>
              <w:bottom w:type="dxa" w:w="80"/>
              <w:right w:type="dxa" w:w="120"/>
            </w:tcMar>
            <w:vAlign w:val="top"/>
          </w:tcPr>
          <w:p>
            <w:pPr>
              <w:spacing w:after="30"/>
            </w:pPr>
            <w:r>
              <w:rPr>
                <w:rFonts w:ascii="Arial" w:cs="Arial" w:eastAsia="Arial" w:hAnsi="Arial"/>
                <w:color w:val="4A5568"/>
                <w:sz w:val="18"/>
                <w:szCs w:val="18"/>
              </w:rPr>
              <w:t xml:space="preserve">Open qTest project. Verify test cases exist with recent execution dates. Check Jira story links for traceability.</w:t>
            </w:r>
          </w:p>
        </w:tc>
        <w:tc>
          <w:tcPr>
            <w:tcW w:type="dxa" w:w="1060"/>
            <w:tcBorders>
              <w:top w:val="single" w:color="E2E8F0" w:sz="1"/>
              <w:left w:val="single" w:color="E2E8F0" w:sz="1"/>
              <w:bottom w:val="single" w:color="E2E8F0" w:sz="1"/>
              <w:right w:val="single" w:color="E2E8F0" w:sz="1"/>
            </w:tcBorders>
            <w:shd w:fill="FEEBC8"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3–5 days</w:t>
            </w:r>
          </w:p>
        </w:tc>
        <w:tc>
          <w:tcPr>
            <w:tcW w:type="dxa" w:w="1000"/>
            <w:tcBorders>
              <w:top w:val="single" w:color="E2E8F0" w:sz="1"/>
              <w:left w:val="single" w:color="E2E8F0" w:sz="1"/>
              <w:bottom w:val="single" w:color="E2E8F0" w:sz="1"/>
              <w:right w:val="single" w:color="E2E8F0" w:sz="1"/>
            </w:tcBorders>
            <w:shd w:fill="FEEBC8" w:val="clear"/>
            <w:tcMar>
              <w:top w:type="dxa" w:w="80"/>
              <w:left w:type="dxa" w:w="120"/>
              <w:bottom w:type="dxa" w:w="80"/>
              <w:right w:type="dxa" w:w="120"/>
            </w:tcMar>
            <w:vAlign w:val="top"/>
          </w:tcPr>
          <w:p>
            <w:pPr>
              <w:spacing w:after="30"/>
            </w:pPr>
            <w:r>
              <w:rPr>
                <w:rFonts w:ascii="Arial" w:cs="Arial" w:eastAsia="Arial" w:hAnsi="Arial"/>
                <w:color w:val="C05621"/>
                <w:sz w:val="18"/>
                <w:szCs w:val="18"/>
              </w:rPr>
              <w:t xml:space="preserve">★★★☆☆</w:t>
            </w:r>
          </w:p>
        </w:tc>
      </w:tr>
    </w:tbl>
    <w:p>
      <w:pPr>
        <w:spacing w:before="100"/>
      </w:pPr>
    </w:p>
    <w:p>
      <w:pPr>
        <w:pStyle w:val="ListParagraph"/>
        <w:numPr>
          <w:ilvl w:val="0"/>
          <w:numId w:val="3"/>
        </w:numPr>
        <w:spacing w:after="70" w:line="276"/>
      </w:pPr>
      <w:r>
        <w:rPr>
          <w:rFonts w:ascii="Arial" w:cs="Arial" w:eastAsia="Arial" w:hAnsi="Arial"/>
          <w:b/>
          <w:bCs/>
          <w:color w:val="1A202C"/>
          <w:sz w:val="20"/>
          <w:szCs w:val="20"/>
        </w:rPr>
        <w:t xml:space="preserve">#4 Code coverage measured and gated at ≥ 40%: </w:t>
      </w:r>
      <w:r>
        <w:rPr>
          <w:rFonts w:ascii="Arial" w:cs="Arial" w:eastAsia="Arial" w:hAnsi="Arial"/>
          <w:color w:val="1A202C"/>
          <w:sz w:val="20"/>
          <w:szCs w:val="20"/>
        </w:rPr>
        <w:t xml:space="preserve">Add one step to existing CI. Provides immediate visibility into test health. Quality gate prevents coverage erosion. Baseline for improvement tracking.</w:t>
      </w:r>
    </w:p>
    <w:p>
      <w:pPr>
        <w:pStyle w:val="ListParagraph"/>
        <w:numPr>
          <w:ilvl w:val="0"/>
          <w:numId w:val="3"/>
        </w:numPr>
        <w:spacing w:after="70" w:line="276"/>
      </w:pPr>
      <w:r>
        <w:rPr>
          <w:rFonts w:ascii="Arial" w:cs="Arial" w:eastAsia="Arial" w:hAnsi="Arial"/>
          <w:b/>
          <w:bCs/>
          <w:color w:val="1A202C"/>
          <w:sz w:val="20"/>
          <w:szCs w:val="20"/>
        </w:rPr>
        <w:t xml:space="preserve">#5 SAST security scanning integrated in CI: </w:t>
      </w:r>
      <w:r>
        <w:rPr>
          <w:rFonts w:ascii="Arial" w:cs="Arial" w:eastAsia="Arial" w:hAnsi="Arial"/>
          <w:color w:val="1A202C"/>
          <w:sz w:val="20"/>
          <w:szCs w:val="20"/>
        </w:rPr>
        <w:t xml:space="preserve">One pipeline step addition. Catches critical vulnerabilities automatically. Required by most compliance frameworks. Very low effort for high security value.</w:t>
      </w:r>
    </w:p>
    <w:p>
      <w:pPr>
        <w:pStyle w:val="ListParagraph"/>
        <w:numPr>
          <w:ilvl w:val="0"/>
          <w:numId w:val="3"/>
        </w:numPr>
        <w:spacing w:after="70" w:line="276"/>
      </w:pPr>
      <w:r>
        <w:rPr>
          <w:rFonts w:ascii="Arial" w:cs="Arial" w:eastAsia="Arial" w:hAnsi="Arial"/>
          <w:b/>
          <w:bCs/>
          <w:color w:val="1A202C"/>
          <w:sz w:val="20"/>
          <w:szCs w:val="20"/>
        </w:rPr>
        <w:t xml:space="preserve">#6 Test cases documented in qTest (linked to Jira): </w:t>
      </w:r>
      <w:r>
        <w:rPr>
          <w:rFonts w:ascii="Arial" w:cs="Arial" w:eastAsia="Arial" w:hAnsi="Arial"/>
          <w:color w:val="1A202C"/>
          <w:sz w:val="20"/>
          <w:szCs w:val="20"/>
        </w:rPr>
        <w:t xml:space="preserve">Creates traceability: requirements → tests → defects. Enables test management reporting. Essential for audit trail and ServiceNow CR evidence.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75A16" w:sz="4"/>
              <w:left w:val="single" w:color="E2E8F0" w:sz="1"/>
              <w:bottom w:val="single" w:color="E2E8F0" w:sz="1"/>
              <w:right w:val="single" w:color="E2E8F0" w:sz="1"/>
            </w:tcBorders>
            <w:shd w:fill="975A16" w:val="clear"/>
            <w:tcMar>
              <w:top w:type="dxa" w:w="80"/>
              <w:left w:type="dxa" w:w="160"/>
              <w:bottom w:type="dxa" w:w="80"/>
              <w:right w:type="dxa" w:w="160"/>
            </w:tcMar>
          </w:tcPr>
          <w:p>
            <w:r>
              <w:rPr>
                <w:rFonts w:ascii="Arial" w:cs="Arial" w:eastAsia="Arial" w:hAnsi="Arial"/>
                <w:b/>
                <w:bCs/>
                <w:color w:val="FFFFFF"/>
                <w:sz w:val="22"/>
                <w:szCs w:val="22"/>
              </w:rPr>
              <w:t xml:space="preserve">Level 3 — Defined / Standardized  |  Score: 41–60</w:t>
            </w:r>
          </w:p>
        </w:tc>
      </w:tr>
    </w:tbl>
    <w:p>
      <w:pPr>
        <w:spacing w:after="120" w:before="80" w:line="276"/>
        <w:jc w:val="left"/>
      </w:pPr>
      <w:r>
        <w:rPr>
          <w:rFonts w:ascii="Arial" w:cs="Arial" w:eastAsia="Arial" w:hAnsi="Arial"/>
          <w:i/>
          <w:iCs/>
          <w:color w:val="4A5568"/>
          <w:sz w:val="21"/>
          <w:szCs w:val="21"/>
        </w:rPr>
        <w:t xml:space="preserve">Testing is integrated into the SDLC. Goal: shift-left with automation and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500"/>
        <w:gridCol w:w="2200"/>
        <w:gridCol w:w="1060"/>
        <w:gridCol w:w="1000"/>
      </w:tblGrid>
      <w:tr>
        <w:tc>
          <w:tcPr>
            <w:tcW w:type="dxa" w:w="4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t>
            </w:r>
          </w:p>
        </w:tc>
        <w:tc>
          <w:tcPr>
            <w:tcW w:type="dxa" w:w="2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Criterion</w:t>
            </w:r>
          </w:p>
        </w:tc>
        <w:tc>
          <w:tcPr>
            <w:tcW w:type="dxa" w:w="25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What to Validate</w:t>
            </w:r>
          </w:p>
        </w:tc>
        <w:tc>
          <w:tcPr>
            <w:tcW w:type="dxa" w:w="2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Evidence</w:t>
            </w:r>
          </w:p>
        </w:tc>
        <w:tc>
          <w:tcPr>
            <w:tcW w:type="dxa" w:w="10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Effort</w:t>
            </w:r>
          </w:p>
        </w:tc>
        <w:tc>
          <w:tcPr>
            <w:tcW w:type="dxa" w:w="10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ROI</w:t>
            </w:r>
          </w:p>
        </w:tc>
      </w:tr>
      <w:tr>
        <w:tc>
          <w:tcPr>
            <w:tcW w:type="dxa" w:w="400"/>
            <w:tcBorders>
              <w:top w:val="single" w:color="E2E8F0" w:sz="1"/>
              <w:left w:val="single" w:color="E2E8F0" w:sz="1"/>
              <w:bottom w:val="single" w:color="E2E8F0" w:sz="1"/>
              <w:right w:val="single" w:color="E2E8F0" w:sz="1"/>
            </w:tcBorders>
            <w:shd w:fill="FEFCBF" w:val="clear"/>
            <w:tcMar>
              <w:top w:type="dxa" w:w="80"/>
              <w:left w:type="dxa" w:w="120"/>
              <w:bottom w:type="dxa" w:w="80"/>
              <w:right w:type="dxa" w:w="120"/>
            </w:tcMar>
            <w:vAlign w:val="top"/>
          </w:tcPr>
          <w:p>
            <w:pPr>
              <w:spacing w:after="30"/>
            </w:pPr>
            <w:r>
              <w:rPr>
                <w:rFonts w:ascii="Arial" w:cs="Arial" w:eastAsia="Arial" w:hAnsi="Arial"/>
                <w:b/>
                <w:bCs/>
                <w:color w:val="975A16"/>
                <w:sz w:val="19"/>
                <w:szCs w:val="19"/>
              </w:rPr>
              <w:t xml:space="preserve">7</w:t>
            </w:r>
          </w:p>
        </w:tc>
        <w:tc>
          <w:tcPr>
            <w:tcW w:type="dxa" w:w="2200"/>
            <w:tcBorders>
              <w:top w:val="single" w:color="E2E8F0" w:sz="1"/>
              <w:left w:val="single" w:color="E2E8F0" w:sz="1"/>
              <w:bottom w:val="single" w:color="E2E8F0" w:sz="1"/>
              <w:right w:val="single" w:color="E2E8F0" w:sz="1"/>
            </w:tcBorders>
            <w:shd w:fill="FEFCBF" w:val="clear"/>
            <w:tcMar>
              <w:top w:type="dxa" w:w="80"/>
              <w:left w:type="dxa" w:w="120"/>
              <w:bottom w:type="dxa" w:w="80"/>
              <w:right w:type="dxa" w:w="120"/>
            </w:tcMar>
            <w:vAlign w:val="top"/>
          </w:tcPr>
          <w:p>
            <w:pPr>
              <w:spacing w:after="40"/>
            </w:pPr>
            <w:r>
              <w:rPr>
                <w:rFonts w:ascii="Arial" w:cs="Arial" w:eastAsia="Arial" w:hAnsi="Arial"/>
                <w:b/>
                <w:bCs/>
                <w:color w:val="1A202C"/>
                <w:sz w:val="19"/>
                <w:szCs w:val="19"/>
              </w:rPr>
              <w:t xml:space="preserve">Automated regression suite with ≥ 60% coverage of critical paths</w:t>
            </w:r>
          </w:p>
          <w:p>
            <w:pPr>
              <w:spacing w:after="0"/>
            </w:pPr>
            <w:r>
              <w:rPr>
                <w:rFonts w:ascii="Arial" w:cs="Arial" w:eastAsia="Arial" w:hAnsi="Arial"/>
                <w:i/>
                <w:iCs/>
                <w:color w:val="975A16"/>
                <w:sz w:val="16"/>
                <w:szCs w:val="16"/>
              </w:rPr>
              <w:t xml:space="preserve">Test Automation</w:t>
            </w:r>
          </w:p>
        </w:tc>
        <w:tc>
          <w:tcPr>
            <w:tcW w:type="dxa" w:w="2500"/>
            <w:tcBorders>
              <w:top w:val="single" w:color="E2E8F0" w:sz="1"/>
              <w:left w:val="single" w:color="E2E8F0" w:sz="1"/>
              <w:bottom w:val="single" w:color="E2E8F0" w:sz="1"/>
              <w:right w:val="single" w:color="E2E8F0" w:sz="1"/>
            </w:tcBorders>
            <w:shd w:fill="FEFCB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An automated test suite (Cypress, Playwright, REST Assured, etc.) covers the most critical business flows. It runs in CI or TEST environment and produces reliable, repeatable results. Flakiness &lt; 5%.</w:t>
            </w:r>
          </w:p>
        </w:tc>
        <w:tc>
          <w:tcPr>
            <w:tcW w:type="dxa" w:w="2200"/>
            <w:tcBorders>
              <w:top w:val="single" w:color="E2E8F0" w:sz="1"/>
              <w:left w:val="single" w:color="E2E8F0" w:sz="1"/>
              <w:bottom w:val="single" w:color="E2E8F0" w:sz="1"/>
              <w:right w:val="single" w:color="E2E8F0" w:sz="1"/>
            </w:tcBorders>
            <w:shd w:fill="FEFCBF" w:val="clear"/>
            <w:tcMar>
              <w:top w:type="dxa" w:w="80"/>
              <w:left w:type="dxa" w:w="120"/>
              <w:bottom w:type="dxa" w:w="80"/>
              <w:right w:type="dxa" w:w="120"/>
            </w:tcMar>
            <w:vAlign w:val="top"/>
          </w:tcPr>
          <w:p>
            <w:pPr>
              <w:spacing w:after="30"/>
            </w:pPr>
            <w:r>
              <w:rPr>
                <w:rFonts w:ascii="Arial" w:cs="Arial" w:eastAsia="Arial" w:hAnsi="Arial"/>
                <w:color w:val="4A5568"/>
                <w:sz w:val="18"/>
                <w:szCs w:val="18"/>
              </w:rPr>
              <w:t xml:space="preserve">Check test framework in repo. Run the suite—verify pass rate and execution time. Review flakiness metrics if available.</w:t>
            </w:r>
          </w:p>
        </w:tc>
        <w:tc>
          <w:tcPr>
            <w:tcW w:type="dxa" w:w="1060"/>
            <w:tcBorders>
              <w:top w:val="single" w:color="E2E8F0" w:sz="1"/>
              <w:left w:val="single" w:color="E2E8F0" w:sz="1"/>
              <w:bottom w:val="single" w:color="E2E8F0" w:sz="1"/>
              <w:right w:val="single" w:color="E2E8F0" w:sz="1"/>
            </w:tcBorders>
            <w:shd w:fill="FEFCB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2–4 weeks</w:t>
            </w:r>
          </w:p>
        </w:tc>
        <w:tc>
          <w:tcPr>
            <w:tcW w:type="dxa" w:w="1000"/>
            <w:tcBorders>
              <w:top w:val="single" w:color="E2E8F0" w:sz="1"/>
              <w:left w:val="single" w:color="E2E8F0" w:sz="1"/>
              <w:bottom w:val="single" w:color="E2E8F0" w:sz="1"/>
              <w:right w:val="single" w:color="E2E8F0" w:sz="1"/>
            </w:tcBorders>
            <w:shd w:fill="FEFCBF" w:val="clear"/>
            <w:tcMar>
              <w:top w:type="dxa" w:w="80"/>
              <w:left w:type="dxa" w:w="120"/>
              <w:bottom w:type="dxa" w:w="80"/>
              <w:right w:type="dxa" w:w="120"/>
            </w:tcMar>
            <w:vAlign w:val="top"/>
          </w:tcPr>
          <w:p>
            <w:pPr>
              <w:spacing w:after="30"/>
            </w:pPr>
            <w:r>
              <w:rPr>
                <w:rFonts w:ascii="Arial" w:cs="Arial" w:eastAsia="Arial" w:hAnsi="Arial"/>
                <w:color w:val="C05621"/>
                <w:sz w:val="18"/>
                <w:szCs w:val="18"/>
              </w:rPr>
              <w:t xml:space="preserve">★★★☆☆</w:t>
            </w:r>
          </w:p>
        </w:tc>
      </w:tr>
      <w:tr>
        <w:tc>
          <w:tcPr>
            <w:tcW w:type="dxa" w:w="40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vAlign w:val="top"/>
          </w:tcPr>
          <w:p>
            <w:pPr>
              <w:spacing w:after="30"/>
            </w:pPr>
            <w:r>
              <w:rPr>
                <w:rFonts w:ascii="Arial" w:cs="Arial" w:eastAsia="Arial" w:hAnsi="Arial"/>
                <w:b/>
                <w:bCs/>
                <w:color w:val="975A16"/>
                <w:sz w:val="19"/>
                <w:szCs w:val="19"/>
              </w:rPr>
              <w:t xml:space="preserve">8</w:t>
            </w:r>
          </w:p>
        </w:tc>
        <w:tc>
          <w:tcPr>
            <w:tcW w:type="dxa" w:w="220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vAlign w:val="top"/>
          </w:tcPr>
          <w:p>
            <w:pPr>
              <w:spacing w:after="40"/>
            </w:pPr>
            <w:r>
              <w:rPr>
                <w:rFonts w:ascii="Arial" w:cs="Arial" w:eastAsia="Arial" w:hAnsi="Arial"/>
                <w:b/>
                <w:bCs/>
                <w:color w:val="1A202C"/>
                <w:sz w:val="19"/>
                <w:szCs w:val="19"/>
              </w:rPr>
              <w:t xml:space="preserve">Contract tests implemented for service APIs</w:t>
            </w:r>
          </w:p>
          <w:p>
            <w:pPr>
              <w:spacing w:after="0"/>
            </w:pPr>
            <w:r>
              <w:rPr>
                <w:rFonts w:ascii="Arial" w:cs="Arial" w:eastAsia="Arial" w:hAnsi="Arial"/>
                <w:i/>
                <w:iCs/>
                <w:color w:val="975A16"/>
                <w:sz w:val="16"/>
                <w:szCs w:val="16"/>
              </w:rPr>
              <w:t xml:space="preserve">Integration &amp; Contract Testing</w:t>
            </w:r>
          </w:p>
        </w:tc>
        <w:tc>
          <w:tcPr>
            <w:tcW w:type="dxa" w:w="250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Consumer-driven contract tests (Pact, Spring Cloud Contract) verify that API contracts between services are honored. Broken contracts block the build.</w:t>
            </w:r>
          </w:p>
        </w:tc>
        <w:tc>
          <w:tcPr>
            <w:tcW w:type="dxa" w:w="220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vAlign w:val="top"/>
          </w:tcPr>
          <w:p>
            <w:pPr>
              <w:spacing w:after="30"/>
            </w:pPr>
            <w:r>
              <w:rPr>
                <w:rFonts w:ascii="Arial" w:cs="Arial" w:eastAsia="Arial" w:hAnsi="Arial"/>
                <w:color w:val="4A5568"/>
                <w:sz w:val="18"/>
                <w:szCs w:val="18"/>
              </w:rPr>
              <w:t xml:space="preserve">Look for Pact files or contract test dirs in repo. Check if Pact Broker is configured. Verify CI runs contract verification.</w:t>
            </w:r>
          </w:p>
        </w:tc>
        <w:tc>
          <w:tcPr>
            <w:tcW w:type="dxa" w:w="106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1–2 weeks</w:t>
            </w:r>
          </w:p>
        </w:tc>
        <w:tc>
          <w:tcPr>
            <w:tcW w:type="dxa" w:w="100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vAlign w:val="top"/>
          </w:tcPr>
          <w:p>
            <w:pPr>
              <w:spacing w:after="30"/>
            </w:pPr>
            <w:r>
              <w:rPr>
                <w:rFonts w:ascii="Arial" w:cs="Arial" w:eastAsia="Arial" w:hAnsi="Arial"/>
                <w:color w:val="C05621"/>
                <w:sz w:val="18"/>
                <w:szCs w:val="18"/>
              </w:rPr>
              <w:t xml:space="preserve">★★★☆☆</w:t>
            </w:r>
          </w:p>
        </w:tc>
      </w:tr>
      <w:tr>
        <w:tc>
          <w:tcPr>
            <w:tcW w:type="dxa" w:w="400"/>
            <w:tcBorders>
              <w:top w:val="single" w:color="E2E8F0" w:sz="1"/>
              <w:left w:val="single" w:color="E2E8F0" w:sz="1"/>
              <w:bottom w:val="single" w:color="E2E8F0" w:sz="1"/>
              <w:right w:val="single" w:color="E2E8F0" w:sz="1"/>
            </w:tcBorders>
            <w:shd w:fill="FEFCBF" w:val="clear"/>
            <w:tcMar>
              <w:top w:type="dxa" w:w="80"/>
              <w:left w:type="dxa" w:w="120"/>
              <w:bottom w:type="dxa" w:w="80"/>
              <w:right w:type="dxa" w:w="120"/>
            </w:tcMar>
            <w:vAlign w:val="top"/>
          </w:tcPr>
          <w:p>
            <w:pPr>
              <w:spacing w:after="30"/>
            </w:pPr>
            <w:r>
              <w:rPr>
                <w:rFonts w:ascii="Arial" w:cs="Arial" w:eastAsia="Arial" w:hAnsi="Arial"/>
                <w:b/>
                <w:bCs/>
                <w:color w:val="975A16"/>
                <w:sz w:val="19"/>
                <w:szCs w:val="19"/>
              </w:rPr>
              <w:t xml:space="preserve">9</w:t>
            </w:r>
          </w:p>
        </w:tc>
        <w:tc>
          <w:tcPr>
            <w:tcW w:type="dxa" w:w="2200"/>
            <w:tcBorders>
              <w:top w:val="single" w:color="E2E8F0" w:sz="1"/>
              <w:left w:val="single" w:color="E2E8F0" w:sz="1"/>
              <w:bottom w:val="single" w:color="E2E8F0" w:sz="1"/>
              <w:right w:val="single" w:color="E2E8F0" w:sz="1"/>
            </w:tcBorders>
            <w:shd w:fill="FEFCBF" w:val="clear"/>
            <w:tcMar>
              <w:top w:type="dxa" w:w="80"/>
              <w:left w:type="dxa" w:w="120"/>
              <w:bottom w:type="dxa" w:w="80"/>
              <w:right w:type="dxa" w:w="120"/>
            </w:tcMar>
            <w:vAlign w:val="top"/>
          </w:tcPr>
          <w:p>
            <w:pPr>
              <w:spacing w:after="40"/>
            </w:pPr>
            <w:r>
              <w:rPr>
                <w:rFonts w:ascii="Arial" w:cs="Arial" w:eastAsia="Arial" w:hAnsi="Arial"/>
                <w:b/>
                <w:bCs/>
                <w:color w:val="1A202C"/>
                <w:sz w:val="19"/>
                <w:szCs w:val="19"/>
              </w:rPr>
              <w:t xml:space="preserve">Quality dashboard with real-time metrics</w:t>
            </w:r>
          </w:p>
          <w:p>
            <w:pPr>
              <w:spacing w:after="0"/>
            </w:pPr>
            <w:r>
              <w:rPr>
                <w:rFonts w:ascii="Arial" w:cs="Arial" w:eastAsia="Arial" w:hAnsi="Arial"/>
                <w:i/>
                <w:iCs/>
                <w:color w:val="975A16"/>
                <w:sz w:val="16"/>
                <w:szCs w:val="16"/>
              </w:rPr>
              <w:t xml:space="preserve">Test Reporting &amp; Metrics</w:t>
            </w:r>
          </w:p>
        </w:tc>
        <w:tc>
          <w:tcPr>
            <w:tcW w:type="dxa" w:w="2500"/>
            <w:tcBorders>
              <w:top w:val="single" w:color="E2E8F0" w:sz="1"/>
              <w:left w:val="single" w:color="E2E8F0" w:sz="1"/>
              <w:bottom w:val="single" w:color="E2E8F0" w:sz="1"/>
              <w:right w:val="single" w:color="E2E8F0" w:sz="1"/>
            </w:tcBorders>
            <w:shd w:fill="FEFCB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 dashboard (Grafana, SonarQube, Datadog) shows code coverage trends, test pass rates, defect escape rates, and deployment frequency in one view. Updated automatically.</w:t>
            </w:r>
          </w:p>
        </w:tc>
        <w:tc>
          <w:tcPr>
            <w:tcW w:type="dxa" w:w="2200"/>
            <w:tcBorders>
              <w:top w:val="single" w:color="E2E8F0" w:sz="1"/>
              <w:left w:val="single" w:color="E2E8F0" w:sz="1"/>
              <w:bottom w:val="single" w:color="E2E8F0" w:sz="1"/>
              <w:right w:val="single" w:color="E2E8F0" w:sz="1"/>
            </w:tcBorders>
            <w:shd w:fill="FEFCBF" w:val="clear"/>
            <w:tcMar>
              <w:top w:type="dxa" w:w="80"/>
              <w:left w:type="dxa" w:w="120"/>
              <w:bottom w:type="dxa" w:w="80"/>
              <w:right w:type="dxa" w:w="120"/>
            </w:tcMar>
            <w:vAlign w:val="top"/>
          </w:tcPr>
          <w:p>
            <w:pPr>
              <w:spacing w:after="30"/>
            </w:pPr>
            <w:r>
              <w:rPr>
                <w:rFonts w:ascii="Arial" w:cs="Arial" w:eastAsia="Arial" w:hAnsi="Arial"/>
                <w:color w:val="4A5568"/>
                <w:sz w:val="18"/>
                <w:szCs w:val="18"/>
              </w:rPr>
              <w:t xml:space="preserve">Open the team’s quality dashboard. Verify it shows coverage, pass rate, and defect metrics. Check it auto-refreshes from CI/monitoring.</w:t>
            </w:r>
          </w:p>
        </w:tc>
        <w:tc>
          <w:tcPr>
            <w:tcW w:type="dxa" w:w="1060"/>
            <w:tcBorders>
              <w:top w:val="single" w:color="E2E8F0" w:sz="1"/>
              <w:left w:val="single" w:color="E2E8F0" w:sz="1"/>
              <w:bottom w:val="single" w:color="E2E8F0" w:sz="1"/>
              <w:right w:val="single" w:color="E2E8F0" w:sz="1"/>
            </w:tcBorders>
            <w:shd w:fill="FEFCB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3–5 days</w:t>
            </w:r>
          </w:p>
        </w:tc>
        <w:tc>
          <w:tcPr>
            <w:tcW w:type="dxa" w:w="1000"/>
            <w:tcBorders>
              <w:top w:val="single" w:color="E2E8F0" w:sz="1"/>
              <w:left w:val="single" w:color="E2E8F0" w:sz="1"/>
              <w:bottom w:val="single" w:color="E2E8F0" w:sz="1"/>
              <w:right w:val="single" w:color="E2E8F0" w:sz="1"/>
            </w:tcBorders>
            <w:shd w:fill="FEFCBF" w:val="clear"/>
            <w:tcMar>
              <w:top w:type="dxa" w:w="80"/>
              <w:left w:type="dxa" w:w="120"/>
              <w:bottom w:type="dxa" w:w="80"/>
              <w:right w:type="dxa" w:w="120"/>
            </w:tcMar>
            <w:vAlign w:val="top"/>
          </w:tcPr>
          <w:p>
            <w:pPr>
              <w:spacing w:after="30"/>
            </w:pPr>
            <w:r>
              <w:rPr>
                <w:rFonts w:ascii="Arial" w:cs="Arial" w:eastAsia="Arial" w:hAnsi="Arial"/>
                <w:color w:val="C05621"/>
                <w:sz w:val="18"/>
                <w:szCs w:val="18"/>
              </w:rPr>
              <w:t xml:space="preserve">★★★★☆</w:t>
            </w:r>
          </w:p>
        </w:tc>
      </w:tr>
    </w:tbl>
    <w:p>
      <w:pPr>
        <w:spacing w:before="100"/>
      </w:pPr>
    </w:p>
    <w:p>
      <w:pPr>
        <w:pStyle w:val="ListParagraph"/>
        <w:numPr>
          <w:ilvl w:val="0"/>
          <w:numId w:val="3"/>
        </w:numPr>
        <w:spacing w:after="70" w:line="276"/>
      </w:pPr>
      <w:r>
        <w:rPr>
          <w:rFonts w:ascii="Arial" w:cs="Arial" w:eastAsia="Arial" w:hAnsi="Arial"/>
          <w:b/>
          <w:bCs/>
          <w:color w:val="1A202C"/>
          <w:sz w:val="20"/>
          <w:szCs w:val="20"/>
        </w:rPr>
        <w:t xml:space="preserve">#7 Automated regression suite with ≥ 60% coverage of critical paths: </w:t>
      </w:r>
      <w:r>
        <w:rPr>
          <w:rFonts w:ascii="Arial" w:cs="Arial" w:eastAsia="Arial" w:hAnsi="Arial"/>
          <w:color w:val="1A202C"/>
          <w:sz w:val="20"/>
          <w:szCs w:val="20"/>
        </w:rPr>
        <w:t xml:space="preserve">The core of the Test Factory. Enables automated CD quality gates. Highest long-term value but requires sustained investment. Start with critical paths.</w:t>
      </w:r>
    </w:p>
    <w:p>
      <w:pPr>
        <w:pStyle w:val="ListParagraph"/>
        <w:numPr>
          <w:ilvl w:val="0"/>
          <w:numId w:val="3"/>
        </w:numPr>
        <w:spacing w:after="70" w:line="276"/>
      </w:pPr>
      <w:r>
        <w:rPr>
          <w:rFonts w:ascii="Arial" w:cs="Arial" w:eastAsia="Arial" w:hAnsi="Arial"/>
          <w:b/>
          <w:bCs/>
          <w:color w:val="1A202C"/>
          <w:sz w:val="20"/>
          <w:szCs w:val="20"/>
        </w:rPr>
        <w:t xml:space="preserve">#8 Contract tests implemented for service APIs: </w:t>
      </w:r>
      <w:r>
        <w:rPr>
          <w:rFonts w:ascii="Arial" w:cs="Arial" w:eastAsia="Arial" w:hAnsi="Arial"/>
          <w:color w:val="1A202C"/>
          <w:sz w:val="20"/>
          <w:szCs w:val="20"/>
        </w:rPr>
        <w:t xml:space="preserve">Prevents integration failures in microservices. Catches breaking API changes before deployment. Critical for the hotfix pipeline where speed matters.</w:t>
      </w:r>
    </w:p>
    <w:p>
      <w:pPr>
        <w:pStyle w:val="ListParagraph"/>
        <w:numPr>
          <w:ilvl w:val="0"/>
          <w:numId w:val="3"/>
        </w:numPr>
        <w:spacing w:after="70" w:line="276"/>
      </w:pPr>
      <w:r>
        <w:rPr>
          <w:rFonts w:ascii="Arial" w:cs="Arial" w:eastAsia="Arial" w:hAnsi="Arial"/>
          <w:b/>
          <w:bCs/>
          <w:color w:val="1A202C"/>
          <w:sz w:val="20"/>
          <w:szCs w:val="20"/>
        </w:rPr>
        <w:t xml:space="preserve">#9 Quality dashboard with real-time metrics: </w:t>
      </w:r>
      <w:r>
        <w:rPr>
          <w:rFonts w:ascii="Arial" w:cs="Arial" w:eastAsia="Arial" w:hAnsi="Arial"/>
          <w:color w:val="1A202C"/>
          <w:sz w:val="20"/>
          <w:szCs w:val="20"/>
        </w:rPr>
        <w:t xml:space="preserve">Aggregates existing data into one view. Enables data-driven decisions. Visible to leadership. Low effort if SonarQube/Grafana already available.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6749" w:sz="4"/>
              <w:left w:val="single" w:color="E2E8F0" w:sz="1"/>
              <w:bottom w:val="single" w:color="E2E8F0" w:sz="1"/>
              <w:right w:val="single" w:color="E2E8F0" w:sz="1"/>
            </w:tcBorders>
            <w:shd w:fill="276749" w:val="clear"/>
            <w:tcMar>
              <w:top w:type="dxa" w:w="80"/>
              <w:left w:type="dxa" w:w="160"/>
              <w:bottom w:type="dxa" w:w="80"/>
              <w:right w:type="dxa" w:w="160"/>
            </w:tcMar>
          </w:tcPr>
          <w:p>
            <w:r>
              <w:rPr>
                <w:rFonts w:ascii="Arial" w:cs="Arial" w:eastAsia="Arial" w:hAnsi="Arial"/>
                <w:b/>
                <w:bCs/>
                <w:color w:val="FFFFFF"/>
                <w:sz w:val="22"/>
                <w:szCs w:val="22"/>
              </w:rPr>
              <w:t xml:space="preserve">Level 4 — Quantitatively Managed  |  Score: 61–80</w:t>
            </w:r>
          </w:p>
        </w:tc>
      </w:tr>
    </w:tbl>
    <w:p>
      <w:pPr>
        <w:spacing w:after="120" w:before="80" w:line="276"/>
        <w:jc w:val="left"/>
      </w:pPr>
      <w:r>
        <w:rPr>
          <w:rFonts w:ascii="Arial" w:cs="Arial" w:eastAsia="Arial" w:hAnsi="Arial"/>
          <w:i/>
          <w:iCs/>
          <w:color w:val="4A5568"/>
          <w:sz w:val="21"/>
          <w:szCs w:val="21"/>
        </w:rPr>
        <w:t xml:space="preserve">Data-driven testing with advanced practices. Goal: predictive quality and continuous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500"/>
        <w:gridCol w:w="2200"/>
        <w:gridCol w:w="1060"/>
        <w:gridCol w:w="1000"/>
      </w:tblGrid>
      <w:tr>
        <w:tc>
          <w:tcPr>
            <w:tcW w:type="dxa" w:w="4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t>
            </w:r>
          </w:p>
        </w:tc>
        <w:tc>
          <w:tcPr>
            <w:tcW w:type="dxa" w:w="2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Criterion</w:t>
            </w:r>
          </w:p>
        </w:tc>
        <w:tc>
          <w:tcPr>
            <w:tcW w:type="dxa" w:w="25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What to Validate</w:t>
            </w:r>
          </w:p>
        </w:tc>
        <w:tc>
          <w:tcPr>
            <w:tcW w:type="dxa" w:w="2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Evidence</w:t>
            </w:r>
          </w:p>
        </w:tc>
        <w:tc>
          <w:tcPr>
            <w:tcW w:type="dxa" w:w="10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Effort</w:t>
            </w:r>
          </w:p>
        </w:tc>
        <w:tc>
          <w:tcPr>
            <w:tcW w:type="dxa" w:w="10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ROI</w:t>
            </w:r>
          </w:p>
        </w:tc>
      </w:tr>
      <w:tr>
        <w:tc>
          <w:tcPr>
            <w:tcW w:type="dxa" w:w="400"/>
            <w:tcBorders>
              <w:top w:val="single" w:color="E2E8F0" w:sz="1"/>
              <w:left w:val="single" w:color="E2E8F0" w:sz="1"/>
              <w:bottom w:val="single" w:color="E2E8F0" w:sz="1"/>
              <w:right w:val="single" w:color="E2E8F0" w:sz="1"/>
            </w:tcBorders>
            <w:shd w:fill="C6F6D5" w:val="clear"/>
            <w:tcMar>
              <w:top w:type="dxa" w:w="80"/>
              <w:left w:type="dxa" w:w="120"/>
              <w:bottom w:type="dxa" w:w="80"/>
              <w:right w:type="dxa" w:w="120"/>
            </w:tcMar>
            <w:vAlign w:val="top"/>
          </w:tcPr>
          <w:p>
            <w:pPr>
              <w:spacing w:after="30"/>
            </w:pPr>
            <w:r>
              <w:rPr>
                <w:rFonts w:ascii="Arial" w:cs="Arial" w:eastAsia="Arial" w:hAnsi="Arial"/>
                <w:b/>
                <w:bCs/>
                <w:color w:val="276749"/>
                <w:sz w:val="19"/>
                <w:szCs w:val="19"/>
              </w:rPr>
              <w:t xml:space="preserve">10</w:t>
            </w:r>
          </w:p>
        </w:tc>
        <w:tc>
          <w:tcPr>
            <w:tcW w:type="dxa" w:w="2200"/>
            <w:tcBorders>
              <w:top w:val="single" w:color="E2E8F0" w:sz="1"/>
              <w:left w:val="single" w:color="E2E8F0" w:sz="1"/>
              <w:bottom w:val="single" w:color="E2E8F0" w:sz="1"/>
              <w:right w:val="single" w:color="E2E8F0" w:sz="1"/>
            </w:tcBorders>
            <w:shd w:fill="C6F6D5" w:val="clear"/>
            <w:tcMar>
              <w:top w:type="dxa" w:w="80"/>
              <w:left w:type="dxa" w:w="120"/>
              <w:bottom w:type="dxa" w:w="80"/>
              <w:right w:type="dxa" w:w="120"/>
            </w:tcMar>
            <w:vAlign w:val="top"/>
          </w:tcPr>
          <w:p>
            <w:pPr>
              <w:spacing w:after="40"/>
            </w:pPr>
            <w:r>
              <w:rPr>
                <w:rFonts w:ascii="Arial" w:cs="Arial" w:eastAsia="Arial" w:hAnsi="Arial"/>
                <w:b/>
                <w:bCs/>
                <w:color w:val="1A202C"/>
                <w:sz w:val="19"/>
                <w:szCs w:val="19"/>
              </w:rPr>
              <w:t xml:space="preserve">Performance baselines with automated regression detection</w:t>
            </w:r>
          </w:p>
          <w:p>
            <w:pPr>
              <w:spacing w:after="0"/>
            </w:pPr>
            <w:r>
              <w:rPr>
                <w:rFonts w:ascii="Arial" w:cs="Arial" w:eastAsia="Arial" w:hAnsi="Arial"/>
                <w:i/>
                <w:iCs/>
                <w:color w:val="276749"/>
                <w:sz w:val="16"/>
                <w:szCs w:val="16"/>
              </w:rPr>
              <w:t xml:space="preserve">Performance &amp; Non-Functional</w:t>
            </w:r>
          </w:p>
        </w:tc>
        <w:tc>
          <w:tcPr>
            <w:tcW w:type="dxa" w:w="2500"/>
            <w:tcBorders>
              <w:top w:val="single" w:color="E2E8F0" w:sz="1"/>
              <w:left w:val="single" w:color="E2E8F0" w:sz="1"/>
              <w:bottom w:val="single" w:color="E2E8F0" w:sz="1"/>
              <w:right w:val="single" w:color="E2E8F0" w:sz="1"/>
            </w:tcBorders>
            <w:shd w:fill="C6F6D5"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Key endpoints have established P50/P95/P99 latency baselines. Performance tests run per release. Any regression &gt; 10% from baseline is flagged and blocks promotion.</w:t>
            </w:r>
          </w:p>
        </w:tc>
        <w:tc>
          <w:tcPr>
            <w:tcW w:type="dxa" w:w="2200"/>
            <w:tcBorders>
              <w:top w:val="single" w:color="E2E8F0" w:sz="1"/>
              <w:left w:val="single" w:color="E2E8F0" w:sz="1"/>
              <w:bottom w:val="single" w:color="E2E8F0" w:sz="1"/>
              <w:right w:val="single" w:color="E2E8F0" w:sz="1"/>
            </w:tcBorders>
            <w:shd w:fill="C6F6D5" w:val="clear"/>
            <w:tcMar>
              <w:top w:type="dxa" w:w="80"/>
              <w:left w:type="dxa" w:w="120"/>
              <w:bottom w:type="dxa" w:w="80"/>
              <w:right w:type="dxa" w:w="120"/>
            </w:tcMar>
            <w:vAlign w:val="top"/>
          </w:tcPr>
          <w:p>
            <w:pPr>
              <w:spacing w:after="30"/>
            </w:pPr>
            <w:r>
              <w:rPr>
                <w:rFonts w:ascii="Arial" w:cs="Arial" w:eastAsia="Arial" w:hAnsi="Arial"/>
                <w:color w:val="4A5568"/>
                <w:sz w:val="18"/>
                <w:szCs w:val="18"/>
              </w:rPr>
              <w:t xml:space="preserve">Check for k6/JMeter/Gatling scripts in repo. Verify CI runs perf tests. Review baseline data and alerting config.</w:t>
            </w:r>
          </w:p>
        </w:tc>
        <w:tc>
          <w:tcPr>
            <w:tcW w:type="dxa" w:w="1060"/>
            <w:tcBorders>
              <w:top w:val="single" w:color="E2E8F0" w:sz="1"/>
              <w:left w:val="single" w:color="E2E8F0" w:sz="1"/>
              <w:bottom w:val="single" w:color="E2E8F0" w:sz="1"/>
              <w:right w:val="single" w:color="E2E8F0" w:sz="1"/>
            </w:tcBorders>
            <w:shd w:fill="C6F6D5"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1–2 weeks</w:t>
            </w:r>
          </w:p>
        </w:tc>
        <w:tc>
          <w:tcPr>
            <w:tcW w:type="dxa" w:w="1000"/>
            <w:tcBorders>
              <w:top w:val="single" w:color="E2E8F0" w:sz="1"/>
              <w:left w:val="single" w:color="E2E8F0" w:sz="1"/>
              <w:bottom w:val="single" w:color="E2E8F0" w:sz="1"/>
              <w:right w:val="single" w:color="E2E8F0" w:sz="1"/>
            </w:tcBorders>
            <w:shd w:fill="C6F6D5" w:val="clear"/>
            <w:tcMar>
              <w:top w:type="dxa" w:w="80"/>
              <w:left w:type="dxa" w:w="120"/>
              <w:bottom w:type="dxa" w:w="80"/>
              <w:right w:type="dxa" w:w="120"/>
            </w:tcMar>
            <w:vAlign w:val="top"/>
          </w:tcPr>
          <w:p>
            <w:pPr>
              <w:spacing w:after="30"/>
            </w:pPr>
            <w:r>
              <w:rPr>
                <w:rFonts w:ascii="Arial" w:cs="Arial" w:eastAsia="Arial" w:hAnsi="Arial"/>
                <w:color w:val="C05621"/>
                <w:sz w:val="18"/>
                <w:szCs w:val="18"/>
              </w:rPr>
              <w:t xml:space="preserve">★★★☆☆</w:t>
            </w:r>
          </w:p>
        </w:tc>
      </w:tr>
      <w:tr>
        <w:tc>
          <w:tcPr>
            <w:tcW w:type="dxa" w:w="4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b/>
                <w:bCs/>
                <w:color w:val="276749"/>
                <w:sz w:val="19"/>
                <w:szCs w:val="19"/>
              </w:rPr>
              <w:t xml:space="preserve">11</w:t>
            </w:r>
          </w:p>
        </w:tc>
        <w:tc>
          <w:tcPr>
            <w:tcW w:type="dxa" w:w="22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40"/>
            </w:pPr>
            <w:r>
              <w:rPr>
                <w:rFonts w:ascii="Arial" w:cs="Arial" w:eastAsia="Arial" w:hAnsi="Arial"/>
                <w:b/>
                <w:bCs/>
                <w:color w:val="1A202C"/>
                <w:sz w:val="19"/>
                <w:szCs w:val="19"/>
              </w:rPr>
              <w:t xml:space="preserve">Full observability: metrics + logs + traces correlated</w:t>
            </w:r>
          </w:p>
          <w:p>
            <w:pPr>
              <w:spacing w:after="0"/>
            </w:pPr>
            <w:r>
              <w:rPr>
                <w:rFonts w:ascii="Arial" w:cs="Arial" w:eastAsia="Arial" w:hAnsi="Arial"/>
                <w:i/>
                <w:iCs/>
                <w:color w:val="276749"/>
                <w:sz w:val="16"/>
                <w:szCs w:val="16"/>
              </w:rPr>
              <w:t xml:space="preserve">Monitoring &amp; Observability</w:t>
            </w:r>
          </w:p>
        </w:tc>
        <w:tc>
          <w:tcPr>
            <w:tcW w:type="dxa" w:w="25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The service emits structured metrics (Prometheus), structured logs (JSON with correlation IDs), and distributed traces (Jaeger/Datadog APM). All three are correlated—you can go from alert → trace → logs in one click.</w:t>
            </w:r>
          </w:p>
        </w:tc>
        <w:tc>
          <w:tcPr>
            <w:tcW w:type="dxa" w:w="22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color w:val="4A5568"/>
                <w:sz w:val="18"/>
                <w:szCs w:val="18"/>
              </w:rPr>
              <w:t xml:space="preserve">Check /metrics endpoint. Verify logs are JSON with traceId. Open APM tool and trace a request end-to-end.</w:t>
            </w:r>
          </w:p>
        </w:tc>
        <w:tc>
          <w:tcPr>
            <w:tcW w:type="dxa" w:w="106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2–3 weeks</w:t>
            </w:r>
          </w:p>
        </w:tc>
        <w:tc>
          <w:tcPr>
            <w:tcW w:type="dxa" w:w="10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color w:val="C05621"/>
                <w:sz w:val="18"/>
                <w:szCs w:val="18"/>
              </w:rPr>
              <w:t xml:space="preserve">★★★☆☆</w:t>
            </w:r>
          </w:p>
        </w:tc>
      </w:tr>
      <w:tr>
        <w:tc>
          <w:tcPr>
            <w:tcW w:type="dxa" w:w="400"/>
            <w:tcBorders>
              <w:top w:val="single" w:color="E2E8F0" w:sz="1"/>
              <w:left w:val="single" w:color="E2E8F0" w:sz="1"/>
              <w:bottom w:val="single" w:color="E2E8F0" w:sz="1"/>
              <w:right w:val="single" w:color="E2E8F0" w:sz="1"/>
            </w:tcBorders>
            <w:shd w:fill="C6F6D5" w:val="clear"/>
            <w:tcMar>
              <w:top w:type="dxa" w:w="80"/>
              <w:left w:type="dxa" w:w="120"/>
              <w:bottom w:type="dxa" w:w="80"/>
              <w:right w:type="dxa" w:w="120"/>
            </w:tcMar>
            <w:vAlign w:val="top"/>
          </w:tcPr>
          <w:p>
            <w:pPr>
              <w:spacing w:after="30"/>
            </w:pPr>
            <w:r>
              <w:rPr>
                <w:rFonts w:ascii="Arial" w:cs="Arial" w:eastAsia="Arial" w:hAnsi="Arial"/>
                <w:b/>
                <w:bCs/>
                <w:color w:val="276749"/>
                <w:sz w:val="19"/>
                <w:szCs w:val="19"/>
              </w:rPr>
              <w:t xml:space="preserve">12</w:t>
            </w:r>
          </w:p>
        </w:tc>
        <w:tc>
          <w:tcPr>
            <w:tcW w:type="dxa" w:w="2200"/>
            <w:tcBorders>
              <w:top w:val="single" w:color="E2E8F0" w:sz="1"/>
              <w:left w:val="single" w:color="E2E8F0" w:sz="1"/>
              <w:bottom w:val="single" w:color="E2E8F0" w:sz="1"/>
              <w:right w:val="single" w:color="E2E8F0" w:sz="1"/>
            </w:tcBorders>
            <w:shd w:fill="C6F6D5" w:val="clear"/>
            <w:tcMar>
              <w:top w:type="dxa" w:w="80"/>
              <w:left w:type="dxa" w:w="120"/>
              <w:bottom w:type="dxa" w:w="80"/>
              <w:right w:type="dxa" w:w="120"/>
            </w:tcMar>
            <w:vAlign w:val="top"/>
          </w:tcPr>
          <w:p>
            <w:pPr>
              <w:spacing w:after="40"/>
            </w:pPr>
            <w:r>
              <w:rPr>
                <w:rFonts w:ascii="Arial" w:cs="Arial" w:eastAsia="Arial" w:hAnsi="Arial"/>
                <w:b/>
                <w:bCs/>
                <w:color w:val="1A202C"/>
                <w:sz w:val="19"/>
                <w:szCs w:val="19"/>
              </w:rPr>
              <w:t xml:space="preserve">Automated release readiness scoring</w:t>
            </w:r>
          </w:p>
          <w:p>
            <w:pPr>
              <w:spacing w:after="0"/>
            </w:pPr>
            <w:r>
              <w:rPr>
                <w:rFonts w:ascii="Arial" w:cs="Arial" w:eastAsia="Arial" w:hAnsi="Arial"/>
                <w:i/>
                <w:iCs/>
                <w:color w:val="276749"/>
                <w:sz w:val="16"/>
                <w:szCs w:val="16"/>
              </w:rPr>
              <w:t xml:space="preserve">Test Reporting &amp; Metrics</w:t>
            </w:r>
          </w:p>
        </w:tc>
        <w:tc>
          <w:tcPr>
            <w:tcW w:type="dxa" w:w="2500"/>
            <w:tcBorders>
              <w:top w:val="single" w:color="E2E8F0" w:sz="1"/>
              <w:left w:val="single" w:color="E2E8F0" w:sz="1"/>
              <w:bottom w:val="single" w:color="E2E8F0" w:sz="1"/>
              <w:right w:val="single" w:color="E2E8F0" w:sz="1"/>
            </w:tcBorders>
            <w:shd w:fill="C6F6D5"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 computed score (based on test pass rate, coverage, SAST findings, performance, and defect escape rate) automatically determines if a release is ready to promote. The score is attached to the ServiceNow CR.</w:t>
            </w:r>
          </w:p>
        </w:tc>
        <w:tc>
          <w:tcPr>
            <w:tcW w:type="dxa" w:w="2200"/>
            <w:tcBorders>
              <w:top w:val="single" w:color="E2E8F0" w:sz="1"/>
              <w:left w:val="single" w:color="E2E8F0" w:sz="1"/>
              <w:bottom w:val="single" w:color="E2E8F0" w:sz="1"/>
              <w:right w:val="single" w:color="E2E8F0" w:sz="1"/>
            </w:tcBorders>
            <w:shd w:fill="C6F6D5" w:val="clear"/>
            <w:tcMar>
              <w:top w:type="dxa" w:w="80"/>
              <w:left w:type="dxa" w:w="120"/>
              <w:bottom w:type="dxa" w:w="80"/>
              <w:right w:type="dxa" w:w="120"/>
            </w:tcMar>
            <w:vAlign w:val="top"/>
          </w:tcPr>
          <w:p>
            <w:pPr>
              <w:spacing w:after="30"/>
            </w:pPr>
            <w:r>
              <w:rPr>
                <w:rFonts w:ascii="Arial" w:cs="Arial" w:eastAsia="Arial" w:hAnsi="Arial"/>
                <w:color w:val="4A5568"/>
                <w:sz w:val="18"/>
                <w:szCs w:val="18"/>
              </w:rPr>
              <w:t xml:space="preserve">Review the release readiness automation (script, dashboard, or CI job). Verify it feeds into ServiceNow. Check last 3 releases for scores.</w:t>
            </w:r>
          </w:p>
        </w:tc>
        <w:tc>
          <w:tcPr>
            <w:tcW w:type="dxa" w:w="1060"/>
            <w:tcBorders>
              <w:top w:val="single" w:color="E2E8F0" w:sz="1"/>
              <w:left w:val="single" w:color="E2E8F0" w:sz="1"/>
              <w:bottom w:val="single" w:color="E2E8F0" w:sz="1"/>
              <w:right w:val="single" w:color="E2E8F0" w:sz="1"/>
            </w:tcBorders>
            <w:shd w:fill="C6F6D5"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1–2 weeks</w:t>
            </w:r>
          </w:p>
        </w:tc>
        <w:tc>
          <w:tcPr>
            <w:tcW w:type="dxa" w:w="1000"/>
            <w:tcBorders>
              <w:top w:val="single" w:color="E2E8F0" w:sz="1"/>
              <w:left w:val="single" w:color="E2E8F0" w:sz="1"/>
              <w:bottom w:val="single" w:color="E2E8F0" w:sz="1"/>
              <w:right w:val="single" w:color="E2E8F0" w:sz="1"/>
            </w:tcBorders>
            <w:shd w:fill="C6F6D5" w:val="clear"/>
            <w:tcMar>
              <w:top w:type="dxa" w:w="80"/>
              <w:left w:type="dxa" w:w="120"/>
              <w:bottom w:type="dxa" w:w="80"/>
              <w:right w:type="dxa" w:w="120"/>
            </w:tcMar>
            <w:vAlign w:val="top"/>
          </w:tcPr>
          <w:p>
            <w:pPr>
              <w:spacing w:after="30"/>
            </w:pPr>
            <w:r>
              <w:rPr>
                <w:rFonts w:ascii="Arial" w:cs="Arial" w:eastAsia="Arial" w:hAnsi="Arial"/>
                <w:color w:val="C05621"/>
                <w:sz w:val="18"/>
                <w:szCs w:val="18"/>
              </w:rPr>
              <w:t xml:space="preserve">★★★☆☆</w:t>
            </w:r>
          </w:p>
        </w:tc>
      </w:tr>
    </w:tbl>
    <w:p>
      <w:pPr>
        <w:spacing w:before="100"/>
      </w:pPr>
    </w:p>
    <w:p>
      <w:pPr>
        <w:pStyle w:val="ListParagraph"/>
        <w:numPr>
          <w:ilvl w:val="0"/>
          <w:numId w:val="3"/>
        </w:numPr>
        <w:spacing w:after="70" w:line="276"/>
      </w:pPr>
      <w:r>
        <w:rPr>
          <w:rFonts w:ascii="Arial" w:cs="Arial" w:eastAsia="Arial" w:hAnsi="Arial"/>
          <w:b/>
          <w:bCs/>
          <w:color w:val="1A202C"/>
          <w:sz w:val="20"/>
          <w:szCs w:val="20"/>
        </w:rPr>
        <w:t xml:space="preserve">#10 Performance baselines with automated regression detection: </w:t>
      </w:r>
      <w:r>
        <w:rPr>
          <w:rFonts w:ascii="Arial" w:cs="Arial" w:eastAsia="Arial" w:hAnsi="Arial"/>
          <w:color w:val="1A202C"/>
          <w:sz w:val="20"/>
          <w:szCs w:val="20"/>
        </w:rPr>
        <w:t xml:space="preserve">Prevents performance regressions from reaching production. Baselines are easy to establish; alerting on deviation is high-value for SLA compliance.</w:t>
      </w:r>
    </w:p>
    <w:p>
      <w:pPr>
        <w:pStyle w:val="ListParagraph"/>
        <w:numPr>
          <w:ilvl w:val="0"/>
          <w:numId w:val="3"/>
        </w:numPr>
        <w:spacing w:after="70" w:line="276"/>
      </w:pPr>
      <w:r>
        <w:rPr>
          <w:rFonts w:ascii="Arial" w:cs="Arial" w:eastAsia="Arial" w:hAnsi="Arial"/>
          <w:b/>
          <w:bCs/>
          <w:color w:val="1A202C"/>
          <w:sz w:val="20"/>
          <w:szCs w:val="20"/>
        </w:rPr>
        <w:t xml:space="preserve">#11 Full observability: metrics + logs + traces correlated: </w:t>
      </w:r>
      <w:r>
        <w:rPr>
          <w:rFonts w:ascii="Arial" w:cs="Arial" w:eastAsia="Arial" w:hAnsi="Arial"/>
          <w:color w:val="1A202C"/>
          <w:sz w:val="20"/>
          <w:szCs w:val="20"/>
        </w:rPr>
        <w:t xml:space="preserve">Essential for production debugging and the Tier 2/3 rollback decision model. High value but requires coordinated effort across infra and app teams.</w:t>
      </w:r>
    </w:p>
    <w:p>
      <w:pPr>
        <w:pStyle w:val="ListParagraph"/>
        <w:numPr>
          <w:ilvl w:val="0"/>
          <w:numId w:val="3"/>
        </w:numPr>
        <w:spacing w:after="70" w:line="276"/>
      </w:pPr>
      <w:r>
        <w:rPr>
          <w:rFonts w:ascii="Arial" w:cs="Arial" w:eastAsia="Arial" w:hAnsi="Arial"/>
          <w:b/>
          <w:bCs/>
          <w:color w:val="1A202C"/>
          <w:sz w:val="20"/>
          <w:szCs w:val="20"/>
        </w:rPr>
        <w:t xml:space="preserve">#12 Automated release readiness scoring: </w:t>
      </w:r>
      <w:r>
        <w:rPr>
          <w:rFonts w:ascii="Arial" w:cs="Arial" w:eastAsia="Arial" w:hAnsi="Arial"/>
          <w:color w:val="1A202C"/>
          <w:sz w:val="20"/>
          <w:szCs w:val="20"/>
        </w:rPr>
        <w:t xml:space="preserve">Aggregates all quality signals into a go/no-go score. Directly feeds ServiceNow CR. Reduces manual decision-making overhead.</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4"/>
              <w:left w:val="single" w:color="E2E8F0" w:sz="1"/>
              <w:bottom w:val="single" w:color="E2E8F0" w:sz="1"/>
              <w:right w:val="single" w:color="E2E8F0" w:sz="1"/>
            </w:tcBorders>
            <w:shd w:fill="2C5282" w:val="clear"/>
            <w:tcMar>
              <w:top w:type="dxa" w:w="80"/>
              <w:left w:type="dxa" w:w="160"/>
              <w:bottom w:type="dxa" w:w="80"/>
              <w:right w:type="dxa" w:w="160"/>
            </w:tcMar>
          </w:tcPr>
          <w:p>
            <w:r>
              <w:rPr>
                <w:rFonts w:ascii="Arial" w:cs="Arial" w:eastAsia="Arial" w:hAnsi="Arial"/>
                <w:b/>
                <w:bCs/>
                <w:color w:val="FFFFFF"/>
                <w:sz w:val="22"/>
                <w:szCs w:val="22"/>
              </w:rPr>
              <w:t xml:space="preserve">Level 5 — Optimizing / Continuous  |  Score: 81–100</w:t>
            </w:r>
          </w:p>
        </w:tc>
      </w:tr>
    </w:tbl>
    <w:p>
      <w:pPr>
        <w:spacing w:after="120" w:before="80" w:line="276"/>
        <w:jc w:val="left"/>
      </w:pPr>
      <w:r>
        <w:rPr>
          <w:rFonts w:ascii="Arial" w:cs="Arial" w:eastAsia="Arial" w:hAnsi="Arial"/>
          <w:i/>
          <w:iCs/>
          <w:color w:val="4A5568"/>
          <w:sz w:val="21"/>
          <w:szCs w:val="21"/>
        </w:rPr>
        <w:t xml:space="preserve">Quality is autonomous and self-improving. Goal: production is a test environment, AI-assisted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500"/>
        <w:gridCol w:w="2200"/>
        <w:gridCol w:w="1060"/>
        <w:gridCol w:w="1000"/>
      </w:tblGrid>
      <w:tr>
        <w:tc>
          <w:tcPr>
            <w:tcW w:type="dxa" w:w="4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t>
            </w:r>
          </w:p>
        </w:tc>
        <w:tc>
          <w:tcPr>
            <w:tcW w:type="dxa" w:w="2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Criterion</w:t>
            </w:r>
          </w:p>
        </w:tc>
        <w:tc>
          <w:tcPr>
            <w:tcW w:type="dxa" w:w="25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What to Validate</w:t>
            </w:r>
          </w:p>
        </w:tc>
        <w:tc>
          <w:tcPr>
            <w:tcW w:type="dxa" w:w="2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Evidence</w:t>
            </w:r>
          </w:p>
        </w:tc>
        <w:tc>
          <w:tcPr>
            <w:tcW w:type="dxa" w:w="10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Effort</w:t>
            </w:r>
          </w:p>
        </w:tc>
        <w:tc>
          <w:tcPr>
            <w:tcW w:type="dxa" w:w="10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ROI</w:t>
            </w:r>
          </w:p>
        </w:tc>
      </w:tr>
      <w:tr>
        <w:tc>
          <w:tcPr>
            <w:tcW w:type="dxa" w:w="400"/>
            <w:tcBorders>
              <w:top w:val="single" w:color="E2E8F0" w:sz="1"/>
              <w:left w:val="single" w:color="E2E8F0" w:sz="1"/>
              <w:bottom w:val="single" w:color="E2E8F0" w:sz="1"/>
              <w:right w:val="single" w:color="E2E8F0" w:sz="1"/>
            </w:tcBorders>
            <w:shd w:fill="BEE3F8" w:val="clear"/>
            <w:tcMar>
              <w:top w:type="dxa" w:w="80"/>
              <w:left w:type="dxa" w:w="120"/>
              <w:bottom w:type="dxa" w:w="80"/>
              <w:right w:type="dxa" w:w="120"/>
            </w:tcMar>
            <w:vAlign w:val="top"/>
          </w:tcPr>
          <w:p>
            <w:pPr>
              <w:spacing w:after="30"/>
            </w:pPr>
            <w:r>
              <w:rPr>
                <w:rFonts w:ascii="Arial" w:cs="Arial" w:eastAsia="Arial" w:hAnsi="Arial"/>
                <w:b/>
                <w:bCs/>
                <w:color w:val="2C5282"/>
                <w:sz w:val="19"/>
                <w:szCs w:val="19"/>
              </w:rPr>
              <w:t xml:space="preserve">13</w:t>
            </w:r>
          </w:p>
        </w:tc>
        <w:tc>
          <w:tcPr>
            <w:tcW w:type="dxa" w:w="2200"/>
            <w:tcBorders>
              <w:top w:val="single" w:color="E2E8F0" w:sz="1"/>
              <w:left w:val="single" w:color="E2E8F0" w:sz="1"/>
              <w:bottom w:val="single" w:color="E2E8F0" w:sz="1"/>
              <w:right w:val="single" w:color="E2E8F0" w:sz="1"/>
            </w:tcBorders>
            <w:shd w:fill="BEE3F8" w:val="clear"/>
            <w:tcMar>
              <w:top w:type="dxa" w:w="80"/>
              <w:left w:type="dxa" w:w="120"/>
              <w:bottom w:type="dxa" w:w="80"/>
              <w:right w:type="dxa" w:w="120"/>
            </w:tcMar>
            <w:vAlign w:val="top"/>
          </w:tcPr>
          <w:p>
            <w:pPr>
              <w:spacing w:after="40"/>
            </w:pPr>
            <w:r>
              <w:rPr>
                <w:rFonts w:ascii="Arial" w:cs="Arial" w:eastAsia="Arial" w:hAnsi="Arial"/>
                <w:b/>
                <w:bCs/>
                <w:color w:val="1A202C"/>
                <w:sz w:val="19"/>
                <w:szCs w:val="19"/>
              </w:rPr>
              <w:t xml:space="preserve">Production testing: synthetic monitoring + canary analysis</w:t>
            </w:r>
          </w:p>
          <w:p>
            <w:pPr>
              <w:spacing w:after="0"/>
            </w:pPr>
            <w:r>
              <w:rPr>
                <w:rFonts w:ascii="Arial" w:cs="Arial" w:eastAsia="Arial" w:hAnsi="Arial"/>
                <w:i/>
                <w:iCs/>
                <w:color w:val="2C5282"/>
                <w:sz w:val="16"/>
                <w:szCs w:val="16"/>
              </w:rPr>
              <w:t xml:space="preserve">Monitoring &amp; Observability</w:t>
            </w:r>
          </w:p>
        </w:tc>
        <w:tc>
          <w:tcPr>
            <w:tcW w:type="dxa" w:w="2500"/>
            <w:tcBorders>
              <w:top w:val="single" w:color="E2E8F0" w:sz="1"/>
              <w:left w:val="single" w:color="E2E8F0" w:sz="1"/>
              <w:bottom w:val="single" w:color="E2E8F0" w:sz="1"/>
              <w:right w:val="single" w:color="E2E8F0" w:sz="1"/>
            </w:tcBorders>
            <w:shd w:fill="BEE3F8"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Synthetic transactions run continuously in production (every 1–5 min) simulating real user journeys. Canary deployments are analyzed automatically—rollback triggers if canary metrics deviate from baseline.</w:t>
            </w:r>
          </w:p>
        </w:tc>
        <w:tc>
          <w:tcPr>
            <w:tcW w:type="dxa" w:w="2200"/>
            <w:tcBorders>
              <w:top w:val="single" w:color="E2E8F0" w:sz="1"/>
              <w:left w:val="single" w:color="E2E8F0" w:sz="1"/>
              <w:bottom w:val="single" w:color="E2E8F0" w:sz="1"/>
              <w:right w:val="single" w:color="E2E8F0" w:sz="1"/>
            </w:tcBorders>
            <w:shd w:fill="BEE3F8" w:val="clear"/>
            <w:tcMar>
              <w:top w:type="dxa" w:w="80"/>
              <w:left w:type="dxa" w:w="120"/>
              <w:bottom w:type="dxa" w:w="80"/>
              <w:right w:type="dxa" w:w="120"/>
            </w:tcMar>
            <w:vAlign w:val="top"/>
          </w:tcPr>
          <w:p>
            <w:pPr>
              <w:spacing w:after="30"/>
            </w:pPr>
            <w:r>
              <w:rPr>
                <w:rFonts w:ascii="Arial" w:cs="Arial" w:eastAsia="Arial" w:hAnsi="Arial"/>
                <w:color w:val="4A5568"/>
                <w:sz w:val="18"/>
                <w:szCs w:val="18"/>
              </w:rPr>
              <w:t xml:space="preserve">Check synthetic monitoring config (Datadog Synthetics, Grafana). Verify canary deployment pipeline. Review last 3 canary analyses.</w:t>
            </w:r>
          </w:p>
        </w:tc>
        <w:tc>
          <w:tcPr>
            <w:tcW w:type="dxa" w:w="1060"/>
            <w:tcBorders>
              <w:top w:val="single" w:color="E2E8F0" w:sz="1"/>
              <w:left w:val="single" w:color="E2E8F0" w:sz="1"/>
              <w:bottom w:val="single" w:color="E2E8F0" w:sz="1"/>
              <w:right w:val="single" w:color="E2E8F0" w:sz="1"/>
            </w:tcBorders>
            <w:shd w:fill="BEE3F8"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2–4 weeks</w:t>
            </w:r>
          </w:p>
        </w:tc>
        <w:tc>
          <w:tcPr>
            <w:tcW w:type="dxa" w:w="1000"/>
            <w:tcBorders>
              <w:top w:val="single" w:color="E2E8F0" w:sz="1"/>
              <w:left w:val="single" w:color="E2E8F0" w:sz="1"/>
              <w:bottom w:val="single" w:color="E2E8F0" w:sz="1"/>
              <w:right w:val="single" w:color="E2E8F0" w:sz="1"/>
            </w:tcBorders>
            <w:shd w:fill="BEE3F8" w:val="clear"/>
            <w:tcMar>
              <w:top w:type="dxa" w:w="80"/>
              <w:left w:type="dxa" w:w="120"/>
              <w:bottom w:type="dxa" w:w="80"/>
              <w:right w:type="dxa" w:w="120"/>
            </w:tcMar>
            <w:vAlign w:val="top"/>
          </w:tcPr>
          <w:p>
            <w:pPr>
              <w:spacing w:after="30"/>
            </w:pPr>
            <w:r>
              <w:rPr>
                <w:rFonts w:ascii="Arial" w:cs="Arial" w:eastAsia="Arial" w:hAnsi="Arial"/>
                <w:color w:val="C05621"/>
                <w:sz w:val="18"/>
                <w:szCs w:val="18"/>
              </w:rPr>
              <w:t xml:space="preserve">★★☆☆☆</w:t>
            </w:r>
          </w:p>
        </w:tc>
      </w:tr>
      <w:tr>
        <w:tc>
          <w:tcPr>
            <w:tcW w:type="dxa" w:w="4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30"/>
            </w:pPr>
            <w:r>
              <w:rPr>
                <w:rFonts w:ascii="Arial" w:cs="Arial" w:eastAsia="Arial" w:hAnsi="Arial"/>
                <w:b/>
                <w:bCs/>
                <w:color w:val="2C5282"/>
                <w:sz w:val="19"/>
                <w:szCs w:val="19"/>
              </w:rPr>
              <w:t xml:space="preserve">14</w:t>
            </w:r>
          </w:p>
        </w:tc>
        <w:tc>
          <w:tcPr>
            <w:tcW w:type="dxa" w:w="22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40"/>
            </w:pPr>
            <w:r>
              <w:rPr>
                <w:rFonts w:ascii="Arial" w:cs="Arial" w:eastAsia="Arial" w:hAnsi="Arial"/>
                <w:b/>
                <w:bCs/>
                <w:color w:val="1A202C"/>
                <w:sz w:val="19"/>
                <w:szCs w:val="19"/>
              </w:rPr>
              <w:t xml:space="preserve">AI-assisted test optimization (generation + deduplication)</w:t>
            </w:r>
          </w:p>
          <w:p>
            <w:pPr>
              <w:spacing w:after="0"/>
            </w:pPr>
            <w:r>
              <w:rPr>
                <w:rFonts w:ascii="Arial" w:cs="Arial" w:eastAsia="Arial" w:hAnsi="Arial"/>
                <w:i/>
                <w:iCs/>
                <w:color w:val="2C5282"/>
                <w:sz w:val="16"/>
                <w:szCs w:val="16"/>
              </w:rPr>
              <w:t xml:space="preserve">Test Automation</w:t>
            </w:r>
          </w:p>
        </w:tc>
        <w:tc>
          <w:tcPr>
            <w:tcW w:type="dxa" w:w="25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AI tools (Copilot, custom agents) generate test cases from code changes or production traffic. Duplicate and redundant tests are identified and pruned. Test suite execution time is continuously optimized.</w:t>
            </w:r>
          </w:p>
        </w:tc>
        <w:tc>
          <w:tcPr>
            <w:tcW w:type="dxa" w:w="22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30"/>
            </w:pPr>
            <w:r>
              <w:rPr>
                <w:rFonts w:ascii="Arial" w:cs="Arial" w:eastAsia="Arial" w:hAnsi="Arial"/>
                <w:color w:val="4A5568"/>
                <w:sz w:val="18"/>
                <w:szCs w:val="18"/>
              </w:rPr>
              <w:t xml:space="preserve">Review AI test generation tooling or logs. Check for test deduplication reports. Verify suite time trend (should decrease or stabilize).</w:t>
            </w:r>
          </w:p>
        </w:tc>
        <w:tc>
          <w:tcPr>
            <w:tcW w:type="dxa" w:w="106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4–8 weeks</w:t>
            </w:r>
          </w:p>
        </w:tc>
        <w:tc>
          <w:tcPr>
            <w:tcW w:type="dxa" w:w="10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30"/>
            </w:pPr>
            <w:r>
              <w:rPr>
                <w:rFonts w:ascii="Arial" w:cs="Arial" w:eastAsia="Arial" w:hAnsi="Arial"/>
                <w:color w:val="C05621"/>
                <w:sz w:val="18"/>
                <w:szCs w:val="18"/>
              </w:rPr>
              <w:t xml:space="preserve">★★☆☆☆</w:t>
            </w:r>
          </w:p>
        </w:tc>
      </w:tr>
      <w:tr>
        <w:tc>
          <w:tcPr>
            <w:tcW w:type="dxa" w:w="400"/>
            <w:tcBorders>
              <w:top w:val="single" w:color="E2E8F0" w:sz="1"/>
              <w:left w:val="single" w:color="E2E8F0" w:sz="1"/>
              <w:bottom w:val="single" w:color="E2E8F0" w:sz="1"/>
              <w:right w:val="single" w:color="E2E8F0" w:sz="1"/>
            </w:tcBorders>
            <w:shd w:fill="BEE3F8" w:val="clear"/>
            <w:tcMar>
              <w:top w:type="dxa" w:w="80"/>
              <w:left w:type="dxa" w:w="120"/>
              <w:bottom w:type="dxa" w:w="80"/>
              <w:right w:type="dxa" w:w="120"/>
            </w:tcMar>
            <w:vAlign w:val="top"/>
          </w:tcPr>
          <w:p>
            <w:pPr>
              <w:spacing w:after="30"/>
            </w:pPr>
            <w:r>
              <w:rPr>
                <w:rFonts w:ascii="Arial" w:cs="Arial" w:eastAsia="Arial" w:hAnsi="Arial"/>
                <w:b/>
                <w:bCs/>
                <w:color w:val="2C5282"/>
                <w:sz w:val="19"/>
                <w:szCs w:val="19"/>
              </w:rPr>
              <w:t xml:space="preserve">15</w:t>
            </w:r>
          </w:p>
        </w:tc>
        <w:tc>
          <w:tcPr>
            <w:tcW w:type="dxa" w:w="2200"/>
            <w:tcBorders>
              <w:top w:val="single" w:color="E2E8F0" w:sz="1"/>
              <w:left w:val="single" w:color="E2E8F0" w:sz="1"/>
              <w:bottom w:val="single" w:color="E2E8F0" w:sz="1"/>
              <w:right w:val="single" w:color="E2E8F0" w:sz="1"/>
            </w:tcBorders>
            <w:shd w:fill="BEE3F8" w:val="clear"/>
            <w:tcMar>
              <w:top w:type="dxa" w:w="80"/>
              <w:left w:type="dxa" w:w="120"/>
              <w:bottom w:type="dxa" w:w="80"/>
              <w:right w:type="dxa" w:w="120"/>
            </w:tcMar>
            <w:vAlign w:val="top"/>
          </w:tcPr>
          <w:p>
            <w:pPr>
              <w:spacing w:after="40"/>
            </w:pPr>
            <w:r>
              <w:rPr>
                <w:rFonts w:ascii="Arial" w:cs="Arial" w:eastAsia="Arial" w:hAnsi="Arial"/>
                <w:b/>
                <w:bCs/>
                <w:color w:val="1A202C"/>
                <w:sz w:val="19"/>
                <w:szCs w:val="19"/>
              </w:rPr>
              <w:t xml:space="preserve">Feedback loop: production insights auto-generate test cases</w:t>
            </w:r>
          </w:p>
          <w:p>
            <w:pPr>
              <w:spacing w:after="0"/>
            </w:pPr>
            <w:r>
              <w:rPr>
                <w:rFonts w:ascii="Arial" w:cs="Arial" w:eastAsia="Arial" w:hAnsi="Arial"/>
                <w:i/>
                <w:iCs/>
                <w:color w:val="2C5282"/>
                <w:sz w:val="16"/>
                <w:szCs w:val="16"/>
              </w:rPr>
              <w:t xml:space="preserve">Test Strategy &amp; Planning</w:t>
            </w:r>
          </w:p>
        </w:tc>
        <w:tc>
          <w:tcPr>
            <w:tcW w:type="dxa" w:w="2500"/>
            <w:tcBorders>
              <w:top w:val="single" w:color="E2E8F0" w:sz="1"/>
              <w:left w:val="single" w:color="E2E8F0" w:sz="1"/>
              <w:bottom w:val="single" w:color="E2E8F0" w:sz="1"/>
              <w:right w:val="single" w:color="E2E8F0" w:sz="1"/>
            </w:tcBorders>
            <w:shd w:fill="BEE3F8"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Production incidents and anomalies automatically generate new test cases that are added to the regression suite. The test suite evolves based on what actually breaks in production.</w:t>
            </w:r>
          </w:p>
        </w:tc>
        <w:tc>
          <w:tcPr>
            <w:tcW w:type="dxa" w:w="2200"/>
            <w:tcBorders>
              <w:top w:val="single" w:color="E2E8F0" w:sz="1"/>
              <w:left w:val="single" w:color="E2E8F0" w:sz="1"/>
              <w:bottom w:val="single" w:color="E2E8F0" w:sz="1"/>
              <w:right w:val="single" w:color="E2E8F0" w:sz="1"/>
            </w:tcBorders>
            <w:shd w:fill="BEE3F8" w:val="clear"/>
            <w:tcMar>
              <w:top w:type="dxa" w:w="80"/>
              <w:left w:type="dxa" w:w="120"/>
              <w:bottom w:type="dxa" w:w="80"/>
              <w:right w:type="dxa" w:w="120"/>
            </w:tcMar>
            <w:vAlign w:val="top"/>
          </w:tcPr>
          <w:p>
            <w:pPr>
              <w:spacing w:after="30"/>
            </w:pPr>
            <w:r>
              <w:rPr>
                <w:rFonts w:ascii="Arial" w:cs="Arial" w:eastAsia="Arial" w:hAnsi="Arial"/>
                <w:color w:val="4A5568"/>
                <w:sz w:val="18"/>
                <w:szCs w:val="18"/>
              </w:rPr>
              <w:t xml:space="preserve">Review the feedback pipeline (incident → test case). Verify new tests were auto-created from recent incidents. Check regression suite growth trend.</w:t>
            </w:r>
          </w:p>
        </w:tc>
        <w:tc>
          <w:tcPr>
            <w:tcW w:type="dxa" w:w="1060"/>
            <w:tcBorders>
              <w:top w:val="single" w:color="E2E8F0" w:sz="1"/>
              <w:left w:val="single" w:color="E2E8F0" w:sz="1"/>
              <w:bottom w:val="single" w:color="E2E8F0" w:sz="1"/>
              <w:right w:val="single" w:color="E2E8F0" w:sz="1"/>
            </w:tcBorders>
            <w:shd w:fill="BEE3F8"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4–8 weeks</w:t>
            </w:r>
          </w:p>
        </w:tc>
        <w:tc>
          <w:tcPr>
            <w:tcW w:type="dxa" w:w="1000"/>
            <w:tcBorders>
              <w:top w:val="single" w:color="E2E8F0" w:sz="1"/>
              <w:left w:val="single" w:color="E2E8F0" w:sz="1"/>
              <w:bottom w:val="single" w:color="E2E8F0" w:sz="1"/>
              <w:right w:val="single" w:color="E2E8F0" w:sz="1"/>
            </w:tcBorders>
            <w:shd w:fill="BEE3F8" w:val="clear"/>
            <w:tcMar>
              <w:top w:type="dxa" w:w="80"/>
              <w:left w:type="dxa" w:w="120"/>
              <w:bottom w:type="dxa" w:w="80"/>
              <w:right w:type="dxa" w:w="120"/>
            </w:tcMar>
            <w:vAlign w:val="top"/>
          </w:tcPr>
          <w:p>
            <w:pPr>
              <w:spacing w:after="30"/>
            </w:pPr>
            <w:r>
              <w:rPr>
                <w:rFonts w:ascii="Arial" w:cs="Arial" w:eastAsia="Arial" w:hAnsi="Arial"/>
                <w:color w:val="C05621"/>
                <w:sz w:val="18"/>
                <w:szCs w:val="18"/>
              </w:rPr>
              <w:t xml:space="preserve">★☆☆☆☆</w:t>
            </w:r>
          </w:p>
        </w:tc>
      </w:tr>
    </w:tbl>
    <w:p>
      <w:pPr>
        <w:spacing w:before="100"/>
      </w:pPr>
    </w:p>
    <w:p>
      <w:pPr>
        <w:pStyle w:val="ListParagraph"/>
        <w:numPr>
          <w:ilvl w:val="0"/>
          <w:numId w:val="3"/>
        </w:numPr>
        <w:spacing w:after="70" w:line="276"/>
      </w:pPr>
      <w:r>
        <w:rPr>
          <w:rFonts w:ascii="Arial" w:cs="Arial" w:eastAsia="Arial" w:hAnsi="Arial"/>
          <w:b/>
          <w:bCs/>
          <w:color w:val="1A202C"/>
          <w:sz w:val="20"/>
          <w:szCs w:val="20"/>
        </w:rPr>
        <w:t xml:space="preserve">#13 Production testing: synthetic monitoring + canary analysis: </w:t>
      </w:r>
      <w:r>
        <w:rPr>
          <w:rFonts w:ascii="Arial" w:cs="Arial" w:eastAsia="Arial" w:hAnsi="Arial"/>
          <w:color w:val="1A202C"/>
          <w:sz w:val="20"/>
          <w:szCs w:val="20"/>
        </w:rPr>
        <w:t xml:space="preserve">Production-grade quality assurance. Catches issues before customers do. Requires observability foundation (L4) to be in place first.</w:t>
      </w:r>
    </w:p>
    <w:p>
      <w:pPr>
        <w:pStyle w:val="ListParagraph"/>
        <w:numPr>
          <w:ilvl w:val="0"/>
          <w:numId w:val="3"/>
        </w:numPr>
        <w:spacing w:after="70" w:line="276"/>
      </w:pPr>
      <w:r>
        <w:rPr>
          <w:rFonts w:ascii="Arial" w:cs="Arial" w:eastAsia="Arial" w:hAnsi="Arial"/>
          <w:b/>
          <w:bCs/>
          <w:color w:val="1A202C"/>
          <w:sz w:val="20"/>
          <w:szCs w:val="20"/>
        </w:rPr>
        <w:t xml:space="preserve">#14 AI-assisted test optimization (generation + deduplication): </w:t>
      </w:r>
      <w:r>
        <w:rPr>
          <w:rFonts w:ascii="Arial" w:cs="Arial" w:eastAsia="Arial" w:hAnsi="Arial"/>
          <w:color w:val="1A202C"/>
          <w:sz w:val="20"/>
          <w:szCs w:val="20"/>
        </w:rPr>
        <w:t xml:space="preserve">Force multiplier for test maintenance. Reduces test suite bloat and execution time. Requires mature test suite (L3+) as input.</w:t>
      </w:r>
    </w:p>
    <w:p>
      <w:pPr>
        <w:pStyle w:val="ListParagraph"/>
        <w:numPr>
          <w:ilvl w:val="0"/>
          <w:numId w:val="3"/>
        </w:numPr>
        <w:spacing w:after="70" w:line="276"/>
      </w:pPr>
      <w:r>
        <w:rPr>
          <w:rFonts w:ascii="Arial" w:cs="Arial" w:eastAsia="Arial" w:hAnsi="Arial"/>
          <w:b/>
          <w:bCs/>
          <w:color w:val="1A202C"/>
          <w:sz w:val="20"/>
          <w:szCs w:val="20"/>
        </w:rPr>
        <w:t xml:space="preserve">#15 Feedback loop: production insights auto-generate test cases: </w:t>
      </w:r>
      <w:r>
        <w:rPr>
          <w:rFonts w:ascii="Arial" w:cs="Arial" w:eastAsia="Arial" w:hAnsi="Arial"/>
          <w:color w:val="1A202C"/>
          <w:sz w:val="20"/>
          <w:szCs w:val="20"/>
        </w:rPr>
        <w:t xml:space="preserve">The ultimate quality loop. Highest long-term value but requires L4 observability + L3 test suite + L5 AI tooling as prerequisites.</w:t>
      </w:r>
    </w:p>
    <w:p>
      <w:r>
        <w:br w:type="page"/>
      </w:r>
    </w:p>
    <w:p>
      <w:pPr>
        <w:pStyle w:val="Heading2"/>
      </w:pPr>
      <w:r>
        <w:rPr>
          <w:rFonts w:ascii="Arial" w:cs="Arial" w:eastAsia="Arial" w:hAnsi="Arial"/>
          <w:b/>
          <w:bCs/>
          <w:color w:val="1A202C"/>
          <w:sz w:val="22"/>
          <w:szCs w:val="22"/>
        </w:rPr>
        <w:t xml:space="preserve">Scoring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Score</w:t>
            </w:r>
          </w:p>
        </w:tc>
        <w:tc>
          <w:tcPr>
            <w:tcW w:type="dxa" w:w="20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Status</w:t>
            </w:r>
          </w:p>
        </w:tc>
        <w:tc>
          <w:tcPr>
            <w:tcW w:type="dxa" w:w="58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Definition</w:t>
            </w:r>
          </w:p>
        </w:tc>
      </w:tr>
      <w:tr>
        <w:tc>
          <w:tcPr>
            <w:tcW w:type="dxa" w:w="15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2</w:t>
            </w:r>
          </w:p>
        </w:tc>
        <w:tc>
          <w:tcPr>
            <w:tcW w:type="dxa" w:w="20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Met</w:t>
            </w:r>
          </w:p>
        </w:tc>
        <w:tc>
          <w:tcPr>
            <w:tcW w:type="dxa" w:w="586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Criterion fully satisfied with evidence. Ready for this level.</w:t>
            </w:r>
          </w:p>
        </w:tc>
      </w:tr>
      <w:tr>
        <w:tc>
          <w:tcPr>
            <w:tcW w:type="dxa" w:w="15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30"/>
            </w:pPr>
            <w:r>
              <w:rPr>
                <w:rFonts w:ascii="Arial" w:cs="Arial" w:eastAsia="Arial" w:hAnsi="Arial"/>
                <w:b/>
                <w:bCs/>
                <w:color w:val="C05621"/>
                <w:sz w:val="20"/>
                <w:szCs w:val="20"/>
              </w:rPr>
              <w:t xml:space="preserve">1</w:t>
            </w:r>
          </w:p>
        </w:tc>
        <w:tc>
          <w:tcPr>
            <w:tcW w:type="dxa" w:w="20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30"/>
            </w:pPr>
            <w:r>
              <w:rPr>
                <w:rFonts w:ascii="Arial" w:cs="Arial" w:eastAsia="Arial" w:hAnsi="Arial"/>
                <w:b/>
                <w:bCs/>
                <w:color w:val="C05621"/>
                <w:sz w:val="20"/>
                <w:szCs w:val="20"/>
              </w:rPr>
              <w:t xml:space="preserve">Partially Met</w:t>
            </w:r>
          </w:p>
        </w:tc>
        <w:tc>
          <w:tcPr>
            <w:tcW w:type="dxa" w:w="586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Criterion exists but incomplete, inconsistent, or below threshold.</w:t>
            </w:r>
          </w:p>
        </w:tc>
      </w:tr>
      <w:tr>
        <w:tc>
          <w:tcPr>
            <w:tcW w:type="dxa" w:w="15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30"/>
            </w:pPr>
            <w:r>
              <w:rPr>
                <w:rFonts w:ascii="Arial" w:cs="Arial" w:eastAsia="Arial" w:hAnsi="Arial"/>
                <w:b/>
                <w:bCs/>
                <w:color w:val="C53030"/>
                <w:sz w:val="20"/>
                <w:szCs w:val="20"/>
              </w:rPr>
              <w:t xml:space="preserve">0</w:t>
            </w:r>
          </w:p>
        </w:tc>
        <w:tc>
          <w:tcPr>
            <w:tcW w:type="dxa" w:w="20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30"/>
            </w:pPr>
            <w:r>
              <w:rPr>
                <w:rFonts w:ascii="Arial" w:cs="Arial" w:eastAsia="Arial" w:hAnsi="Arial"/>
                <w:b/>
                <w:bCs/>
                <w:color w:val="C53030"/>
                <w:sz w:val="20"/>
                <w:szCs w:val="20"/>
              </w:rPr>
              <w:t xml:space="preserve">Not Met</w:t>
            </w:r>
          </w:p>
        </w:tc>
        <w:tc>
          <w:tcPr>
            <w:tcW w:type="dxa" w:w="586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Criterion not present or no evidence available.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E2E8F0" w:sz="1"/>
              <w:bottom w:val="single" w:color="E2E8F0" w:sz="1"/>
              <w:right w:val="single" w:color="E2E8F0" w:sz="1"/>
            </w:tcBorders>
            <w:shd w:fill="F7FAFC" w:val="clear"/>
            <w:tcMar>
              <w:top w:type="dxa" w:w="100"/>
              <w:left w:type="dxa" w:w="160"/>
              <w:bottom w:type="dxa" w:w="100"/>
              <w:right w:type="dxa" w:w="160"/>
            </w:tcMar>
          </w:tcPr>
          <w:p>
            <w:pPr>
              <w:spacing w:after="60"/>
            </w:pPr>
            <w:r>
              <w:rPr>
                <w:rFonts w:ascii="Arial" w:cs="Arial" w:eastAsia="Arial" w:hAnsi="Arial"/>
                <w:b/>
                <w:bCs/>
                <w:color w:val="1B2A4A"/>
                <w:sz w:val="22"/>
                <w:szCs w:val="22"/>
              </w:rPr>
              <w:t xml:space="preserve">Level Assignment Rule</w:t>
            </w:r>
          </w:p>
          <w:p>
            <w:pPr>
              <w:spacing w:after="0"/>
            </w:pPr>
            <w:r>
              <w:rPr>
                <w:rFonts w:ascii="Arial" w:cs="Arial" w:eastAsia="Arial" w:hAnsi="Arial"/>
                <w:color w:val="1A202C"/>
                <w:sz w:val="21"/>
                <w:szCs w:val="21"/>
              </w:rPr>
              <w:t xml:space="preserve">A team achieves a maturity level when ALL 3 criteria for that level score ≥ 1 (at least partially met), AND all criteria from lower levels score 2 (fully met). Maximum score per level = 6 points. Overall maximum = 30 points.</w:t>
            </w:r>
          </w:p>
        </w:tc>
      </w:tr>
    </w:tbl>
    <w:p>
      <w:r>
        <w:br w:type="page"/>
      </w:r>
    </w:p>
    <w:p>
      <w:pPr>
        <w:pStyle w:val="Heading1"/>
      </w:pPr>
      <w:r>
        <w:rPr>
          <w:rFonts w:ascii="Arial" w:cs="Arial" w:eastAsia="Arial" w:hAnsi="Arial"/>
          <w:b/>
          <w:bCs/>
          <w:color w:val="1A202C"/>
          <w:sz w:val="22"/>
          <w:szCs w:val="22"/>
        </w:rPr>
        <w:t xml:space="preserve">Contract Testing Deep Dive</w:t>
      </w:r>
    </w:p>
    <w:p>
      <w:pPr>
        <w:spacing w:after="160" w:before="0" w:line="276"/>
        <w:jc w:val="left"/>
      </w:pPr>
      <w:r>
        <w:rPr>
          <w:rFonts w:ascii="Arial" w:cs="Arial" w:eastAsia="Arial" w:hAnsi="Arial"/>
          <w:color w:val="1A202C"/>
          <w:sz w:val="22"/>
          <w:szCs w:val="22"/>
        </w:rPr>
        <w:t xml:space="preserve">Contract testing is a critical practice for microservice architectures. It verifies that services communicate correctly without requiring all services to be deployed together. This section explains the three key roles in contract testing and exactly where each type runs in the hotfix pipeline.</w:t>
      </w:r>
    </w:p>
    <w:p>
      <w:pPr>
        <w:pStyle w:val="Heading2"/>
      </w:pPr>
      <w:r>
        <w:rPr>
          <w:rFonts w:ascii="Arial" w:cs="Arial" w:eastAsia="Arial" w:hAnsi="Arial"/>
          <w:b/>
          <w:bCs/>
          <w:color w:val="1A202C"/>
          <w:sz w:val="22"/>
          <w:szCs w:val="22"/>
        </w:rPr>
        <w:t xml:space="preserve">What is Contract Testing?</w:t>
      </w:r>
    </w:p>
    <w:p>
      <w:pPr>
        <w:spacing w:after="160" w:before="0" w:line="276"/>
        <w:jc w:val="left"/>
      </w:pPr>
      <w:r>
        <w:rPr>
          <w:rFonts w:ascii="Arial" w:cs="Arial" w:eastAsia="Arial" w:hAnsi="Arial"/>
          <w:color w:val="1A202C"/>
          <w:sz w:val="22"/>
          <w:szCs w:val="22"/>
        </w:rPr>
        <w:t xml:space="preserve">In a microservice architecture, services communicate via APIs (REST, gRPC, messaging). A contract is a formal agreement about what one service expects from another: the request format, the response structure, the status codes, and the data types. Contract testing verifies that both sides of this agreement are honored.</w:t>
      </w:r>
    </w:p>
    <w:p>
      <w:pPr>
        <w:spacing w:after="160" w:before="0" w:line="276"/>
        <w:jc w:val="left"/>
      </w:pPr>
      <w:r>
        <w:rPr>
          <w:rFonts w:ascii="Arial" w:cs="Arial" w:eastAsia="Arial" w:hAnsi="Arial"/>
          <w:b/>
          <w:bCs/>
          <w:color w:val="1B2A4A"/>
          <w:sz w:val="22"/>
          <w:szCs w:val="22"/>
        </w:rPr>
        <w:t xml:space="preserve">The core problem it solves: </w:t>
      </w:r>
      <w:r>
        <w:rPr>
          <w:rFonts w:ascii="Arial" w:cs="Arial" w:eastAsia="Arial" w:hAnsi="Arial"/>
          <w:color w:val="1A202C"/>
          <w:sz w:val="22"/>
          <w:szCs w:val="22"/>
        </w:rPr>
        <w:t xml:space="preserve">When Service A (consumer) depends on Service B (provider), how do you know that a change to Service B won’t break Service A—without deploying them both to the same environment and running end-to-end tests?</w:t>
      </w:r>
    </w:p>
    <w:p>
      <w:pPr>
        <w:pStyle w:val="Heading2"/>
      </w:pPr>
      <w:r>
        <w:rPr>
          <w:rFonts w:ascii="Arial" w:cs="Arial" w:eastAsia="Arial" w:hAnsi="Arial"/>
          <w:b/>
          <w:bCs/>
          <w:color w:val="1A202C"/>
          <w:sz w:val="22"/>
          <w:szCs w:val="22"/>
        </w:rPr>
        <w:t xml:space="preserve">The Three Roles: Consumer, Provider, and Broker</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5E61" w:sz="4"/>
              <w:left w:val="single" w:color="E2E8F0" w:sz="1"/>
              <w:bottom w:val="single" w:color="E2E8F0" w:sz="1"/>
              <w:right w:val="single" w:color="E2E8F0" w:sz="1"/>
            </w:tcBorders>
            <w:shd w:fill="E6FFFA" w:val="clear"/>
            <w:tcMar>
              <w:top w:type="dxa" w:w="100"/>
              <w:left w:type="dxa" w:w="160"/>
              <w:bottom w:type="dxa" w:w="100"/>
              <w:right w:type="dxa" w:w="160"/>
            </w:tcMar>
          </w:tcPr>
          <w:p>
            <w:pPr>
              <w:spacing w:after="60"/>
            </w:pPr>
            <w:r>
              <w:rPr>
                <w:rFonts w:ascii="Arial" w:cs="Arial" w:eastAsia="Arial" w:hAnsi="Arial"/>
                <w:b/>
                <w:bCs/>
                <w:color w:val="285E61"/>
                <w:sz w:val="22"/>
                <w:szCs w:val="22"/>
              </w:rPr>
              <w:t xml:space="preserve">CONSUMER (Client Side)</w:t>
            </w:r>
          </w:p>
          <w:p>
            <w:pPr>
              <w:spacing w:after="80"/>
            </w:pPr>
            <w:r>
              <w:rPr>
                <w:rFonts w:ascii="Arial" w:cs="Arial" w:eastAsia="Arial" w:hAnsi="Arial"/>
                <w:color w:val="1A202C"/>
                <w:sz w:val="21"/>
                <w:szCs w:val="21"/>
              </w:rPr>
              <w:t xml:space="preserve">The Consumer is the service that calls another service’s API. It defines what it expects to receive.</w:t>
            </w:r>
          </w:p>
          <w:p>
            <w:pPr>
              <w:spacing w:after="60"/>
            </w:pPr>
            <w:r>
              <w:rPr>
                <w:rFonts w:ascii="Arial" w:cs="Arial" w:eastAsia="Arial" w:hAnsi="Arial"/>
                <w:b/>
                <w:bCs/>
                <w:color w:val="285E61"/>
                <w:sz w:val="21"/>
                <w:szCs w:val="21"/>
              </w:rPr>
              <w:t xml:space="preserve">What it does:</w:t>
            </w:r>
          </w:p>
          <w:p>
            <w:pPr>
              <w:spacing w:after="40"/>
            </w:pPr>
            <w:r>
              <w:rPr>
                <w:rFonts w:ascii="Arial" w:cs="Arial" w:eastAsia="Arial" w:hAnsi="Arial"/>
                <w:color w:val="1A202C"/>
                <w:sz w:val="20"/>
                <w:szCs w:val="20"/>
              </w:rPr>
              <w:t xml:space="preserve">The consumer team writes consumer contract tests (also called consumer-driven contracts). These tests describe the interactions the consumer expects from the provider: “When I send GET /api/users/123, I expect a 200 response with a JSON body containing id (number), name (string), and email (string).”</w:t>
            </w:r>
          </w:p>
          <w:p>
            <w:pPr>
              <w:spacing w:after="60"/>
            </w:pPr>
            <w:r>
              <w:rPr>
                <w:rFonts w:ascii="Arial" w:cs="Arial" w:eastAsia="Arial" w:hAnsi="Arial"/>
                <w:b/>
                <w:bCs/>
                <w:color w:val="285E61"/>
                <w:sz w:val="21"/>
                <w:szCs w:val="21"/>
              </w:rPr>
              <w:t xml:space="preserve">How it works (using Pact as example):</w:t>
            </w:r>
          </w:p>
          <w:p>
            <w:pPr>
              <w:pStyle w:val="ListParagraph"/>
              <w:numPr>
                <w:ilvl w:val="0"/>
                <w:numId w:val="4"/>
              </w:numPr>
              <w:spacing w:after="30"/>
            </w:pPr>
            <w:r>
              <w:rPr>
                <w:rFonts w:ascii="Arial" w:cs="Arial" w:eastAsia="Arial" w:hAnsi="Arial"/>
                <w:color w:val="1A202C"/>
                <w:sz w:val="20"/>
                <w:szCs w:val="20"/>
              </w:rPr>
              <w:t xml:space="preserve">The consumer test runs against a mock provider (Pact creates a local stub server).</w:t>
            </w:r>
          </w:p>
          <w:p>
            <w:pPr>
              <w:pStyle w:val="ListParagraph"/>
              <w:numPr>
                <w:ilvl w:val="0"/>
                <w:numId w:val="4"/>
              </w:numPr>
              <w:spacing w:after="30"/>
            </w:pPr>
            <w:r>
              <w:rPr>
                <w:rFonts w:ascii="Arial" w:cs="Arial" w:eastAsia="Arial" w:hAnsi="Arial"/>
                <w:color w:val="1A202C"/>
                <w:sz w:val="20"/>
                <w:szCs w:val="20"/>
              </w:rPr>
              <w:t xml:space="preserve">Each test defines an interaction: the expected request and the expected response.</w:t>
            </w:r>
          </w:p>
          <w:p>
            <w:pPr>
              <w:pStyle w:val="ListParagraph"/>
              <w:numPr>
                <w:ilvl w:val="0"/>
                <w:numId w:val="4"/>
              </w:numPr>
              <w:spacing w:after="30"/>
            </w:pPr>
            <w:r>
              <w:rPr>
                <w:rFonts w:ascii="Arial" w:cs="Arial" w:eastAsia="Arial" w:hAnsi="Arial"/>
                <w:color w:val="1A202C"/>
                <w:sz w:val="20"/>
                <w:szCs w:val="20"/>
              </w:rPr>
              <w:t xml:space="preserve">When the test passes, Pact generates a contract file (a JSON Pact file) that records all interactions.</w:t>
            </w:r>
          </w:p>
          <w:p>
            <w:pPr>
              <w:pStyle w:val="ListParagraph"/>
              <w:numPr>
                <w:ilvl w:val="0"/>
                <w:numId w:val="4"/>
              </w:numPr>
              <w:spacing w:after="30"/>
            </w:pPr>
            <w:r>
              <w:rPr>
                <w:rFonts w:ascii="Arial" w:cs="Arial" w:eastAsia="Arial" w:hAnsi="Arial"/>
                <w:color w:val="1A202C"/>
                <w:sz w:val="20"/>
                <w:szCs w:val="20"/>
              </w:rPr>
              <w:t xml:space="preserve">This contract file is published to the Pact Broker.</w:t>
            </w:r>
          </w:p>
          <w:p>
            <w:pPr>
              <w:spacing w:after="60"/>
            </w:pPr>
            <w:r>
              <w:rPr>
                <w:rFonts w:ascii="Arial" w:cs="Arial" w:eastAsia="Arial" w:hAnsi="Arial"/>
                <w:b/>
                <w:bCs/>
                <w:color w:val="285E61"/>
                <w:sz w:val="21"/>
                <w:szCs w:val="21"/>
              </w:rPr>
              <w:t xml:space="preserve">Key point: </w:t>
            </w:r>
            <w:r>
              <w:rPr>
                <w:rFonts w:ascii="Arial" w:cs="Arial" w:eastAsia="Arial" w:hAnsi="Arial"/>
                <w:color w:val="1A202C"/>
                <w:sz w:val="21"/>
                <w:szCs w:val="21"/>
              </w:rPr>
              <w:t xml:space="preserve">Consumer tests run without any real provider. They are fast, isolated, and can run on every PR.</w:t>
            </w:r>
          </w:p>
          <w:p>
            <w:pPr>
              <w:spacing w:after="40"/>
            </w:pPr>
            <w:r>
              <w:rPr>
                <w:rFonts w:ascii="Arial" w:cs="Arial" w:eastAsia="Arial" w:hAnsi="Arial"/>
                <w:b/>
                <w:bCs/>
                <w:color w:val="1A202C"/>
                <w:sz w:val="20"/>
                <w:szCs w:val="20"/>
              </w:rPr>
              <w:t xml:space="preserve">Example: </w:t>
            </w:r>
            <w:r>
              <w:rPr>
                <w:rFonts w:ascii="Arial" w:cs="Arial" w:eastAsia="Arial" w:hAnsi="Arial"/>
                <w:color w:val="1A202C"/>
                <w:sz w:val="20"/>
                <w:szCs w:val="20"/>
              </w:rPr>
              <w:t xml:space="preserve">The Order Service (consumer) calls the Inventory Service (provider). The Order Service team writes a Pact test that says: “I expect to call GET /inventory/SKU-001 and get back { available: true, quantity: 42 }.” This generates a contract.</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4"/>
              <w:left w:val="single" w:color="E2E8F0" w:sz="1"/>
              <w:bottom w:val="single" w:color="E2E8F0" w:sz="1"/>
              <w:right w:val="single" w:color="E2E8F0" w:sz="1"/>
            </w:tcBorders>
            <w:shd w:fill="EBF4FF" w:val="clear"/>
            <w:tcMar>
              <w:top w:type="dxa" w:w="100"/>
              <w:left w:type="dxa" w:w="160"/>
              <w:bottom w:type="dxa" w:w="100"/>
              <w:right w:type="dxa" w:w="160"/>
            </w:tcMar>
          </w:tcPr>
          <w:p>
            <w:pPr>
              <w:spacing w:after="60"/>
            </w:pPr>
            <w:r>
              <w:rPr>
                <w:rFonts w:ascii="Arial" w:cs="Arial" w:eastAsia="Arial" w:hAnsi="Arial"/>
                <w:b/>
                <w:bCs/>
                <w:color w:val="2C5282"/>
                <w:sz w:val="22"/>
                <w:szCs w:val="22"/>
              </w:rPr>
              <w:t xml:space="preserve">PROVIDER (Server Side)</w:t>
            </w:r>
          </w:p>
          <w:p>
            <w:pPr>
              <w:spacing w:after="80"/>
            </w:pPr>
            <w:r>
              <w:rPr>
                <w:rFonts w:ascii="Arial" w:cs="Arial" w:eastAsia="Arial" w:hAnsi="Arial"/>
                <w:color w:val="1A202C"/>
                <w:sz w:val="21"/>
                <w:szCs w:val="21"/>
              </w:rPr>
              <w:t xml:space="preserve">The Provider is the service that exposes the API. It verifies that it can fulfill the contracts defined by its consumers.</w:t>
            </w:r>
          </w:p>
          <w:p>
            <w:pPr>
              <w:spacing w:after="60"/>
            </w:pPr>
            <w:r>
              <w:rPr>
                <w:rFonts w:ascii="Arial" w:cs="Arial" w:eastAsia="Arial" w:hAnsi="Arial"/>
                <w:b/>
                <w:bCs/>
                <w:color w:val="2C5282"/>
                <w:sz w:val="21"/>
                <w:szCs w:val="21"/>
              </w:rPr>
              <w:t xml:space="preserve">What it does:</w:t>
            </w:r>
          </w:p>
          <w:p>
            <w:pPr>
              <w:spacing w:after="40"/>
            </w:pPr>
            <w:r>
              <w:rPr>
                <w:rFonts w:ascii="Arial" w:cs="Arial" w:eastAsia="Arial" w:hAnsi="Arial"/>
                <w:color w:val="1A202C"/>
                <w:sz w:val="20"/>
                <w:szCs w:val="20"/>
              </w:rPr>
              <w:t xml:space="preserve">The provider team runs provider verification tests. These tests replay the interactions defined in the consumer’s contract file against the actual running provider service and verify that the real responses match the consumer’s expectations.</w:t>
            </w:r>
          </w:p>
          <w:p>
            <w:pPr>
              <w:spacing w:after="60"/>
            </w:pPr>
            <w:r>
              <w:rPr>
                <w:rFonts w:ascii="Arial" w:cs="Arial" w:eastAsia="Arial" w:hAnsi="Arial"/>
                <w:b/>
                <w:bCs/>
                <w:color w:val="2C5282"/>
                <w:sz w:val="21"/>
                <w:szCs w:val="21"/>
              </w:rPr>
              <w:t xml:space="preserve">How it works:</w:t>
            </w:r>
          </w:p>
          <w:p>
            <w:pPr>
              <w:pStyle w:val="ListParagraph"/>
              <w:numPr>
                <w:ilvl w:val="0"/>
                <w:numId w:val="5"/>
              </w:numPr>
              <w:spacing w:after="30"/>
            </w:pPr>
            <w:r>
              <w:rPr>
                <w:rFonts w:ascii="Arial" w:cs="Arial" w:eastAsia="Arial" w:hAnsi="Arial"/>
                <w:color w:val="1A202C"/>
                <w:sz w:val="20"/>
                <w:szCs w:val="20"/>
              </w:rPr>
              <w:t xml:space="preserve">The provider’s CI pipeline pulls the latest contract files from the Pact Broker.</w:t>
            </w:r>
          </w:p>
          <w:p>
            <w:pPr>
              <w:pStyle w:val="ListParagraph"/>
              <w:numPr>
                <w:ilvl w:val="0"/>
                <w:numId w:val="5"/>
              </w:numPr>
              <w:spacing w:after="30"/>
            </w:pPr>
            <w:r>
              <w:rPr>
                <w:rFonts w:ascii="Arial" w:cs="Arial" w:eastAsia="Arial" w:hAnsi="Arial"/>
                <w:color w:val="1A202C"/>
                <w:sz w:val="20"/>
                <w:szCs w:val="20"/>
              </w:rPr>
              <w:t xml:space="preserve">Pact replays each interaction against the running provider service (locally or in a test environment).</w:t>
            </w:r>
          </w:p>
          <w:p>
            <w:pPr>
              <w:pStyle w:val="ListParagraph"/>
              <w:numPr>
                <w:ilvl w:val="0"/>
                <w:numId w:val="5"/>
              </w:numPr>
              <w:spacing w:after="30"/>
            </w:pPr>
            <w:r>
              <w:rPr>
                <w:rFonts w:ascii="Arial" w:cs="Arial" w:eastAsia="Arial" w:hAnsi="Arial"/>
                <w:color w:val="1A202C"/>
                <w:sz w:val="20"/>
                <w:szCs w:val="20"/>
              </w:rPr>
              <w:t xml:space="preserve">For each interaction, it checks: Does the real response match the expected response structure? Correct status code? Correct data types?</w:t>
            </w:r>
          </w:p>
          <w:p>
            <w:pPr>
              <w:pStyle w:val="ListParagraph"/>
              <w:numPr>
                <w:ilvl w:val="0"/>
                <w:numId w:val="5"/>
              </w:numPr>
              <w:spacing w:after="30"/>
            </w:pPr>
            <w:r>
              <w:rPr>
                <w:rFonts w:ascii="Arial" w:cs="Arial" w:eastAsia="Arial" w:hAnsi="Arial"/>
                <w:color w:val="1A202C"/>
                <w:sz w:val="20"/>
                <w:szCs w:val="20"/>
              </w:rPr>
              <w:t xml:space="preserve">The verification result (pass/fail) is published back to the Pact Broker.</w:t>
            </w:r>
          </w:p>
          <w:p>
            <w:pPr>
              <w:spacing w:after="60"/>
            </w:pPr>
            <w:r>
              <w:rPr>
                <w:rFonts w:ascii="Arial" w:cs="Arial" w:eastAsia="Arial" w:hAnsi="Arial"/>
                <w:b/>
                <w:bCs/>
                <w:color w:val="2C5282"/>
                <w:sz w:val="21"/>
                <w:szCs w:val="21"/>
              </w:rPr>
              <w:t xml:space="preserve">Key point: </w:t>
            </w:r>
            <w:r>
              <w:rPr>
                <w:rFonts w:ascii="Arial" w:cs="Arial" w:eastAsia="Arial" w:hAnsi="Arial"/>
                <w:color w:val="1A202C"/>
                <w:sz w:val="21"/>
                <w:szCs w:val="21"/>
              </w:rPr>
              <w:t xml:space="preserve">Provider verification tests the real service, but against individual contracts—not against the real consumer calling it. It answers: “Can I still serve everyone who depends on me?”</w:t>
            </w:r>
          </w:p>
          <w:p>
            <w:pPr>
              <w:spacing w:after="40"/>
            </w:pPr>
            <w:r>
              <w:rPr>
                <w:rFonts w:ascii="Arial" w:cs="Arial" w:eastAsia="Arial" w:hAnsi="Arial"/>
                <w:b/>
                <w:bCs/>
                <w:color w:val="1A202C"/>
                <w:sz w:val="20"/>
                <w:szCs w:val="20"/>
              </w:rPr>
              <w:t xml:space="preserve">Example: </w:t>
            </w:r>
            <w:r>
              <w:rPr>
                <w:rFonts w:ascii="Arial" w:cs="Arial" w:eastAsia="Arial" w:hAnsi="Arial"/>
                <w:color w:val="1A202C"/>
                <w:sz w:val="20"/>
                <w:szCs w:val="20"/>
              </w:rPr>
              <w:t xml:space="preserve">The Inventory Service (provider) pulls the Order Service’s contract from the Broker. Pact replays GET /inventory/SKU-001 against the real Inventory Service. If the response matches { available: true, quantity: 42 }, the contract is verified.</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6C1" w:sz="4"/>
              <w:left w:val="single" w:color="E2E8F0" w:sz="1"/>
              <w:bottom w:val="single" w:color="E2E8F0" w:sz="1"/>
              <w:right w:val="single" w:color="E2E8F0" w:sz="1"/>
            </w:tcBorders>
            <w:shd w:fill="FAF5FF" w:val="clear"/>
            <w:tcMar>
              <w:top w:type="dxa" w:w="100"/>
              <w:left w:type="dxa" w:w="160"/>
              <w:bottom w:type="dxa" w:w="100"/>
              <w:right w:type="dxa" w:w="160"/>
            </w:tcMar>
          </w:tcPr>
          <w:p>
            <w:pPr>
              <w:spacing w:after="60"/>
            </w:pPr>
            <w:r>
              <w:rPr>
                <w:rFonts w:ascii="Arial" w:cs="Arial" w:eastAsia="Arial" w:hAnsi="Arial"/>
                <w:b/>
                <w:bCs/>
                <w:color w:val="6B46C1"/>
                <w:sz w:val="22"/>
                <w:szCs w:val="22"/>
              </w:rPr>
              <w:t xml:space="preserve">PACT BROKER (Central Registry)</w:t>
            </w:r>
          </w:p>
          <w:p>
            <w:pPr>
              <w:spacing w:after="80"/>
            </w:pPr>
            <w:r>
              <w:rPr>
                <w:rFonts w:ascii="Arial" w:cs="Arial" w:eastAsia="Arial" w:hAnsi="Arial"/>
                <w:color w:val="1A202C"/>
                <w:sz w:val="21"/>
                <w:szCs w:val="21"/>
              </w:rPr>
              <w:t xml:space="preserve">The Pact Broker is a central server that stores contract files and verification results. It is the glue between consumers and providers.</w:t>
            </w:r>
          </w:p>
          <w:p>
            <w:pPr>
              <w:spacing w:after="60"/>
            </w:pPr>
            <w:r>
              <w:rPr>
                <w:rFonts w:ascii="Arial" w:cs="Arial" w:eastAsia="Arial" w:hAnsi="Arial"/>
                <w:b/>
                <w:bCs/>
                <w:color w:val="6B46C1"/>
                <w:sz w:val="21"/>
                <w:szCs w:val="21"/>
              </w:rPr>
              <w:t xml:space="preserve">What it does:</w:t>
            </w:r>
          </w:p>
          <w:p>
            <w:pPr>
              <w:pStyle w:val="ListParagraph"/>
              <w:numPr>
                <w:ilvl w:val="0"/>
                <w:numId w:val="6"/>
              </w:numPr>
              <w:spacing w:after="40"/>
            </w:pPr>
            <w:r>
              <w:rPr>
                <w:rFonts w:ascii="Arial" w:cs="Arial" w:eastAsia="Arial" w:hAnsi="Arial"/>
                <w:color w:val="1A202C"/>
                <w:sz w:val="20"/>
                <w:szCs w:val="20"/>
              </w:rPr>
              <w:t xml:space="preserve">Stores all published consumer contracts (Pact files) with version metadata.</w:t>
            </w:r>
          </w:p>
          <w:p>
            <w:pPr>
              <w:pStyle w:val="ListParagraph"/>
              <w:numPr>
                <w:ilvl w:val="0"/>
                <w:numId w:val="6"/>
              </w:numPr>
              <w:spacing w:after="40"/>
            </w:pPr>
            <w:r>
              <w:rPr>
                <w:rFonts w:ascii="Arial" w:cs="Arial" w:eastAsia="Arial" w:hAnsi="Arial"/>
                <w:color w:val="1A202C"/>
                <w:sz w:val="20"/>
                <w:szCs w:val="20"/>
              </w:rPr>
              <w:t xml:space="preserve">Stores provider verification results against each contract.</w:t>
            </w:r>
          </w:p>
          <w:p>
            <w:pPr>
              <w:pStyle w:val="ListParagraph"/>
              <w:numPr>
                <w:ilvl w:val="0"/>
                <w:numId w:val="6"/>
              </w:numPr>
              <w:spacing w:after="40"/>
            </w:pPr>
            <w:r>
              <w:rPr>
                <w:rFonts w:ascii="Arial" w:cs="Arial" w:eastAsia="Arial" w:hAnsi="Arial"/>
                <w:color w:val="1A202C"/>
                <w:sz w:val="20"/>
                <w:szCs w:val="20"/>
              </w:rPr>
              <w:t xml:space="preserve">Provides a dependency map: which consumers depend on which providers, and which versions are compatible.</w:t>
            </w:r>
          </w:p>
          <w:p>
            <w:pPr>
              <w:pStyle w:val="ListParagraph"/>
              <w:numPr>
                <w:ilvl w:val="0"/>
                <w:numId w:val="6"/>
              </w:numPr>
              <w:spacing w:after="40"/>
            </w:pPr>
            <w:r>
              <w:rPr>
                <w:rFonts w:ascii="Arial" w:cs="Arial" w:eastAsia="Arial" w:hAnsi="Arial"/>
                <w:color w:val="1A202C"/>
                <w:sz w:val="20"/>
                <w:szCs w:val="20"/>
              </w:rPr>
              <w:t xml:space="preserve">Enables the “can-i-deploy” check: Before deploying a new version of a service, query the Broker to see if all consumer/provider contracts are still satisfied.</w:t>
            </w:r>
          </w:p>
          <w:p>
            <w:pPr>
              <w:pStyle w:val="ListParagraph"/>
              <w:numPr>
                <w:ilvl w:val="0"/>
                <w:numId w:val="6"/>
              </w:numPr>
              <w:spacing w:after="40"/>
            </w:pPr>
            <w:r>
              <w:rPr>
                <w:rFonts w:ascii="Arial" w:cs="Arial" w:eastAsia="Arial" w:hAnsi="Arial"/>
                <w:color w:val="1A202C"/>
                <w:sz w:val="20"/>
                <w:szCs w:val="20"/>
              </w:rPr>
              <w:t xml:space="preserve">Provides a web dashboard showing the contract status matrix (all consumers vs. all providers).</w:t>
            </w:r>
          </w:p>
          <w:p>
            <w:pPr>
              <w:spacing w:after="60"/>
            </w:pPr>
            <w:r>
              <w:rPr>
                <w:rFonts w:ascii="Arial" w:cs="Arial" w:eastAsia="Arial" w:hAnsi="Arial"/>
                <w:b/>
                <w:bCs/>
                <w:color w:val="6B46C1"/>
                <w:sz w:val="21"/>
                <w:szCs w:val="21"/>
              </w:rPr>
              <w:t xml:space="preserve">Key point: </w:t>
            </w:r>
            <w:r>
              <w:rPr>
                <w:rFonts w:ascii="Arial" w:cs="Arial" w:eastAsia="Arial" w:hAnsi="Arial"/>
                <w:color w:val="1A202C"/>
                <w:sz w:val="21"/>
                <w:szCs w:val="21"/>
              </w:rPr>
              <w:t xml:space="preserve">The Broker does NOT run tests. It stores results and enables deployment decisions. It is infrastructure—deployed once, used by all teams.</w:t>
            </w:r>
          </w:p>
          <w:p>
            <w:pPr>
              <w:spacing w:after="40"/>
            </w:pPr>
            <w:r>
              <w:rPr>
                <w:rFonts w:ascii="Arial" w:cs="Arial" w:eastAsia="Arial" w:hAnsi="Arial"/>
                <w:b/>
                <w:bCs/>
                <w:color w:val="1A202C"/>
                <w:sz w:val="20"/>
                <w:szCs w:val="20"/>
              </w:rPr>
              <w:t xml:space="preserve">The “can-i-deploy” workflow: </w:t>
            </w:r>
            <w:r>
              <w:rPr>
                <w:rFonts w:ascii="Arial" w:cs="Arial" w:eastAsia="Arial" w:hAnsi="Arial"/>
                <w:color w:val="1A202C"/>
                <w:sz w:val="20"/>
                <w:szCs w:val="20"/>
              </w:rPr>
              <w:t xml:space="preserve">Before deploying Inventory Service v2.3.1 to PROD, the pipeline asks the Broker: “Are all consumers verified against v2.3.1?” If yes → safe to deploy. If no → block and investigate.</w:t>
            </w:r>
          </w:p>
        </w:tc>
      </w:tr>
    </w:tbl>
    <w:p>
      <w:r>
        <w:br w:type="page"/>
      </w:r>
    </w:p>
    <w:p>
      <w:pPr>
        <w:pStyle w:val="Heading2"/>
      </w:pPr>
      <w:r>
        <w:rPr>
          <w:rFonts w:ascii="Arial" w:cs="Arial" w:eastAsia="Arial" w:hAnsi="Arial"/>
          <w:b/>
          <w:bCs/>
          <w:color w:val="1A202C"/>
          <w:sz w:val="22"/>
          <w:szCs w:val="22"/>
        </w:rPr>
        <w:t xml:space="preserve">Where to Execute Contract Tests: CI → DEV → TEST → UAT → PROD</w:t>
      </w:r>
    </w:p>
    <w:p>
      <w:pPr>
        <w:spacing w:after="160" w:before="0" w:line="276"/>
        <w:jc w:val="left"/>
      </w:pPr>
      <w:r>
        <w:rPr>
          <w:rFonts w:ascii="Arial" w:cs="Arial" w:eastAsia="Arial" w:hAnsi="Arial"/>
          <w:color w:val="1A202C"/>
          <w:sz w:val="22"/>
          <w:szCs w:val="22"/>
        </w:rPr>
        <w:t xml:space="preserve">Each type of contract test has a specific place in the pipeline. Running them in the wrong environment wastes time; not running them at all risks integration failures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600"/>
        <w:gridCol w:w="1600"/>
        <w:gridCol w:w="1460"/>
      </w:tblGrid>
      <w:tr>
        <w:tc>
          <w:tcPr>
            <w:tcW w:type="dxa" w:w="15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Test Type</w:t>
            </w:r>
          </w:p>
        </w:tc>
        <w:tc>
          <w:tcPr>
            <w:tcW w:type="dxa" w:w="16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CI (every PR)</w:t>
            </w:r>
          </w:p>
        </w:tc>
        <w:tc>
          <w:tcPr>
            <w:tcW w:type="dxa" w:w="16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DEV</w:t>
            </w:r>
          </w:p>
        </w:tc>
        <w:tc>
          <w:tcPr>
            <w:tcW w:type="dxa" w:w="16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TEST</w:t>
            </w:r>
          </w:p>
        </w:tc>
        <w:tc>
          <w:tcPr>
            <w:tcW w:type="dxa" w:w="16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UAT</w:t>
            </w:r>
          </w:p>
        </w:tc>
        <w:tc>
          <w:tcPr>
            <w:tcW w:type="dxa" w:w="14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PROD</w:t>
            </w:r>
          </w:p>
        </w:tc>
      </w:tr>
      <w:tr>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b/>
                <w:bCs/>
                <w:color w:val="1B2A4A"/>
                <w:sz w:val="18"/>
                <w:szCs w:val="18"/>
              </w:rPr>
              <w:t xml:space="preserve">Consumer Contract Tests</w:t>
            </w:r>
          </w:p>
        </w:tc>
        <w:tc>
          <w:tcPr>
            <w:tcW w:type="dxa" w:w="16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color w:val="276749"/>
                <w:sz w:val="18"/>
                <w:szCs w:val="18"/>
              </w:rPr>
              <w:t xml:space="preserve">YES — PRIMARY</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4A5568"/>
                <w:sz w:val="18"/>
                <w:szCs w:val="18"/>
              </w:rPr>
              <w:t xml:space="preserve">No</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4A5568"/>
                <w:sz w:val="18"/>
                <w:szCs w:val="18"/>
              </w:rPr>
              <w:t xml:space="preserve">No</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4A5568"/>
                <w:sz w:val="18"/>
                <w:szCs w:val="18"/>
              </w:rPr>
              <w:t xml:space="preserve">No</w:t>
            </w:r>
          </w:p>
        </w:tc>
        <w:tc>
          <w:tcPr>
            <w:tcW w:type="dxa" w:w="14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4A5568"/>
                <w:sz w:val="18"/>
                <w:szCs w:val="18"/>
              </w:rPr>
              <w:t xml:space="preserve">No</w:t>
            </w:r>
          </w:p>
        </w:tc>
      </w:tr>
      <w:tr>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b/>
                <w:bCs/>
                <w:color w:val="1B2A4A"/>
                <w:sz w:val="18"/>
                <w:szCs w:val="18"/>
              </w:rPr>
              <w:t xml:space="preserve">Provider Verification</w:t>
            </w:r>
          </w:p>
        </w:tc>
        <w:tc>
          <w:tcPr>
            <w:tcW w:type="dxa" w:w="16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color w:val="276749"/>
                <w:sz w:val="18"/>
                <w:szCs w:val="18"/>
              </w:rPr>
              <w:t xml:space="preserve">YES — PRIMARY</w:t>
            </w:r>
          </w:p>
        </w:tc>
        <w:tc>
          <w:tcPr>
            <w:tcW w:type="dxa" w:w="16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30"/>
            </w:pPr>
            <w:r>
              <w:rPr>
                <w:rFonts w:ascii="Arial" w:cs="Arial" w:eastAsia="Arial" w:hAnsi="Arial"/>
                <w:color w:val="C05621"/>
                <w:sz w:val="18"/>
                <w:szCs w:val="18"/>
              </w:rPr>
              <w:t xml:space="preserve">Optional</w:t>
            </w:r>
          </w:p>
        </w:tc>
        <w:tc>
          <w:tcPr>
            <w:tcW w:type="dxa" w:w="16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color w:val="276749"/>
                <w:sz w:val="18"/>
                <w:szCs w:val="18"/>
              </w:rPr>
              <w:t xml:space="preserve">YES — Validate</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4A5568"/>
                <w:sz w:val="18"/>
                <w:szCs w:val="18"/>
              </w:rPr>
              <w:t xml:space="preserve">No</w:t>
            </w:r>
          </w:p>
        </w:tc>
        <w:tc>
          <w:tcPr>
            <w:tcW w:type="dxa" w:w="14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4A5568"/>
                <w:sz w:val="18"/>
                <w:szCs w:val="18"/>
              </w:rPr>
              <w:t xml:space="preserve">No</w:t>
            </w:r>
          </w:p>
        </w:tc>
      </w:tr>
      <w:tr>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b/>
                <w:bCs/>
                <w:color w:val="1B2A4A"/>
                <w:sz w:val="18"/>
                <w:szCs w:val="18"/>
              </w:rPr>
              <w:t xml:space="preserve">can-i-deploy (Broker)</w:t>
            </w:r>
          </w:p>
        </w:tc>
        <w:tc>
          <w:tcPr>
            <w:tcW w:type="dxa" w:w="16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color w:val="276749"/>
                <w:sz w:val="18"/>
                <w:szCs w:val="18"/>
              </w:rPr>
              <w:t xml:space="preserve">YES — Before merge</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4A5568"/>
                <w:sz w:val="18"/>
                <w:szCs w:val="18"/>
              </w:rPr>
              <w:t xml:space="preserve">No</w:t>
            </w:r>
          </w:p>
        </w:tc>
        <w:tc>
          <w:tcPr>
            <w:tcW w:type="dxa" w:w="16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color w:val="276749"/>
                <w:sz w:val="18"/>
                <w:szCs w:val="18"/>
              </w:rPr>
              <w:t xml:space="preserve">YES — Before promote</w:t>
            </w:r>
          </w:p>
        </w:tc>
        <w:tc>
          <w:tcPr>
            <w:tcW w:type="dxa" w:w="16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color w:val="276749"/>
                <w:sz w:val="18"/>
                <w:szCs w:val="18"/>
              </w:rPr>
              <w:t xml:space="preserve">YES — Before promote</w:t>
            </w:r>
          </w:p>
        </w:tc>
        <w:tc>
          <w:tcPr>
            <w:tcW w:type="dxa" w:w="146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color w:val="276749"/>
                <w:sz w:val="18"/>
                <w:szCs w:val="18"/>
              </w:rPr>
              <w:t xml:space="preserve">YES — Before promote</w:t>
            </w:r>
          </w:p>
        </w:tc>
      </w:tr>
    </w:tbl>
    <w:p>
      <w:pPr>
        <w:spacing w:before="200"/>
      </w:pPr>
    </w:p>
    <w:p>
      <w:pPr>
        <w:pStyle w:val="Heading3"/>
      </w:pPr>
      <w:r>
        <w:rPr>
          <w:rFonts w:ascii="Arial" w:cs="Arial" w:eastAsia="Arial" w:hAnsi="Arial"/>
          <w:b/>
          <w:bCs/>
          <w:color w:val="1A202C"/>
          <w:sz w:val="22"/>
          <w:szCs w:val="22"/>
        </w:rPr>
        <w:t xml:space="preserve">Detailed Execution Logic Per Stage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6749" w:sz="4"/>
              <w:left w:val="single" w:color="E2E8F0" w:sz="1"/>
              <w:bottom w:val="single" w:color="E2E8F0" w:sz="1"/>
              <w:right w:val="single" w:color="E2E8F0" w:sz="1"/>
            </w:tcBorders>
            <w:shd w:fill="F0FFF4" w:val="clear"/>
            <w:tcMar>
              <w:top w:type="dxa" w:w="100"/>
              <w:left w:type="dxa" w:w="160"/>
              <w:bottom w:type="dxa" w:w="100"/>
              <w:right w:type="dxa" w:w="160"/>
            </w:tcMar>
          </w:tcPr>
          <w:p>
            <w:pPr>
              <w:spacing w:after="60"/>
            </w:pPr>
            <w:r>
              <w:rPr>
                <w:rFonts w:ascii="Arial" w:cs="Arial" w:eastAsia="Arial" w:hAnsi="Arial"/>
                <w:b/>
                <w:bCs/>
                <w:color w:val="276749"/>
                <w:sz w:val="22"/>
                <w:szCs w:val="22"/>
              </w:rPr>
              <w:t xml:space="preserve">CI (Every Pull Request) — Primary Execution Point</w:t>
            </w:r>
          </w:p>
          <w:p>
            <w:pPr>
              <w:spacing w:after="60"/>
            </w:pPr>
            <w:r>
              <w:rPr>
                <w:rFonts w:ascii="Arial" w:cs="Arial" w:eastAsia="Arial" w:hAnsi="Arial"/>
                <w:color w:val="1A202C"/>
                <w:sz w:val="21"/>
                <w:szCs w:val="21"/>
              </w:rPr>
              <w:t xml:space="preserve">This is where 90% of contract testing happens. Both consumer and provider tests run here.</w:t>
            </w:r>
          </w:p>
          <w:p>
            <w:pPr>
              <w:spacing w:after="40"/>
            </w:pPr>
            <w:r>
              <w:rPr>
                <w:rFonts w:ascii="Arial" w:cs="Arial" w:eastAsia="Arial" w:hAnsi="Arial"/>
                <w:b/>
                <w:bCs/>
                <w:color w:val="285E61"/>
                <w:sz w:val="20"/>
                <w:szCs w:val="20"/>
              </w:rPr>
              <w:t xml:space="preserve">Consumer Contract Tests in CI:</w:t>
            </w:r>
          </w:p>
          <w:p>
            <w:pPr>
              <w:spacing w:after="30"/>
            </w:pPr>
            <w:r>
              <w:rPr>
                <w:rFonts w:ascii="Arial" w:cs="Arial" w:eastAsia="Arial" w:hAnsi="Arial"/>
                <w:color w:val="1A202C"/>
                <w:sz w:val="19"/>
                <w:szCs w:val="19"/>
              </w:rPr>
              <w:t xml:space="preserve">Run on the consumer’s PR. They test against a mock (no real provider needed), so they are fast (&lt; 30s) and reliable. On success, the generated Pact file is published to the Broker tagged with the branch/commit.</w:t>
            </w:r>
          </w:p>
          <w:p>
            <w:pPr>
              <w:spacing w:after="40"/>
            </w:pPr>
            <w:r>
              <w:rPr>
                <w:rFonts w:ascii="Arial" w:cs="Arial" w:eastAsia="Arial" w:hAnsi="Arial"/>
                <w:b/>
                <w:bCs/>
                <w:color w:val="2C5282"/>
                <w:sz w:val="20"/>
                <w:szCs w:val="20"/>
              </w:rPr>
              <w:t xml:space="preserve">Provider Verification in CI:</w:t>
            </w:r>
          </w:p>
          <w:p>
            <w:pPr>
              <w:spacing w:after="30"/>
            </w:pPr>
            <w:r>
              <w:rPr>
                <w:rFonts w:ascii="Arial" w:cs="Arial" w:eastAsia="Arial" w:hAnsi="Arial"/>
                <w:color w:val="1A202C"/>
                <w:sz w:val="19"/>
                <w:szCs w:val="19"/>
              </w:rPr>
              <w:t xml:space="preserve">Run on the provider’s PR. The provider starts locally (in-process or Docker), pulls consumer contracts from the Broker, and replays them against the real service. This catches breaking changes before they merge. On success, verification results are published back to the Broker.</w:t>
            </w:r>
          </w:p>
          <w:p>
            <w:pPr>
              <w:spacing w:after="40"/>
            </w:pPr>
            <w:r>
              <w:rPr>
                <w:rFonts w:ascii="Arial" w:cs="Arial" w:eastAsia="Arial" w:hAnsi="Arial"/>
                <w:b/>
                <w:bCs/>
                <w:color w:val="6B46C1"/>
                <w:sz w:val="20"/>
                <w:szCs w:val="20"/>
              </w:rPr>
              <w:t xml:space="preserve">can-i-deploy in CI:</w:t>
            </w:r>
          </w:p>
          <w:p>
            <w:pPr>
              <w:spacing w:after="0"/>
            </w:pPr>
            <w:r>
              <w:rPr>
                <w:rFonts w:ascii="Arial" w:cs="Arial" w:eastAsia="Arial" w:hAnsi="Arial"/>
                <w:color w:val="1A202C"/>
                <w:sz w:val="19"/>
                <w:szCs w:val="19"/>
              </w:rPr>
              <w:t xml:space="preserve">After both consumer and provider tests pass, the pipeline calls pact-broker can-i-deploy to verify that the new version is compatible with all known consumers/providers in the target environment. This is a read-only API call to the Broker—it takes &lt; 2 seconds.</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182CE" w:sz="4"/>
              <w:left w:val="single" w:color="E2E8F0" w:sz="1"/>
              <w:bottom w:val="single" w:color="E2E8F0" w:sz="1"/>
              <w:right w:val="single" w:color="E2E8F0" w:sz="1"/>
            </w:tcBorders>
            <w:shd w:fill="EBF4FF" w:val="clear"/>
            <w:tcMar>
              <w:top w:type="dxa" w:w="100"/>
              <w:left w:type="dxa" w:w="160"/>
              <w:bottom w:type="dxa" w:w="100"/>
              <w:right w:type="dxa" w:w="160"/>
            </w:tcMar>
          </w:tcPr>
          <w:p>
            <w:pPr>
              <w:spacing w:after="60"/>
            </w:pPr>
            <w:r>
              <w:rPr>
                <w:rFonts w:ascii="Arial" w:cs="Arial" w:eastAsia="Arial" w:hAnsi="Arial"/>
                <w:b/>
                <w:bCs/>
                <w:color w:val="3182CE"/>
                <w:sz w:val="22"/>
                <w:szCs w:val="22"/>
              </w:rPr>
              <w:t xml:space="preserve">DEV Environment — Optional Provider Verification</w:t>
            </w:r>
          </w:p>
          <w:p>
            <w:pPr>
              <w:spacing w:after="60"/>
            </w:pPr>
            <w:r>
              <w:rPr>
                <w:rFonts w:ascii="Arial" w:cs="Arial" w:eastAsia="Arial" w:hAnsi="Arial"/>
                <w:color w:val="1A202C"/>
                <w:sz w:val="21"/>
                <w:szCs w:val="21"/>
              </w:rPr>
              <w:t xml:space="preserve">DEV is typically not used for contract testing because CI covers it. However, in some cases:</w:t>
            </w:r>
          </w:p>
          <w:p>
            <w:pPr>
              <w:pStyle w:val="ListParagraph"/>
              <w:numPr>
                <w:ilvl w:val="0"/>
                <w:numId w:val="7"/>
              </w:numPr>
              <w:spacing w:after="30"/>
            </w:pPr>
            <w:r>
              <w:rPr>
                <w:rFonts w:ascii="Arial" w:cs="Arial" w:eastAsia="Arial" w:hAnsi="Arial"/>
                <w:color w:val="1A202C"/>
                <w:sz w:val="19"/>
                <w:szCs w:val="19"/>
              </w:rPr>
              <w:t xml:space="preserve">If the provider uses external dependencies (databases, third-party APIs) that can’t be easily mocked in CI, running provider verification in DEV against the real infrastructure can add confidence.</w:t>
            </w:r>
          </w:p>
          <w:p>
            <w:pPr>
              <w:pStyle w:val="ListParagraph"/>
              <w:numPr>
                <w:ilvl w:val="0"/>
                <w:numId w:val="7"/>
              </w:numPr>
              <w:spacing w:after="0"/>
            </w:pPr>
            <w:r>
              <w:rPr>
                <w:rFonts w:ascii="Arial" w:cs="Arial" w:eastAsia="Arial" w:hAnsi="Arial"/>
                <w:color w:val="1A202C"/>
                <w:sz w:val="19"/>
                <w:szCs w:val="19"/>
              </w:rPr>
              <w:t xml:space="preserve">For most teams, this stage is skipped for contracts. The smoke tests in DEV (health check, version verification) are sufficient.</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6C1" w:sz="4"/>
              <w:left w:val="single" w:color="E2E8F0" w:sz="1"/>
              <w:bottom w:val="single" w:color="E2E8F0" w:sz="1"/>
              <w:right w:val="single" w:color="E2E8F0" w:sz="1"/>
            </w:tcBorders>
            <w:shd w:fill="FAF5FF" w:val="clear"/>
            <w:tcMar>
              <w:top w:type="dxa" w:w="100"/>
              <w:left w:type="dxa" w:w="160"/>
              <w:bottom w:type="dxa" w:w="100"/>
              <w:right w:type="dxa" w:w="160"/>
            </w:tcMar>
          </w:tcPr>
          <w:p>
            <w:pPr>
              <w:spacing w:after="60"/>
            </w:pPr>
            <w:r>
              <w:rPr>
                <w:rFonts w:ascii="Arial" w:cs="Arial" w:eastAsia="Arial" w:hAnsi="Arial"/>
                <w:b/>
                <w:bCs/>
                <w:color w:val="6B46C1"/>
                <w:sz w:val="22"/>
                <w:szCs w:val="22"/>
              </w:rPr>
              <w:t xml:space="preserve">TEST Environment — Provider Verification + can-i-deploy</w:t>
            </w:r>
          </w:p>
          <w:p>
            <w:pPr>
              <w:spacing w:after="60"/>
            </w:pPr>
            <w:r>
              <w:rPr>
                <w:rFonts w:ascii="Arial" w:cs="Arial" w:eastAsia="Arial" w:hAnsi="Arial"/>
                <w:color w:val="1A202C"/>
                <w:sz w:val="21"/>
                <w:szCs w:val="21"/>
              </w:rPr>
              <w:t xml:space="preserve">TEST is the primary integration environment. Contract tests here verify contracts against real dependencies:</w:t>
            </w:r>
          </w:p>
          <w:p>
            <w:pPr>
              <w:spacing w:after="40"/>
            </w:pPr>
            <w:r>
              <w:rPr>
                <w:rFonts w:ascii="Arial" w:cs="Arial" w:eastAsia="Arial" w:hAnsi="Arial"/>
                <w:b/>
                <w:bCs/>
                <w:color w:val="2C5282"/>
                <w:sz w:val="20"/>
                <w:szCs w:val="20"/>
              </w:rPr>
              <w:t xml:space="preserve">Provider Verification in TEST:</w:t>
            </w:r>
          </w:p>
          <w:p>
            <w:pPr>
              <w:spacing w:after="30"/>
            </w:pPr>
            <w:r>
              <w:rPr>
                <w:rFonts w:ascii="Arial" w:cs="Arial" w:eastAsia="Arial" w:hAnsi="Arial"/>
                <w:color w:val="1A202C"/>
                <w:sz w:val="19"/>
                <w:szCs w:val="19"/>
              </w:rPr>
              <w:t xml:space="preserve">After the hotfix is deployed to TEST, provider verification runs again—this time against the real deployed service with real databases and real downstream dependencies. This catches environment-specific issues that CI mocks might miss (e.g., database schema mismatches, network policies).</w:t>
            </w:r>
          </w:p>
          <w:p>
            <w:pPr>
              <w:spacing w:after="40"/>
            </w:pPr>
            <w:r>
              <w:rPr>
                <w:rFonts w:ascii="Arial" w:cs="Arial" w:eastAsia="Arial" w:hAnsi="Arial"/>
                <w:b/>
                <w:bCs/>
                <w:color w:val="6B46C1"/>
                <w:sz w:val="20"/>
                <w:szCs w:val="20"/>
              </w:rPr>
              <w:t xml:space="preserve">can-i-deploy before promoting to UAT:</w:t>
            </w:r>
          </w:p>
          <w:p>
            <w:pPr>
              <w:spacing w:after="0"/>
            </w:pPr>
            <w:r>
              <w:rPr>
                <w:rFonts w:ascii="Arial" w:cs="Arial" w:eastAsia="Arial" w:hAnsi="Arial"/>
                <w:color w:val="1A202C"/>
                <w:sz w:val="19"/>
                <w:szCs w:val="19"/>
              </w:rPr>
              <w:t xml:space="preserve">Before the ServiceNow CR promotes the build from TEST to UAT, the pipeline calls can-i-deploy to verify: “Is this version compatible with what’s currently in UAT?” This prevents deploying a provider change to UAT if a consumer in UAT hasn’t been verified against the new contract.</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621" w:sz="4"/>
              <w:left w:val="single" w:color="E2E8F0" w:sz="1"/>
              <w:bottom w:val="single" w:color="E2E8F0" w:sz="1"/>
              <w:right w:val="single" w:color="E2E8F0" w:sz="1"/>
            </w:tcBorders>
            <w:shd w:fill="FFFAF0" w:val="clear"/>
            <w:tcMar>
              <w:top w:type="dxa" w:w="100"/>
              <w:left w:type="dxa" w:w="160"/>
              <w:bottom w:type="dxa" w:w="100"/>
              <w:right w:type="dxa" w:w="160"/>
            </w:tcMar>
          </w:tcPr>
          <w:p>
            <w:pPr>
              <w:spacing w:after="60"/>
            </w:pPr>
            <w:r>
              <w:rPr>
                <w:rFonts w:ascii="Arial" w:cs="Arial" w:eastAsia="Arial" w:hAnsi="Arial"/>
                <w:b/>
                <w:bCs/>
                <w:color w:val="C05621"/>
                <w:sz w:val="22"/>
                <w:szCs w:val="22"/>
              </w:rPr>
              <w:t xml:space="preserve">UAT and PROD — can-i-deploy Only (No Contract Test Execution)</w:t>
            </w:r>
          </w:p>
          <w:p>
            <w:pPr>
              <w:spacing w:after="60"/>
            </w:pPr>
            <w:r>
              <w:rPr>
                <w:rFonts w:ascii="Arial" w:cs="Arial" w:eastAsia="Arial" w:hAnsi="Arial"/>
                <w:color w:val="1A202C"/>
                <w:sz w:val="21"/>
                <w:szCs w:val="21"/>
              </w:rPr>
              <w:t xml:space="preserve">In UAT and PROD, we do NOT run contract tests. We only use the Broker’s can-i-deploy check:</w:t>
            </w:r>
          </w:p>
          <w:p>
            <w:pPr>
              <w:spacing w:after="40"/>
            </w:pPr>
            <w:r>
              <w:rPr>
                <w:rFonts w:ascii="Arial" w:cs="Arial" w:eastAsia="Arial" w:hAnsi="Arial"/>
                <w:b/>
                <w:bCs/>
                <w:color w:val="C05621"/>
                <w:sz w:val="20"/>
                <w:szCs w:val="20"/>
              </w:rPr>
              <w:t xml:space="preserve">Why no contract test execution?</w:t>
            </w:r>
          </w:p>
          <w:p>
            <w:pPr>
              <w:pStyle w:val="ListParagraph"/>
              <w:numPr>
                <w:ilvl w:val="0"/>
                <w:numId w:val="8"/>
              </w:numPr>
              <w:spacing w:after="30"/>
            </w:pPr>
            <w:r>
              <w:rPr>
                <w:rFonts w:ascii="Arial" w:cs="Arial" w:eastAsia="Arial" w:hAnsi="Arial"/>
                <w:color w:val="1A202C"/>
                <w:sz w:val="19"/>
                <w:szCs w:val="19"/>
              </w:rPr>
              <w:t xml:space="preserve">Contract tests have already passed in CI and TEST. Running them again adds time without adding value.</w:t>
            </w:r>
          </w:p>
          <w:p>
            <w:pPr>
              <w:pStyle w:val="ListParagraph"/>
              <w:numPr>
                <w:ilvl w:val="0"/>
                <w:numId w:val="8"/>
              </w:numPr>
              <w:spacing w:after="30"/>
            </w:pPr>
            <w:r>
              <w:rPr>
                <w:rFonts w:ascii="Arial" w:cs="Arial" w:eastAsia="Arial" w:hAnsi="Arial"/>
                <w:color w:val="1A202C"/>
                <w:sz w:val="19"/>
                <w:szCs w:val="19"/>
              </w:rPr>
              <w:t xml:space="preserve">UAT is for business validation, not for re-running developer-level tests.</w:t>
            </w:r>
          </w:p>
          <w:p>
            <w:pPr>
              <w:pStyle w:val="ListParagraph"/>
              <w:numPr>
                <w:ilvl w:val="0"/>
                <w:numId w:val="8"/>
              </w:numPr>
              <w:spacing w:after="30"/>
            </w:pPr>
            <w:r>
              <w:rPr>
                <w:rFonts w:ascii="Arial" w:cs="Arial" w:eastAsia="Arial" w:hAnsi="Arial"/>
                <w:color w:val="1A202C"/>
                <w:sz w:val="19"/>
                <w:szCs w:val="19"/>
              </w:rPr>
              <w:t xml:space="preserve">PROD should have the minimum deployment overhead for speed. Contract verification was already done.</w:t>
            </w:r>
          </w:p>
          <w:p>
            <w:pPr>
              <w:spacing w:after="40"/>
            </w:pPr>
            <w:r>
              <w:rPr>
                <w:rFonts w:ascii="Arial" w:cs="Arial" w:eastAsia="Arial" w:hAnsi="Arial"/>
                <w:b/>
                <w:bCs/>
                <w:color w:val="6B46C1"/>
                <w:sz w:val="20"/>
                <w:szCs w:val="20"/>
              </w:rPr>
              <w:t xml:space="preserve">What can-i-deploy checks in UAT/PROD:</w:t>
            </w:r>
          </w:p>
          <w:p>
            <w:pPr>
              <w:pStyle w:val="ListParagraph"/>
              <w:numPr>
                <w:ilvl w:val="0"/>
                <w:numId w:val="8"/>
              </w:numPr>
              <w:spacing w:after="30"/>
            </w:pPr>
            <w:r>
              <w:rPr>
                <w:rFonts w:ascii="Arial" w:cs="Arial" w:eastAsia="Arial" w:hAnsi="Arial"/>
                <w:color w:val="1A202C"/>
                <w:sz w:val="19"/>
                <w:szCs w:val="19"/>
              </w:rPr>
              <w:t xml:space="preserve">Before promoting to UAT: “Is this version verified against all consumers/providers in UAT?”</w:t>
            </w:r>
          </w:p>
          <w:p>
            <w:pPr>
              <w:pStyle w:val="ListParagraph"/>
              <w:numPr>
                <w:ilvl w:val="0"/>
                <w:numId w:val="8"/>
              </w:numPr>
              <w:spacing w:after="30"/>
            </w:pPr>
            <w:r>
              <w:rPr>
                <w:rFonts w:ascii="Arial" w:cs="Arial" w:eastAsia="Arial" w:hAnsi="Arial"/>
                <w:color w:val="1A202C"/>
                <w:sz w:val="19"/>
                <w:szCs w:val="19"/>
              </w:rPr>
              <w:t xml:space="preserve">Before promoting to PROD: “Is this version verified against all consumers/providers in PROD?”</w:t>
            </w:r>
          </w:p>
          <w:p>
            <w:pPr>
              <w:spacing w:after="0"/>
            </w:pPr>
            <w:r>
              <w:rPr>
                <w:rFonts w:ascii="Arial" w:cs="Arial" w:eastAsia="Arial" w:hAnsi="Arial"/>
                <w:color w:val="1A202C"/>
                <w:sz w:val="19"/>
                <w:szCs w:val="19"/>
              </w:rPr>
              <w:t xml:space="preserve">This is a simple API call (&lt; 2 seconds) that queries the Broker’s compatibility matrix. It answers: “Will this deployment break anything?” If not, promote. If yes, block and investigate.</w:t>
            </w:r>
          </w:p>
        </w:tc>
      </w:tr>
    </w:tbl>
    <w:p>
      <w:r>
        <w:br w:type="page"/>
      </w:r>
    </w:p>
    <w:p>
      <w:pPr>
        <w:pStyle w:val="Heading2"/>
      </w:pPr>
      <w:r>
        <w:rPr>
          <w:rFonts w:ascii="Arial" w:cs="Arial" w:eastAsia="Arial" w:hAnsi="Arial"/>
          <w:b/>
          <w:bCs/>
          <w:color w:val="1A202C"/>
          <w:sz w:val="22"/>
          <w:szCs w:val="22"/>
        </w:rPr>
        <w:t xml:space="preserve">Summary: The Contract Testing Flow in the Hotfix Pipeline</w:t>
      </w:r>
    </w:p>
    <w:p>
      <w:pPr>
        <w:pStyle w:val="ListParagraph"/>
        <w:numPr>
          <w:ilvl w:val="0"/>
          <w:numId w:val="4"/>
        </w:numPr>
        <w:spacing w:after="80" w:line="276"/>
      </w:pPr>
      <w:r>
        <w:rPr>
          <w:rFonts w:ascii="Arial" w:cs="Arial" w:eastAsia="Arial" w:hAnsi="Arial"/>
          <w:color w:val="1A202C"/>
          <w:sz w:val="21"/>
          <w:szCs w:val="21"/>
        </w:rPr>
        <w:t xml:space="preserve">Developer creates hotfix on hotfix/* branch, writes/updates consumer contract tests</w:t>
      </w:r>
    </w:p>
    <w:p>
      <w:pPr>
        <w:pStyle w:val="ListParagraph"/>
        <w:numPr>
          <w:ilvl w:val="0"/>
          <w:numId w:val="4"/>
        </w:numPr>
        <w:spacing w:after="80" w:line="276"/>
      </w:pPr>
      <w:r>
        <w:rPr>
          <w:rFonts w:ascii="Arial" w:cs="Arial" w:eastAsia="Arial" w:hAnsi="Arial"/>
          <w:color w:val="1A202C"/>
          <w:sz w:val="21"/>
          <w:szCs w:val="21"/>
        </w:rPr>
        <w:t xml:space="preserve">CI runs consumer tests → generates Pact file → publishes to Broker</w:t>
      </w:r>
    </w:p>
    <w:p>
      <w:pPr>
        <w:pStyle w:val="ListParagraph"/>
        <w:numPr>
          <w:ilvl w:val="0"/>
          <w:numId w:val="4"/>
        </w:numPr>
        <w:spacing w:after="80" w:line="276"/>
      </w:pPr>
      <w:r>
        <w:rPr>
          <w:rFonts w:ascii="Arial" w:cs="Arial" w:eastAsia="Arial" w:hAnsi="Arial"/>
          <w:color w:val="1A202C"/>
          <w:sz w:val="21"/>
          <w:szCs w:val="21"/>
        </w:rPr>
        <w:t xml:space="preserve">CI runs provider verification (if this service is a provider) → publishes result to Broker</w:t>
      </w:r>
    </w:p>
    <w:p>
      <w:pPr>
        <w:pStyle w:val="ListParagraph"/>
        <w:numPr>
          <w:ilvl w:val="0"/>
          <w:numId w:val="4"/>
        </w:numPr>
        <w:spacing w:after="80" w:line="276"/>
      </w:pPr>
      <w:r>
        <w:rPr>
          <w:rFonts w:ascii="Arial" w:cs="Arial" w:eastAsia="Arial" w:hAnsi="Arial"/>
          <w:color w:val="1A202C"/>
          <w:sz w:val="21"/>
          <w:szCs w:val="21"/>
        </w:rPr>
        <w:t xml:space="preserve">CI calls can-i-deploy → confirms compatibility before merge</w:t>
      </w:r>
    </w:p>
    <w:p>
      <w:pPr>
        <w:pStyle w:val="ListParagraph"/>
        <w:numPr>
          <w:ilvl w:val="0"/>
          <w:numId w:val="4"/>
        </w:numPr>
        <w:spacing w:after="80" w:line="276"/>
      </w:pPr>
      <w:r>
        <w:rPr>
          <w:rFonts w:ascii="Arial" w:cs="Arial" w:eastAsia="Arial" w:hAnsi="Arial"/>
          <w:color w:val="1A202C"/>
          <w:sz w:val="21"/>
          <w:szCs w:val="21"/>
        </w:rPr>
        <w:t xml:space="preserve">Merge to release/x.y → release CI re-runs provider verification → Helm chart published</w:t>
      </w:r>
    </w:p>
    <w:p>
      <w:pPr>
        <w:pStyle w:val="ListParagraph"/>
        <w:numPr>
          <w:ilvl w:val="0"/>
          <w:numId w:val="4"/>
        </w:numPr>
        <w:spacing w:after="80" w:line="276"/>
      </w:pPr>
      <w:r>
        <w:rPr>
          <w:rFonts w:ascii="Arial" w:cs="Arial" w:eastAsia="Arial" w:hAnsi="Arial"/>
          <w:color w:val="1A202C"/>
          <w:sz w:val="21"/>
          <w:szCs w:val="21"/>
        </w:rPr>
        <w:t xml:space="preserve">DEV: smoke tests only (contracts already verified in CI)</w:t>
      </w:r>
    </w:p>
    <w:p>
      <w:pPr>
        <w:pStyle w:val="ListParagraph"/>
        <w:numPr>
          <w:ilvl w:val="0"/>
          <w:numId w:val="4"/>
        </w:numPr>
        <w:spacing w:after="80" w:line="276"/>
      </w:pPr>
      <w:r>
        <w:rPr>
          <w:rFonts w:ascii="Arial" w:cs="Arial" w:eastAsia="Arial" w:hAnsi="Arial"/>
          <w:color w:val="1A202C"/>
          <w:sz w:val="21"/>
          <w:szCs w:val="21"/>
        </w:rPr>
        <w:t xml:space="preserve">TEST: provider verification against real infrastructure + can-i-deploy before UAT promotion</w:t>
      </w:r>
    </w:p>
    <w:p>
      <w:pPr>
        <w:pStyle w:val="ListParagraph"/>
        <w:numPr>
          <w:ilvl w:val="0"/>
          <w:numId w:val="4"/>
        </w:numPr>
        <w:spacing w:after="80" w:line="276"/>
      </w:pPr>
      <w:r>
        <w:rPr>
          <w:rFonts w:ascii="Arial" w:cs="Arial" w:eastAsia="Arial" w:hAnsi="Arial"/>
          <w:color w:val="1A202C"/>
          <w:sz w:val="21"/>
          <w:szCs w:val="21"/>
        </w:rPr>
        <w:t xml:space="preserve">UAT: can-i-deploy check only → business sign-off</w:t>
      </w:r>
    </w:p>
    <w:p>
      <w:pPr>
        <w:pStyle w:val="ListParagraph"/>
        <w:numPr>
          <w:ilvl w:val="0"/>
          <w:numId w:val="4"/>
        </w:numPr>
        <w:spacing w:after="80" w:line="276"/>
      </w:pPr>
      <w:r>
        <w:rPr>
          <w:rFonts w:ascii="Arial" w:cs="Arial" w:eastAsia="Arial" w:hAnsi="Arial"/>
          <w:color w:val="1A202C"/>
          <w:sz w:val="21"/>
          <w:szCs w:val="21"/>
        </w:rPr>
        <w:t xml:space="preserve">PROD: can-i-deploy check only → canary deploy → monitor → full rollout</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E2E8F0" w:sz="1"/>
              <w:bottom w:val="single" w:color="E2E8F0" w:sz="1"/>
              <w:right w:val="single" w:color="E2E8F0" w:sz="1"/>
            </w:tcBorders>
            <w:shd w:fill="F7FAFC" w:val="clear"/>
            <w:tcMar>
              <w:top w:type="dxa" w:w="100"/>
              <w:left w:type="dxa" w:w="160"/>
              <w:bottom w:type="dxa" w:w="100"/>
              <w:right w:type="dxa" w:w="160"/>
            </w:tcMar>
          </w:tcPr>
          <w:p>
            <w:pPr>
              <w:spacing w:after="60"/>
            </w:pPr>
            <w:r>
              <w:rPr>
                <w:rFonts w:ascii="Arial" w:cs="Arial" w:eastAsia="Arial" w:hAnsi="Arial"/>
                <w:b/>
                <w:bCs/>
                <w:color w:val="1B2A4A"/>
                <w:sz w:val="22"/>
                <w:szCs w:val="22"/>
              </w:rPr>
              <w:t xml:space="preserve">Key Takeaway</w:t>
            </w:r>
          </w:p>
          <w:p>
            <w:pPr>
              <w:spacing w:after="0"/>
            </w:pPr>
            <w:r>
              <w:rPr>
                <w:rFonts w:ascii="Arial" w:cs="Arial" w:eastAsia="Arial" w:hAnsi="Arial"/>
                <w:color w:val="1A202C"/>
                <w:sz w:val="21"/>
                <w:szCs w:val="21"/>
              </w:rPr>
              <w:t xml:space="preserve">Consumer tests verify expectations (run in CI). Provider tests verify capabilities (run in CI + TEST). The Broker stores results and enables can-i-deploy checks (used in CI, TEST, UAT, PROD). The heaviest testing is shift-left into CI; environments only add real-infrastructure verification and deployment compatibility checks.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A5568"/>
        <w:sz w:val="16"/>
        <w:szCs w:val="16"/>
      </w:rPr>
      <w:t xml:space="preserve">Lightweight Test Maturity Matrix &amp; Contract Testing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108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8"/>
    <w:lvlOverride w:ilvl="0">
      <w:startOverride w:val="1"/>
    </w:lvlOverride>
  </w:num>
  <w:num w:numId="5">
    <w:abstractNumId w:val="9"/>
    <w:lvlOverride w:ilvl="0">
      <w:startOverride w:val="1"/>
    </w:lvlOverride>
  </w:num>
  <w:num w:numId="6">
    <w:abstractNumId w:val="4"/>
    <w:lvlOverride w:ilvl="0">
      <w:startOverride w:val="1"/>
    </w:lvlOverride>
  </w:num>
  <w:num w:numId="7">
    <w:abstractNumId w:val="5"/>
    <w:lvlOverride w:ilvl="0">
      <w:startOverride w:val="1"/>
    </w:lvlOverride>
  </w:num>
  <w:num w:numId="8">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182C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2026-02-17T16:43:38.039Z</dcterms:created>
  <dcterms:modified xsi:type="dcterms:W3CDTF">2026-02-17T16:43:38.039Z</dcterms:modified>
</cp:coreProperties>
</file>

<file path=docProps/custom.xml><?xml version="1.0" encoding="utf-8"?>
<Properties xmlns="http://schemas.openxmlformats.org/officeDocument/2006/custom-properties" xmlns:vt="http://schemas.openxmlformats.org/officeDocument/2006/docPropsVTypes"/>
</file>