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247B70">
      <w:pPr>
        <w:pBdr/>
        <w:spacing w:after="0" w:line="240" w:lineRule="auto"/>
        <w:ind w:hanging="2"/>
        <w:jc w:val="both"/>
        <w:rPr>
          <w:rStyle w:val="891"/>
          <w:rFonts w:ascii="Times New Roman" w:hAnsi="Times New Roman" w:eastAsia="Times New Roman" w:cs="Times New Roman"/>
          <w:b/>
          <w:bCs/>
          <w:sz w:val="24"/>
          <w:szCs w:val="24"/>
          <w:highlight w:val="none"/>
        </w:rPr>
      </w:pPr>
      <w:r>
        <w:rPr>
          <w:rStyle w:val="891"/>
          <w:rFonts w:ascii="Times New Roman" w:hAnsi="Times New Roman" w:eastAsia="Times New Roman" w:cs="Times New Roman"/>
          <w:b/>
          <w:bCs/>
          <w:sz w:val="24"/>
          <w:szCs w:val="24"/>
          <w:lang w:val="en-GB"/>
        </w:rPr>
      </w:r>
      <w:r>
        <w:rPr>
          <w:rStyle w:val="891"/>
          <w:rFonts w:ascii="Times New Roman" w:hAnsi="Times New Roman" w:eastAsia="Times New Roman" w:cs="Times New Roman"/>
          <w:b/>
          <w:bCs/>
          <w:sz w:val="24"/>
          <w:szCs w:val="24"/>
          <w:lang w:val="en-GB"/>
        </w:rPr>
        <w:t xml:space="preserve">Forecasting Cardiovascular Medication Utilisation During Flood Disasters: A Multi-Horizon Comparison of XGBoost, LSTM and Temporal Fusion Transformer</w:t>
      </w:r>
      <w:r>
        <w:rPr>
          <w:rFonts w:ascii="Times New Roman" w:hAnsi="Times New Roman" w:cs="Times New Roman"/>
          <w:b/>
          <w:bCs/>
          <w:sz w:val="24"/>
          <w:szCs w:val="24"/>
          <w:lang w:val="en-GB"/>
        </w:rPr>
      </w:r>
      <w:r>
        <w:rPr>
          <w:rStyle w:val="891"/>
          <w:rFonts w:ascii="Times New Roman" w:hAnsi="Times New Roman" w:eastAsia="Times New Roman" w:cs="Times New Roman"/>
          <w:b/>
          <w:bCs/>
          <w:sz w:val="24"/>
          <w:szCs w:val="24"/>
          <w:highlight w:val="none"/>
          <w:lang w:val="en-GB"/>
        </w:rPr>
      </w:r>
    </w:p>
    <w:p w14:paraId="430FFCF7">
      <w:pPr>
        <w:pBdr/>
        <w:spacing w:after="0" w:line="240" w:lineRule="auto"/>
        <w:ind w:hanging="2"/>
        <w:jc w:val="both"/>
        <w:rPr>
          <w:rFonts w:ascii="Times New Roman" w:hAnsi="Times New Roman" w:cs="Times New Roman"/>
          <w:b/>
          <w:bCs/>
          <w:sz w:val="22"/>
          <w:szCs w:val="22"/>
        </w:rPr>
      </w:pPr>
      <w:r>
        <w:rPr>
          <w:rStyle w:val="891"/>
          <w:rFonts w:ascii="Times New Roman" w:hAnsi="Times New Roman" w:eastAsia="Times New Roman" w:cs="Times New Roman"/>
          <w:b/>
          <w:bCs/>
          <w:sz w:val="22"/>
          <w:szCs w:val="22"/>
          <w:highlight w:val="none"/>
          <w:lang w:val="en-GB" w:bidi="en-GB"/>
        </w:rPr>
      </w:r>
      <w:r>
        <w:rPr>
          <w:rStyle w:val="891"/>
          <w:rFonts w:ascii="Times New Roman" w:hAnsi="Times New Roman" w:eastAsia="Times New Roman" w:cs="Times New Roman"/>
          <w:b/>
          <w:bCs/>
          <w:sz w:val="22"/>
          <w:szCs w:val="22"/>
          <w:highlight w:val="none"/>
          <w:lang w:val="en-GB"/>
        </w:rPr>
      </w:r>
      <w:r>
        <w:rPr>
          <w:rFonts w:ascii="Times New Roman" w:hAnsi="Times New Roman" w:cs="Times New Roman"/>
          <w:b/>
          <w:bCs/>
          <w:sz w:val="22"/>
          <w:szCs w:val="22"/>
          <w:lang w:val="en-GB"/>
        </w:rPr>
      </w:r>
    </w:p>
    <w:p w14:paraId="12E1977C">
      <w:pPr>
        <w:pBdr/>
        <w:spacing w:after="0" w:line="240" w:lineRule="auto"/>
        <w:ind w:firstLine="0" w:left="0"/>
        <w:jc w:val="both"/>
        <w:rPr>
          <w:rFonts w:ascii="Times New Roman" w:hAnsi="Times New Roman" w:cs="Times New Roman"/>
          <w:sz w:val="22"/>
          <w:szCs w:val="22"/>
          <w:highlight w:val="none"/>
        </w:rPr>
      </w:pPr>
      <w:r>
        <w:rPr>
          <w:rFonts w:ascii="Times New Roman" w:hAnsi="Times New Roman" w:eastAsia="Times New Roman" w:cs="Times New Roman"/>
          <w:sz w:val="22"/>
          <w:szCs w:val="22"/>
          <w:u w:val="single"/>
          <w:lang w:val="en-US"/>
        </w:rPr>
        <w:t xml:space="preserve">Ts. </w:t>
      </w:r>
      <w:r>
        <w:rPr>
          <w:rFonts w:ascii="Times New Roman" w:hAnsi="Times New Roman" w:eastAsia="Times New Roman" w:cs="Times New Roman"/>
          <w:sz w:val="22"/>
          <w:szCs w:val="22"/>
          <w:u w:val="single"/>
          <w:lang w:val="en-GB"/>
        </w:rPr>
        <w:t xml:space="preserve">Mohd Radzi Ab. Aziz</w:t>
      </w:r>
      <w:r>
        <w:rPr>
          <w:rFonts w:ascii="Times New Roman" w:hAnsi="Times New Roman" w:eastAsia="Times New Roman" w:cs="Times New Roman"/>
          <w:sz w:val="22"/>
          <w:szCs w:val="22"/>
          <w:u w:val="none"/>
          <w:vertAlign w:val="superscript"/>
          <w:lang w:val="en-GB"/>
        </w:rPr>
        <w:t xml:space="preserve">1</w:t>
      </w:r>
      <w:r>
        <w:rPr>
          <w:rFonts w:ascii="Times New Roman" w:hAnsi="Times New Roman" w:eastAsia="Times New Roman" w:cs="Times New Roman"/>
          <w:sz w:val="22"/>
          <w:szCs w:val="22"/>
          <w:u w:val="none"/>
          <w:vertAlign w:val="superscript"/>
          <w:lang w:val="en-US"/>
        </w:rPr>
        <w:t xml:space="preserve">,2</w:t>
      </w:r>
      <w:r>
        <w:rPr>
          <w:rFonts w:ascii="Times New Roman" w:hAnsi="Times New Roman" w:eastAsia="Times New Roman" w:cs="Times New Roman"/>
          <w:sz w:val="22"/>
          <w:szCs w:val="22"/>
          <w:lang w:val="en-GB"/>
        </w:rPr>
        <w:t xml:space="preserve">, </w:t>
      </w:r>
      <w:r>
        <w:rPr>
          <w:rFonts w:ascii="Times New Roman" w:hAnsi="Times New Roman" w:eastAsia="Times New Roman" w:cs="Times New Roman"/>
          <w:sz w:val="22"/>
          <w:szCs w:val="22"/>
          <w:lang w:val="en-US"/>
        </w:rPr>
        <w:t xml:space="preserve">Assoc. Prof. Dr. </w:t>
      </w:r>
      <w:r>
        <w:rPr>
          <w:rFonts w:ascii="Times New Roman" w:hAnsi="Times New Roman" w:eastAsia="Times New Roman" w:cs="Times New Roman"/>
          <w:sz w:val="22"/>
          <w:szCs w:val="22"/>
          <w:lang w:val="en-GB"/>
        </w:rPr>
        <w:t xml:space="preserve">Hanis Hanum </w:t>
      </w:r>
      <w:r>
        <w:rPr>
          <w:rFonts w:ascii="Times New Roman" w:hAnsi="Times New Roman" w:eastAsia="Times New Roman" w:cs="Times New Roman"/>
          <w:sz w:val="22"/>
          <w:szCs w:val="22"/>
          <w:lang w:val="en-GB"/>
        </w:rPr>
        <w:t xml:space="preserve">Zulkifly</w:t>
      </w:r>
      <w:r>
        <w:rPr>
          <w:rFonts w:ascii="Times New Roman" w:hAnsi="Times New Roman" w:eastAsia="Times New Roman" w:cs="Times New Roman"/>
          <w:sz w:val="22"/>
          <w:szCs w:val="22"/>
          <w:vertAlign w:val="superscript"/>
          <w:lang w:val="en-US"/>
        </w:rPr>
        <w:t xml:space="preserve">2</w:t>
      </w:r>
      <w:r>
        <w:rPr>
          <w:rFonts w:ascii="Times New Roman" w:hAnsi="Times New Roman" w:eastAsia="Times New Roman" w:cs="Times New Roman"/>
          <w:sz w:val="22"/>
          <w:szCs w:val="22"/>
          <w:lang w:val="en-GB"/>
        </w:rPr>
        <w:t xml:space="preserve">, </w:t>
      </w:r>
      <w:r>
        <w:rPr>
          <w:rFonts w:ascii="Times New Roman" w:hAnsi="Times New Roman" w:eastAsia="Times New Roman" w:cs="Times New Roman"/>
          <w:sz w:val="22"/>
          <w:szCs w:val="22"/>
          <w:lang w:val="en-US"/>
        </w:rPr>
        <w:t xml:space="preserve">Dr. </w:t>
      </w:r>
      <w:r>
        <w:rPr>
          <w:rFonts w:ascii="Times New Roman" w:hAnsi="Times New Roman" w:eastAsia="Times New Roman" w:cs="Times New Roman"/>
          <w:sz w:val="22"/>
          <w:szCs w:val="22"/>
          <w:lang w:val="en-GB"/>
        </w:rPr>
        <w:t xml:space="preserve">Abdul Haniff Mohamad Yahaya</w:t>
      </w:r>
      <w:r>
        <w:rPr>
          <w:rFonts w:ascii="Times New Roman" w:hAnsi="Times New Roman" w:eastAsia="Times New Roman" w:cs="Times New Roman"/>
          <w:sz w:val="22"/>
          <w:szCs w:val="22"/>
          <w:vertAlign w:val="superscript"/>
          <w:lang w:val="en-US"/>
        </w:rPr>
        <w:t xml:space="preserve">1</w:t>
      </w:r>
      <w:r>
        <w:rPr>
          <w:rFonts w:ascii="Times New Roman" w:hAnsi="Times New Roman" w:eastAsia="Times New Roman" w:cs="Times New Roman"/>
          <w:sz w:val="22"/>
          <w:szCs w:val="22"/>
          <w:lang w:val="en-GB"/>
        </w:rPr>
        <w:t xml:space="preserve">, </w:t>
      </w:r>
      <w:r>
        <w:rPr>
          <w:rFonts w:ascii="Times New Roman" w:hAnsi="Times New Roman" w:eastAsia="Times New Roman" w:cs="Times New Roman"/>
          <w:sz w:val="22"/>
          <w:szCs w:val="22"/>
          <w:lang w:val="en-US"/>
        </w:rPr>
        <w:t xml:space="preserve">Assoc. Prof. Dr. </w:t>
      </w:r>
      <w:r>
        <w:rPr>
          <w:rFonts w:ascii="Times New Roman" w:hAnsi="Times New Roman" w:eastAsia="Times New Roman" w:cs="Times New Roman"/>
          <w:sz w:val="22"/>
          <w:szCs w:val="22"/>
          <w:lang w:val="en-GB"/>
        </w:rPr>
        <w:t xml:space="preserve">Fazlin Mohd Fauzi</w:t>
      </w:r>
      <w:r>
        <w:rPr>
          <w:rFonts w:ascii="Times New Roman" w:hAnsi="Times New Roman" w:eastAsia="Times New Roman" w:cs="Times New Roman"/>
          <w:sz w:val="22"/>
          <w:szCs w:val="22"/>
          <w:vertAlign w:val="superscript"/>
          <w:lang w:val="en-US"/>
        </w:rPr>
        <w:t xml:space="preserve">2</w:t>
      </w:r>
      <w:r>
        <w:rPr>
          <w:rFonts w:ascii="Times New Roman" w:hAnsi="Times New Roman" w:cs="Times New Roman"/>
          <w:sz w:val="22"/>
          <w:szCs w:val="22"/>
          <w:lang w:val="en-GB"/>
        </w:rPr>
      </w:r>
      <w:r>
        <w:rPr>
          <w:rFonts w:ascii="Times New Roman" w:hAnsi="Times New Roman" w:cs="Times New Roman"/>
          <w:sz w:val="22"/>
          <w:szCs w:val="22"/>
          <w:highlight w:val="none"/>
          <w:lang w:val="en-GB"/>
        </w:rPr>
      </w:r>
    </w:p>
    <w:p w14:paraId="70477429">
      <w:pPr>
        <w:pBdr/>
        <w:spacing w:after="0" w:line="240" w:lineRule="auto"/>
        <w:ind w:firstLine="0" w:left="0"/>
        <w:jc w:val="both"/>
        <w:rPr>
          <w:rFonts w:ascii="Times New Roman" w:hAnsi="Times New Roman" w:cs="Times New Roman"/>
          <w:sz w:val="22"/>
          <w:szCs w:val="22"/>
          <w:highlight w:val="none"/>
        </w:rPr>
      </w:pPr>
      <w:r>
        <w:rPr>
          <w:rFonts w:ascii="Times New Roman" w:hAnsi="Times New Roman" w:cs="Times New Roman"/>
          <w:sz w:val="22"/>
          <w:szCs w:val="22"/>
          <w:highlight w:val="none"/>
          <w:lang w:val="en-GB" w:bidi="en-GB"/>
        </w:rPr>
      </w:r>
      <w:r>
        <w:rPr>
          <w:rFonts w:ascii="Times New Roman" w:hAnsi="Times New Roman" w:cs="Times New Roman"/>
          <w:sz w:val="22"/>
          <w:szCs w:val="22"/>
          <w:highlight w:val="none"/>
          <w:lang w:val="en-GB" w:bidi="en-GB"/>
        </w:rPr>
      </w:r>
      <w:r>
        <w:rPr>
          <w:rFonts w:ascii="Times New Roman" w:hAnsi="Times New Roman" w:cs="Times New Roman"/>
          <w:sz w:val="22"/>
          <w:szCs w:val="22"/>
          <w:highlight w:val="none"/>
          <w:lang w:val="en-GB"/>
        </w:rPr>
      </w:r>
    </w:p>
    <w:p w14:paraId="3492DD81">
      <w:pPr>
        <w:pBdr/>
        <w:spacing w:after="0" w:line="240" w:lineRule="auto"/>
        <w:ind w:hanging="2"/>
        <w:jc w:val="both"/>
        <w:rPr>
          <w:rFonts w:ascii="Times New Roman" w:hAnsi="Times New Roman" w:eastAsia="Times New Roman" w:cs="Times New Roman"/>
          <w:bCs/>
          <w:i/>
          <w:sz w:val="22"/>
          <w:szCs w:val="22"/>
        </w:rPr>
      </w:pPr>
      <w:r>
        <w:rPr>
          <w:rFonts w:ascii="Times New Roman" w:hAnsi="Times New Roman" w:eastAsia="Times New Roman" w:cs="Times New Roman"/>
          <w:i/>
          <w:iCs/>
          <w:sz w:val="22"/>
          <w:szCs w:val="22"/>
          <w:vertAlign w:val="superscript"/>
          <w:lang w:val="en-US"/>
        </w:rPr>
        <w:t xml:space="preserve">1</w:t>
      </w:r>
      <w:r>
        <w:rPr>
          <w:rFonts w:ascii="Times New Roman" w:hAnsi="Times New Roman" w:eastAsia="Times New Roman" w:cs="Times New Roman"/>
          <w:i/>
          <w:iCs/>
          <w:sz w:val="22"/>
          <w:szCs w:val="22"/>
          <w:lang w:val="en-GB"/>
        </w:rPr>
        <w:t xml:space="preserve">Pharmacy Policy &amp; Strategic Planning Division</w:t>
      </w:r>
      <w:r>
        <w:rPr>
          <w:rFonts w:ascii="Times New Roman" w:hAnsi="Times New Roman" w:eastAsia="Times New Roman" w:cs="Times New Roman"/>
          <w:i/>
          <w:iCs/>
          <w:sz w:val="22"/>
          <w:szCs w:val="22"/>
          <w:lang w:val="en-GB"/>
        </w:rPr>
        <w:t xml:space="preserve">, Ministry of Health Malaysia, Petaling Jaya, Selangor</w:t>
      </w:r>
      <w:r>
        <w:rPr>
          <w:rFonts w:ascii="Times New Roman" w:hAnsi="Times New Roman" w:eastAsia="Times New Roman" w:cs="Times New Roman"/>
          <w:bCs/>
          <w:i/>
          <w:sz w:val="22"/>
          <w:szCs w:val="22"/>
          <w:lang w:val="en-GB"/>
        </w:rPr>
      </w:r>
      <w:r>
        <w:rPr>
          <w:rFonts w:ascii="Times New Roman" w:hAnsi="Times New Roman" w:eastAsia="Times New Roman" w:cs="Times New Roman"/>
          <w:bCs/>
          <w:i/>
          <w:sz w:val="22"/>
          <w:szCs w:val="22"/>
          <w:lang w:val="en-US"/>
        </w:rPr>
      </w:r>
    </w:p>
    <w:p w14:paraId="2F0D438F">
      <w:pPr>
        <w:pBdr/>
        <w:spacing w:after="0" w:line="240" w:lineRule="auto"/>
        <w:ind w:hanging="2"/>
        <w:jc w:val="both"/>
        <w:rPr>
          <w:rFonts w:ascii="Times New Roman" w:hAnsi="Times New Roman" w:eastAsia="Times New Roman" w:cs="Times New Roman"/>
          <w:bCs/>
          <w:i/>
          <w:sz w:val="22"/>
          <w:szCs w:val="22"/>
        </w:rPr>
      </w:pPr>
      <w:r>
        <w:rPr>
          <w:rFonts w:ascii="Times New Roman" w:hAnsi="Times New Roman" w:eastAsia="Times New Roman" w:cs="Times New Roman"/>
          <w:i/>
          <w:iCs/>
          <w:sz w:val="22"/>
          <w:szCs w:val="22"/>
          <w:lang w:val="en-US"/>
        </w:rPr>
      </w:r>
      <w:bookmarkStart w:id="2" w:name="_heading=h.m8b1nmy1zk5f"/>
      <w:r>
        <w:rPr>
          <w:sz w:val="22"/>
          <w:szCs w:val="22"/>
        </w:rPr>
      </w:r>
      <w:bookmarkEnd w:id="2"/>
      <w:r>
        <w:rPr>
          <w:rFonts w:ascii="Times New Roman" w:hAnsi="Times New Roman" w:eastAsia="Times New Roman" w:cs="Times New Roman"/>
          <w:i/>
          <w:iCs/>
          <w:sz w:val="22"/>
          <w:szCs w:val="22"/>
          <w:vertAlign w:val="superscript"/>
          <w:lang w:val="en-US"/>
        </w:rPr>
        <w:t xml:space="preserve">2</w:t>
      </w:r>
      <w:r>
        <w:rPr>
          <w:rFonts w:ascii="Times New Roman" w:hAnsi="Times New Roman" w:eastAsia="Times New Roman" w:cs="Times New Roman"/>
          <w:i/>
          <w:iCs/>
          <w:sz w:val="22"/>
          <w:szCs w:val="22"/>
          <w:lang w:val="en-GB"/>
        </w:rPr>
        <w:t xml:space="preserve">Faculty of Pharmacy, Universiti </w:t>
      </w:r>
      <w:r>
        <w:rPr>
          <w:rFonts w:ascii="Times New Roman" w:hAnsi="Times New Roman" w:eastAsia="Times New Roman" w:cs="Times New Roman"/>
          <w:i/>
          <w:iCs/>
          <w:sz w:val="22"/>
          <w:szCs w:val="22"/>
          <w:lang w:val="en-GB"/>
        </w:rPr>
        <w:t xml:space="preserve">Teknologi</w:t>
      </w:r>
      <w:r>
        <w:rPr>
          <w:rFonts w:ascii="Times New Roman" w:hAnsi="Times New Roman" w:eastAsia="Times New Roman" w:cs="Times New Roman"/>
          <w:i/>
          <w:iCs/>
          <w:sz w:val="22"/>
          <w:szCs w:val="22"/>
          <w:lang w:val="en-GB"/>
        </w:rPr>
        <w:t xml:space="preserve"> MARA, </w:t>
      </w:r>
      <w:r>
        <w:rPr>
          <w:rFonts w:ascii="Times New Roman" w:hAnsi="Times New Roman" w:eastAsia="Times New Roman" w:cs="Times New Roman"/>
          <w:i/>
          <w:iCs/>
          <w:sz w:val="22"/>
          <w:szCs w:val="22"/>
          <w:lang w:val="en-GB"/>
        </w:rPr>
        <w:t xml:space="preserve">Puncak</w:t>
      </w:r>
      <w:r>
        <w:rPr>
          <w:rFonts w:ascii="Times New Roman" w:hAnsi="Times New Roman" w:eastAsia="Times New Roman" w:cs="Times New Roman"/>
          <w:i/>
          <w:iCs/>
          <w:sz w:val="22"/>
          <w:szCs w:val="22"/>
          <w:lang w:val="en-GB"/>
        </w:rPr>
        <w:t xml:space="preserve"> Alam, Selangor</w:t>
      </w:r>
      <w:r>
        <w:rPr>
          <w:rFonts w:ascii="Times New Roman" w:hAnsi="Times New Roman" w:eastAsia="Times New Roman" w:cs="Times New Roman"/>
          <w:bCs/>
          <w:i/>
          <w:sz w:val="22"/>
          <w:szCs w:val="22"/>
          <w:lang w:val="en-GB"/>
        </w:rPr>
      </w:r>
      <w:r>
        <w:rPr>
          <w:rFonts w:ascii="Times New Roman" w:hAnsi="Times New Roman" w:eastAsia="Times New Roman" w:cs="Times New Roman"/>
          <w:bCs/>
          <w:i/>
          <w:sz w:val="22"/>
          <w:szCs w:val="22"/>
          <w:lang w:val="en-GB"/>
        </w:rPr>
      </w:r>
    </w:p>
    <w:p w14:paraId="49645516">
      <w:pPr>
        <w:pBdr/>
        <w:spacing w:after="0" w:line="240" w:lineRule="auto"/>
        <w:ind w:hanging="2"/>
        <w:jc w:val="center"/>
        <w:rPr>
          <w:rFonts w:ascii="Times New Roman" w:hAnsi="Times New Roman" w:eastAsia="Times New Roman" w:cs="Times New Roman"/>
          <w:bCs/>
          <w:i/>
          <w:sz w:val="22"/>
          <w:szCs w:val="22"/>
        </w:rPr>
      </w:pPr>
      <w:r>
        <w:rPr>
          <w:rFonts w:ascii="Times New Roman" w:hAnsi="Times New Roman" w:eastAsia="Times New Roman" w:cs="Times New Roman"/>
          <w:i/>
          <w:iCs/>
          <w:sz w:val="22"/>
          <w:szCs w:val="22"/>
          <w:lang w:val="en-GB"/>
        </w:rPr>
      </w:r>
      <w:r>
        <w:rPr>
          <w:rFonts w:ascii="Times New Roman" w:hAnsi="Times New Roman" w:eastAsia="Times New Roman" w:cs="Times New Roman"/>
          <w:sz w:val="22"/>
          <w:szCs w:val="22"/>
          <w:lang w:val="en-GB"/>
        </w:rPr>
        <w:br/>
      </w:r>
      <w:r>
        <w:rPr>
          <w:rFonts w:ascii="Times New Roman" w:hAnsi="Times New Roman" w:eastAsia="Times New Roman" w:cs="Times New Roman"/>
          <w:sz w:val="22"/>
          <w:szCs w:val="22"/>
          <w:lang w:val="en-GB"/>
        </w:rPr>
        <w:t xml:space="preserve">Corresponding author</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GB"/>
        </w:rPr>
        <w:t xml:space="preserve">radziaziz@</w:t>
      </w:r>
      <w:r>
        <w:rPr>
          <w:rFonts w:ascii="Times New Roman" w:hAnsi="Times New Roman" w:eastAsia="Times New Roman" w:cs="Times New Roman"/>
          <w:sz w:val="22"/>
          <w:szCs w:val="22"/>
          <w:lang w:val="en-US"/>
        </w:rPr>
        <w:t xml:space="preserve">moh.gov.my</w:t>
      </w:r>
      <w:r>
        <w:rPr>
          <w:rFonts w:ascii="Times New Roman" w:hAnsi="Times New Roman" w:eastAsia="Times New Roman" w:cs="Times New Roman"/>
          <w:bCs/>
          <w:i/>
          <w:sz w:val="22"/>
          <w:szCs w:val="22"/>
          <w:lang w:val="en-GB"/>
        </w:rPr>
      </w:r>
    </w:p>
    <w:p w14:paraId="7EE1AADC">
      <w:pPr>
        <w:pBdr/>
        <w:spacing w:after="0" w:line="240" w:lineRule="auto"/>
        <w:ind w:hanging="2"/>
        <w:jc w:val="center"/>
        <w:rPr>
          <w:rFonts w:ascii="Times New Roman" w:hAnsi="Times New Roman" w:cs="Times New Roman"/>
          <w:sz w:val="22"/>
          <w:szCs w:val="22"/>
        </w:rPr>
      </w:pPr>
      <w:r>
        <w:rPr>
          <w:rFonts w:ascii="Times New Roman" w:hAnsi="Times New Roman" w:cs="Times New Roman"/>
          <w:sz w:val="22"/>
          <w:szCs w:val="22"/>
          <w:lang w:val="en-GB"/>
        </w:rPr>
      </w:r>
      <w:r>
        <w:rPr>
          <w:rFonts w:ascii="Times New Roman" w:hAnsi="Times New Roman" w:cs="Times New Roman"/>
          <w:sz w:val="22"/>
          <w:szCs w:val="22"/>
          <w:lang w:val="en-GB"/>
        </w:rPr>
      </w:r>
      <w:r>
        <w:rPr>
          <w:rFonts w:ascii="Times New Roman" w:hAnsi="Times New Roman" w:cs="Times New Roman"/>
          <w:sz w:val="22"/>
          <w:szCs w:val="22"/>
          <w:lang w:val="en-GB"/>
        </w:rPr>
      </w:r>
    </w:p>
    <w:p w14:paraId="2C444AED">
      <w:pPr>
        <w:pBdr/>
        <w:spacing w:after="0" w:line="240" w:lineRule="auto"/>
        <w:ind w:hanging="2"/>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lang w:val="en-GB"/>
        </w:rPr>
        <w:t xml:space="preserve">ABSTRACT</w:t>
      </w:r>
      <w:r>
        <w:rPr>
          <w:rFonts w:ascii="Times New Roman" w:hAnsi="Times New Roman" w:eastAsia="Times New Roman" w:cs="Times New Roman"/>
          <w:b/>
          <w:bCs/>
          <w:sz w:val="22"/>
          <w:szCs w:val="22"/>
          <w:lang w:val="en-GB"/>
        </w:rPr>
      </w:r>
      <w:r>
        <w:rPr>
          <w:rFonts w:ascii="Times New Roman" w:hAnsi="Times New Roman" w:eastAsia="Times New Roman" w:cs="Times New Roman"/>
          <w:b/>
          <w:bCs/>
          <w:sz w:val="22"/>
          <w:szCs w:val="22"/>
          <w:lang w:val="en-GB"/>
        </w:rPr>
      </w:r>
    </w:p>
    <w:p w14:paraId="31FFEB03">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22"/>
          <w:szCs w:val="22"/>
        </w:rPr>
        <w:t xml:space="preserve">Introduction:</w:t>
      </w:r>
      <w:r>
        <w:rPr>
          <w:rFonts w:ascii="Times New Roman" w:hAnsi="Times New Roman" w:eastAsia="Times New Roman" w:cs="Times New Roman"/>
          <w:color w:val="000000"/>
          <w:sz w:val="22"/>
          <w:szCs w:val="22"/>
        </w:rPr>
        <w:t xml:space="preserve"> Flood disasters can disrupt healthcare services and pharmaceutical supply, </w:t>
      </w:r>
      <w:r>
        <w:rPr>
          <w:rFonts w:ascii="Times New Roman" w:hAnsi="Times New Roman" w:eastAsia="Times New Roman" w:cs="Times New Roman"/>
          <w:color w:val="000000"/>
          <w:sz w:val="22"/>
          <w:szCs w:val="22"/>
        </w:rPr>
        <w:t xml:space="preserve">threatening continuity of care for chronic conditions such as hypertension and hypercholesterolaemia</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highlight w:val="none"/>
        </w:rPr>
        <w:t xml:space="preserve">F</w:t>
      </w:r>
      <w:r>
        <w:rPr>
          <w:rFonts w:ascii="Times New Roman" w:hAnsi="Times New Roman" w:eastAsia="Times New Roman" w:cs="Times New Roman"/>
          <w:color w:val="000000"/>
          <w:sz w:val="22"/>
          <w:szCs w:val="22"/>
          <w:highlight w:val="none"/>
        </w:rPr>
        <w:t xml:space="preserve">orecasting medication utilisation across different horizons may therefore support medication planning and preparedness during disaster periods. This study aimed to compare three forecasting models for cardiovascular medication utilisation during flood disa</w:t>
      </w:r>
      <w:r>
        <w:rPr>
          <w:rFonts w:ascii="Times New Roman" w:hAnsi="Times New Roman" w:eastAsia="Times New Roman" w:cs="Times New Roman"/>
          <w:color w:val="000000"/>
          <w:sz w:val="22"/>
          <w:szCs w:val="22"/>
          <w:highlight w:val="none"/>
        </w:rPr>
        <w:t xml:space="preserve">sters in Malaysian public healthcare facilities.</w:t>
      </w: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rPr>
      </w:r>
    </w:p>
    <w:p w14:paraId="2FDDB083">
      <w:pPr>
        <w:pBdr>
          <w:top w:val="none" w:color="000000" w:sz="4" w:space="0"/>
          <w:left w:val="none" w:color="000000" w:sz="4" w:space="0"/>
          <w:bottom w:val="none" w:color="000000" w:sz="4" w:space="0"/>
          <w:right w:val="none" w:color="000000" w:sz="4" w:space="0"/>
        </w:pBdr>
        <w:spacing w:line="240" w:lineRule="auto"/>
        <w:ind w:right="0" w:firstLine="0" w:left="0"/>
        <w:jc w:val="both"/>
        <w:rPr>
          <w:sz w:val="22"/>
          <w:szCs w:val="22"/>
        </w:rPr>
      </w:pPr>
      <w:r>
        <w:rPr>
          <w:rFonts w:ascii="Times New Roman" w:hAnsi="Times New Roman" w:eastAsia="Times New Roman" w:cs="Times New Roman"/>
          <w:b/>
          <w:color w:val="000000"/>
          <w:sz w:val="22"/>
          <w:szCs w:val="22"/>
        </w:rPr>
        <w:t xml:space="preserve">Methodology:</w:t>
      </w:r>
      <w:r>
        <w:rPr>
          <w:rFonts w:ascii="Times New Roman" w:hAnsi="Times New Roman" w:eastAsia="Times New Roman" w:cs="Times New Roman"/>
          <w:color w:val="000000"/>
          <w:sz w:val="22"/>
          <w:szCs w:val="22"/>
        </w:rPr>
        <w:t xml:space="preserve"> Daily dispensing data for amlodipine, perindopril, and simvastatin from 24 public healthcare facilities in flood-prone districts of Malaysia (2017–2022) were integrated with hydrological, meteorological, and flood-related variables. XGBoost, Long Short-Te</w:t>
      </w:r>
      <w:r>
        <w:rPr>
          <w:rFonts w:ascii="Times New Roman" w:hAnsi="Times New Roman" w:eastAsia="Times New Roman" w:cs="Times New Roman"/>
          <w:color w:val="000000"/>
          <w:sz w:val="22"/>
          <w:szCs w:val="22"/>
        </w:rPr>
        <w:t xml:space="preserve">rm Memory (LSTM), and Temporal Fusion Transformer (TFT) models were developed to forecast 7-, 14-, 21-, and 28-day utilisation. Models were evaluated using an out-of-sample 2023 test set across overall, flood, and non-flood observations using Symmetric Mea</w:t>
      </w:r>
      <w:r>
        <w:rPr>
          <w:rFonts w:ascii="Times New Roman" w:hAnsi="Times New Roman" w:eastAsia="Times New Roman" w:cs="Times New Roman"/>
          <w:color w:val="000000"/>
          <w:sz w:val="22"/>
          <w:szCs w:val="22"/>
        </w:rPr>
        <w:t xml:space="preserve">n Absolute Percentage Error (sMAPE) and Mean Absolute Scaled Error (MASE).</w:t>
      </w:r>
      <w:r>
        <w:rPr>
          <w:sz w:val="22"/>
          <w:szCs w:val="22"/>
        </w:rPr>
      </w:r>
    </w:p>
    <w:p w14:paraId="00706A3E">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b/>
          <w:color w:val="000000"/>
          <w:sz w:val="22"/>
          <w:szCs w:val="22"/>
        </w:rPr>
        <w:t xml:space="preserve">Results:</w:t>
      </w:r>
      <w:r>
        <w:rPr>
          <w:rFonts w:ascii="Times New Roman" w:hAnsi="Times New Roman" w:eastAsia="Times New Roman" w:cs="Times New Roman"/>
          <w:color w:val="000000"/>
          <w:sz w:val="22"/>
          <w:szCs w:val="22"/>
        </w:rPr>
        <w:t xml:space="preserve"> All models outperformed the naïve forecasting baseline (MASE &lt;1), indicating that cardiovascular medication utilisation could be forecast across all tested horizons. </w:t>
      </w:r>
      <w:r>
        <w:rPr>
          <w:rFonts w:ascii="Times New Roman" w:hAnsi="Times New Roman" w:eastAsia="Times New Roman" w:cs="Times New Roman"/>
          <w:color w:val="000000"/>
          <w:sz w:val="22"/>
          <w:szCs w:val="22"/>
        </w:rPr>
        <w:t xml:space="preserve">Among the three models</w:t>
      </w:r>
      <w:r>
        <w:rPr>
          <w:rFonts w:ascii="Times New Roman" w:hAnsi="Times New Roman" w:eastAsia="Times New Roman" w:cs="Times New Roman"/>
          <w:color w:val="000000"/>
          <w:sz w:val="22"/>
          <w:szCs w:val="22"/>
          <w:lang w:val="en-US"/>
        </w:rPr>
        <w:t xml:space="preserve">, </w:t>
      </w:r>
      <w:r>
        <w:rPr>
          <w:rFonts w:ascii="Times New Roman" w:hAnsi="Times New Roman" w:eastAsia="Times New Roman" w:cs="Times New Roman"/>
          <w:color w:val="000000"/>
          <w:sz w:val="22"/>
          <w:szCs w:val="22"/>
        </w:rPr>
        <w:t xml:space="preserve">LSTM and TFT consistently achieved lower forecasting errors than XGBoost, with predictive</w:t>
      </w:r>
      <w:r>
        <w:rPr>
          <w:rFonts w:ascii="Times New Roman" w:hAnsi="Times New Roman" w:eastAsia="Times New Roman" w:cs="Times New Roman"/>
          <w:color w:val="000000"/>
          <w:sz w:val="22"/>
          <w:szCs w:val="22"/>
        </w:rPr>
        <w:t xml:space="preserve"> accuracy improving as the forecast horizon increased. TFT achieved the best overall performance across the 14- to 28-day horizons, with the lowest error at the 28-day horizon (sMAPE 2.09%; MASE 0.1265). Similar performance rankings were observed during fl</w:t>
      </w:r>
      <w:r>
        <w:rPr>
          <w:rFonts w:ascii="Times New Roman" w:hAnsi="Times New Roman" w:eastAsia="Times New Roman" w:cs="Times New Roman"/>
          <w:color w:val="000000"/>
          <w:sz w:val="22"/>
          <w:szCs w:val="22"/>
        </w:rPr>
        <w:t xml:space="preserve">ood periods, with TFT maintaining the highest forecasting accuracy</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sz w:val="22"/>
          <w:szCs w:val="22"/>
        </w:rPr>
      </w:r>
      <w:r>
        <w:rPr>
          <w:rFonts w:ascii="Times New Roman" w:hAnsi="Times New Roman" w:eastAsia="Times New Roman" w:cs="Times New Roman"/>
          <w:color w:val="000000"/>
          <w:sz w:val="22"/>
          <w:szCs w:val="22"/>
          <w:highlight w:val="none"/>
        </w:rPr>
      </w:r>
    </w:p>
    <w:p w14:paraId="2972B00A">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Conclusion:</w:t>
      </w:r>
      <w:r>
        <w:rPr>
          <w:rFonts w:ascii="Times New Roman" w:hAnsi="Times New Roman" w:eastAsia="Times New Roman" w:cs="Times New Roman"/>
          <w:color w:val="000000"/>
          <w:sz w:val="22"/>
          <w:szCs w:val="22"/>
        </w:rPr>
        <w:t xml:space="preserve"> Cardiovascular medication utilisation could be forecast up to 28 days during flood periods, with LSTM and TFT showing stronger performance than XGBoost.</w:t>
      </w:r>
      <w:r>
        <w:rPr>
          <w:rFonts w:ascii="Times New Roman" w:hAnsi="Times New Roman" w:eastAsia="Times New Roman" w:cs="Times New Roman"/>
          <w:color w:val="000000"/>
          <w:sz w:val="22"/>
          <w:szCs w:val="22"/>
          <w:highlight w:val="none"/>
        </w:rPr>
      </w:r>
    </w:p>
    <w:p w14:paraId="72E2FCB0">
      <w:pPr>
        <w:pBdr>
          <w:top w:val="none" w:color="000000" w:sz="4" w:space="0"/>
          <w:left w:val="none" w:color="000000" w:sz="4" w:space="0"/>
          <w:bottom w:val="none" w:color="000000" w:sz="4" w:space="0"/>
          <w:right w:val="none" w:color="000000" w:sz="4" w:space="0"/>
        </w:pBdr>
        <w:spacing w:line="240" w:lineRule="auto"/>
        <w:ind w:right="0" w:firstLine="0" w:left="0"/>
        <w:jc w:val="both"/>
        <w:rPr>
          <w:sz w:val="22"/>
          <w:szCs w:val="22"/>
        </w:rPr>
      </w:pPr>
      <w:r>
        <w:rPr>
          <w:rFonts w:ascii="Times New Roman" w:hAnsi="Times New Roman" w:eastAsia="Times New Roman" w:cs="Times New Roman"/>
          <w:b/>
          <w:color w:val="000000"/>
          <w:sz w:val="22"/>
          <w:szCs w:val="22"/>
        </w:rPr>
        <w:t xml:space="preserve">Impact:</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The proposed forecasting framework provides quantitative information across multiple forecast horizons to support advance medication planning and resource preparedness for flood-related healthcare disruptions.</w:t>
      </w:r>
      <w:r>
        <w:rPr>
          <w:rFonts w:ascii="Times New Roman" w:hAnsi="Times New Roman" w:eastAsia="Times New Roman" w:cs="Times New Roman"/>
          <w:color w:val="000000"/>
          <w:sz w:val="22"/>
          <w:szCs w:val="22"/>
        </w:rPr>
      </w:r>
      <w:r>
        <w:rPr>
          <w:sz w:val="22"/>
          <w:szCs w:val="22"/>
        </w:rPr>
      </w:r>
    </w:p>
    <w:p w14:paraId="4A462223">
      <w:pPr>
        <w:pBdr>
          <w:top w:val="none" w:color="000000" w:sz="4" w:space="0"/>
          <w:left w:val="none" w:color="000000" w:sz="4" w:space="0"/>
          <w:bottom w:val="none" w:color="000000" w:sz="4" w:space="0"/>
          <w:right w:val="none" w:color="000000" w:sz="4" w:space="0"/>
        </w:pBdr>
        <w:spacing w:line="240" w:lineRule="auto"/>
        <w:ind w:right="0" w:firstLine="0" w:left="0"/>
        <w:jc w:val="both"/>
        <w:rPr>
          <w:sz w:val="22"/>
          <w:szCs w:val="22"/>
        </w:rPr>
      </w:pPr>
      <w:r>
        <w:rPr>
          <w:rFonts w:ascii="Times New Roman" w:hAnsi="Times New Roman" w:eastAsia="Times New Roman" w:cs="Times New Roman"/>
          <w:b/>
          <w:color w:val="000000"/>
          <w:sz w:val="22"/>
          <w:szCs w:val="22"/>
        </w:rPr>
        <w:t xml:space="preserve">Keywords:</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medication utilisation; demand forecasting; flood disaster preparedness; machine learning; cardiovascular medication</w:t>
      </w:r>
      <w:r>
        <w:rPr>
          <w:rFonts w:ascii="Times New Roman" w:hAnsi="Times New Roman" w:eastAsia="Times New Roman" w:cs="Times New Roman"/>
          <w:color w:val="000000"/>
          <w:sz w:val="22"/>
          <w:szCs w:val="22"/>
        </w:rPr>
      </w:r>
      <w:r>
        <w:rPr>
          <w:sz w:val="22"/>
          <w:szCs w:val="22"/>
        </w:rPr>
      </w:r>
    </w:p>
    <w:p>
      <w:pPr>
        <w:pBdr/>
        <w:spacing w:line="240" w:lineRule="auto"/>
        <w:ind/>
        <w:rPr>
          <w:sz w:val="22"/>
          <w:szCs w:val="22"/>
        </w:rPr>
      </w:pPr>
      <w:r>
        <w:rPr>
          <w:sz w:val="22"/>
          <w:szCs w:val="22"/>
        </w:rPr>
      </w:r>
      <w:r>
        <w:rPr>
          <w:sz w:val="22"/>
          <w:szCs w:val="22"/>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character" w:styleId="891" w:customStyle="1">
    <w:name w:val="annotation reference"/>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2026-10-03T07:56:50Z</dcterms:modified>
</cp:coreProperties>
</file>