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B4F72"/>
          <w:sz w:val="40"/>
          <w:szCs w:val="40"/>
        </w:rPr>
        <w:t xml:space="preserve">🌿 Sovereign Carbon Audit AI</w:t>
      </w:r>
    </w:p>
    <w:p>
      <w:pPr>
        <w:spacing w:after="60" w:before="0"/>
        <w:jc w:val="center"/>
      </w:pPr>
      <w:r>
        <w:rPr>
          <w:color w:val="888888"/>
          <w:sz w:val="22"/>
          <w:szCs w:val="22"/>
        </w:rPr>
        <w:t xml:space="preserve">UAE Enterprise ESG Reporting System — Technical Overview</w:t>
      </w:r>
    </w:p>
    <w:p>
      <w:pPr>
        <w:spacing w:after="60" w:before="0"/>
        <w:jc w:val="center"/>
      </w:pPr>
      <w:r>
        <w:rPr>
          <w:color w:val="888888"/>
          <w:sz w:val="18"/>
          <w:szCs w:val="18"/>
        </w:rPr>
        <w:t xml:space="preserve">Built by Radhika Arya · AI Solutions Engineer · Dubai, UAE</w:t>
      </w:r>
    </w:p>
    <w:p>
      <w:pPr>
        <w:spacing w:after="200" w:before="0"/>
        <w:jc w:val="center"/>
      </w:pPr>
      <w:r>
        <w:rPr>
          <w:color w:val="2E86AB"/>
          <w:sz w:val="18"/>
          <w:szCs w:val="18"/>
        </w:rPr>
        <w:t xml:space="preserve">github.com/radzii1/sovereign-carbon-audit-AI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00"/>
        <w:rPr>
          <w:b/>
          <w:bCs/>
          <w:color w:val="1B4F72"/>
          <w:sz w:val="28"/>
          <w:szCs w:val="28"/>
        </w:rPr>
      </w:pPr>
      <w:r>
        <w:t xml:space="preserve">What Is This System?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Sovereign Carbon Audit AI is a production-grade, multi-agent AI pipeline that automates carbon emissions auditing for UAE enterprises. It takes raw energy consumption data — electricity bills, diesel logs, utility records — and produces a fully compliant GHG Protocol carbon audit report, verified by AI and approved by a human director before publication.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This is not a prototype. It is a working system deployed on Streamlit Cloud, connected to a live vector database (Qdrant), observed by LangSmith, and generating real PDF reports aligned to UAE Net Zero 2050 sustainability goals.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00"/>
        <w:rPr>
          <w:b/>
          <w:bCs/>
          <w:color w:val="1B4F72"/>
          <w:sz w:val="28"/>
          <w:szCs w:val="28"/>
        </w:rPr>
      </w:pPr>
      <w:r>
        <w:t xml:space="preserve">How The Pipeline Works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The system is built as a LangGraph StateGraph — a strict graph of AI agents where data flows through a defined sequence of nodes. Think of it as a conveyor belt where each station does one job and passes verified work to the next.</w:t>
      </w:r>
    </w:p>
    <w:p>
      <w:pPr>
        <w:spacing w:after="8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60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Intake Agent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Receives raw consumption data from the uploaded CSV. Validates format and passes it downstream.</w:t>
            </w:r>
          </w:p>
        </w:tc>
      </w:tr>
      <w:tr>
        <w:tc>
          <w:tcPr>
            <w:tcW w:type="dxa" w:w="3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Auditor Agent</w:t>
            </w:r>
          </w:p>
        </w:tc>
        <w:tc>
          <w:tcPr>
            <w:tcW w:type="dxa" w:w="6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Queries the Qdrant vector database for the correct UAE emission factor using semantic search. Calls GPT-4o at temperature 0.0 to calculate carbon emissions with full mathematical workings.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Critic Agent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Reviews the Auditor's calculation independently. Checks arithmetic, emission factor used, and GHG scope classification. If incorrect, flags the error and triggers correction.</w:t>
            </w:r>
          </w:p>
        </w:tc>
      </w:tr>
      <w:tr>
        <w:tc>
          <w:tcPr>
            <w:tcW w:type="dxa" w:w="3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Human Approval Gate</w:t>
            </w:r>
          </w:p>
        </w:tc>
        <w:tc>
          <w:tcPr>
            <w:tcW w:type="dxa" w:w="6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 senior director must click Approve before any report is generated. This is a hard stop — no AI output reaches a regulatory document without human sign-off.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Compliance Agent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Generates the official GHG Protocol-aligned carbon audit report once approved. Produces a downloadable PDF with executive summary, site breakdown, and carbon reduction recommendations.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00"/>
        <w:rPr>
          <w:b/>
          <w:bCs/>
          <w:color w:val="1B4F72"/>
          <w:sz w:val="28"/>
          <w:szCs w:val="28"/>
        </w:rPr>
      </w:pPr>
      <w:r>
        <w:t xml:space="preserve">Key Engineering Decisions</w:t>
      </w:r>
    </w:p>
    <w:p>
      <w:pPr>
        <w:spacing w:after="80" w:before="240"/>
      </w:pPr>
      <w:r>
        <w:rPr>
          <w:b/>
          <w:bCs/>
          <w:color w:val="2E86AB"/>
          <w:sz w:val="24"/>
          <w:szCs w:val="24"/>
        </w:rPr>
        <w:t xml:space="preserve">1. TypedDict State Schema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Every agent reads from and writes to a single shared state object — AgentState. This enforces a strict contract across the pipeline. No agent can invent or append unverified variables. This prevents state drift — a common failure mode in multi-agent systems where rogue agents corrupt downstream data.</w:t>
      </w:r>
    </w:p>
    <w:p>
      <w:pPr>
        <w:spacing w:after="80" w:before="240"/>
      </w:pPr>
      <w:r>
        <w:rPr>
          <w:b/>
          <w:bCs/>
          <w:color w:val="2E86AB"/>
          <w:sz w:val="24"/>
          <w:szCs w:val="24"/>
        </w:rPr>
        <w:t xml:space="preserve">2. Temperature 0.0 — Deterministic LLM Calls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All GPT-4o calls use temperature=0.0. This makes the model deterministic — identical inputs always produce identical outputs. In a carbon audit system, this is a compliance requirement. A report submitted to a regulator must return the same calculation every time it runs on the same data.</w:t>
      </w:r>
    </w:p>
    <w:p>
      <w:pPr>
        <w:spacing w:after="80" w:before="240"/>
      </w:pPr>
      <w:r>
        <w:rPr>
          <w:b/>
          <w:bCs/>
          <w:color w:val="2E86AB"/>
          <w:sz w:val="24"/>
          <w:szCs w:val="24"/>
        </w:rPr>
        <w:t xml:space="preserve">3. Context Anchoring — Closed-Book Calculator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The Auditor Agent's system prompt explicitly says: 'You MUST only use the emission factors provided in the CONTEXT below.' The verified UAE emission factor is injected directly into the prompt. GPT-4o cannot use training knowledge — it operates as a closed-book calculator. This is the core RAG pattern.</w:t>
      </w:r>
    </w:p>
    <w:p>
      <w:pPr>
        <w:spacing w:after="80" w:before="240"/>
      </w:pPr>
      <w:r>
        <w:rPr>
          <w:b/>
          <w:bCs/>
          <w:color w:val="2E86AB"/>
          <w:sz w:val="24"/>
          <w:szCs w:val="24"/>
        </w:rPr>
        <w:t xml:space="preserve">4. Qdrant Vector Database — Semantic Search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UAE emission factors are stored as vector embeddings in Qdrant Cloud. When a user uploads a CSV with 'Dubai electricity', the system converts that phrase into a vector and finds the closest matching emission factor — DEWA 0.4 kg CO2/kWh — through semantic similarity, not exact string matching. This makes the system robust to real-world inconsistent data entry.</w:t>
      </w:r>
    </w:p>
    <w:p>
      <w:pPr>
        <w:spacing w:after="80" w:before="240"/>
      </w:pPr>
      <w:r>
        <w:rPr>
          <w:b/>
          <w:bCs/>
          <w:color w:val="2E86AB"/>
          <w:sz w:val="24"/>
          <w:szCs w:val="24"/>
        </w:rPr>
        <w:t xml:space="preserve">5. Human-in-the-Loop Governance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A conditional edge in the graph routes the pipeline to a hard pause after the Auditor and Critic complete. No compliance report is generated until a human approves. This pattern is mandatory in regulated enterprise environments where AI outputs carry legal and financial weight.</w:t>
      </w:r>
    </w:p>
    <w:p>
      <w:pPr>
        <w:spacing w:after="80" w:before="240"/>
      </w:pPr>
      <w:r>
        <w:rPr>
          <w:b/>
          <w:bCs/>
          <w:color w:val="2E86AB"/>
          <w:sz w:val="24"/>
          <w:szCs w:val="24"/>
        </w:rPr>
        <w:t xml:space="preserve">6. LangSmith Observability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Every agent call is traced via LangSmith using the @traceable decorator and wrap_openai. Each production run generates a full audit trail — agent name, input, output, latency, token count, and cost. This is production monitoring, not debugging.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00"/>
        <w:rPr>
          <w:b/>
          <w:bCs/>
          <w:color w:val="1B4F72"/>
          <w:sz w:val="28"/>
          <w:szCs w:val="28"/>
        </w:rPr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0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LangGraph — StateGraph, TypedDict, Conditional Edges</w:t>
            </w:r>
          </w:p>
        </w:tc>
      </w:tr>
      <w:tr>
        <w:tc>
          <w:tcPr>
            <w:tcW w:type="dxa" w:w="3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LLM</w:t>
            </w:r>
          </w:p>
        </w:tc>
        <w:tc>
          <w:tcPr>
            <w:tcW w:type="dxa" w:w="6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OpenAI GPT-4o — Temperature 0.0 for deterministic output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Qdrant Cloud — UAE emission factors as semantic embeddings</w:t>
            </w:r>
          </w:p>
        </w:tc>
      </w:tr>
      <w:tr>
        <w:tc>
          <w:tcPr>
            <w:tcW w:type="dxa" w:w="3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Embeddings</w:t>
            </w:r>
          </w:p>
        </w:tc>
        <w:tc>
          <w:tcPr>
            <w:tcW w:type="dxa" w:w="6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OpenAI text-embedding-3-small — 1536-dimension vectors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LangSmith — @traceable decorators, wrap_openai</w:t>
            </w:r>
          </w:p>
        </w:tc>
      </w:tr>
      <w:tr>
        <w:tc>
          <w:tcPr>
            <w:tcW w:type="dxa" w:w="3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Frontend</w:t>
            </w:r>
          </w:p>
        </w:tc>
        <w:tc>
          <w:tcPr>
            <w:tcW w:type="dxa" w:w="6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Streamlit — deployed on Streamlit Cloud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ReportLab — professional A4 compliance reports</w:t>
            </w:r>
          </w:p>
        </w:tc>
      </w:tr>
      <w:tr>
        <w:tc>
          <w:tcPr>
            <w:tcW w:type="dxa" w:w="3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6000"/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Pandas — CSV ingestion and batch processing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18"/>
                <w:szCs w:val="18"/>
              </w:rPr>
              <w:t xml:space="preserve">Language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Python 3.13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00"/>
        <w:rPr>
          <w:b/>
          <w:bCs/>
          <w:color w:val="1B4F72"/>
          <w:sz w:val="28"/>
          <w:szCs w:val="28"/>
        </w:rPr>
      </w:pPr>
      <w:r>
        <w:t xml:space="preserve">UAE Emission Factors Database</w:t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The following emission factors are stored as vector embeddings in Qdrant and retrieved semantically at runtime:</w:t>
      </w:r>
    </w:p>
    <w:p>
      <w:pPr>
        <w:spacing w:after="8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c>
          <w:tcPr>
            <w:tcW w:type="dxa" w:w="225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5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25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25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GHG Scope</w:t>
            </w:r>
          </w:p>
        </w:tc>
      </w:tr>
      <w:tr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DEWA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0.400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CO2/kWh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2</w:t>
            </w:r>
          </w:p>
        </w:tc>
      </w:tr>
      <w:tr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EWEC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0.380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CO2/kWh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2</w:t>
            </w:r>
          </w:p>
        </w:tc>
      </w:tr>
      <w:tr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ADDC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0.390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CO2/kWh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2</w:t>
            </w:r>
          </w:p>
        </w:tc>
      </w:tr>
      <w:tr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SEWA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0.395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CO2/kWh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2</w:t>
            </w:r>
          </w:p>
        </w:tc>
      </w:tr>
      <w:tr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Diesel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2.680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CO2/litre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1</w:t>
            </w:r>
          </w:p>
        </w:tc>
      </w:tr>
      <w:tr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Gas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2.040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CO2/litre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1</w:t>
            </w:r>
          </w:p>
        </w:tc>
      </w:tr>
      <w:tr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Petrol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2.310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CO2/litre</w:t>
            </w:r>
          </w:p>
        </w:tc>
        <w:tc>
          <w:tcPr>
            <w:tcW w:type="dxa" w:w="2250"/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1</w:t>
            </w:r>
          </w:p>
        </w:tc>
      </w:tr>
      <w:tr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Water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0.344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kg CO2/m3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Scope 3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00"/>
        <w:rPr>
          <w:b/>
          <w:bCs/>
          <w:color w:val="1B4F72"/>
          <w:sz w:val="28"/>
          <w:szCs w:val="28"/>
        </w:rPr>
      </w:pPr>
      <w:r>
        <w:t xml:space="preserve">What This Demonstrates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Multi-agent LLM orchestration using LangGraph StateGraph with typed state and conditional routing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Enterprise RAG implementation — Qdrant vector database with OpenAI embeddings for semantic retrieval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Human-in-the-Loop governance — hard approval gate before regulated output is generated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AI self-correction — Critic Agent reviews and corrects Auditor calculations before human review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Production observability — full LangSmith tracing across all agents with latency and cost metrics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Document intelligence — CSV batch processing, structured LLM output parsing, PDF report generation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UAE domain expertise — GHG Protocol Scope 1, 2, 3 classification aligned to UAE Net Zero 2050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Secure secret management — all API keys via Streamlit secrets, never in code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0" w:before="200"/>
        <w:jc w:val="center"/>
      </w:pPr>
      <w:r>
        <w:rPr>
          <w:color w:val="888888"/>
          <w:sz w:val="16"/>
          <w:szCs w:val="16"/>
        </w:rPr>
        <w:t xml:space="preserve">Sovereign Carbon Audit AI · Radhika Arya · AI Solutions Engineer · Dubai, UAE · github.com/radzii1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2026-07-01T07:24:05.206Z</dcterms:created>
  <dcterms:modified xsi:type="dcterms:W3CDTF">2026-07-01T07:24:05.206Z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