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DBA16" w14:textId="1FD54675" w:rsidR="009F0D81" w:rsidRPr="009F0D81" w:rsidRDefault="00705468" w:rsidP="00705468">
      <w:pPr>
        <w:tabs>
          <w:tab w:val="left" w:pos="3632"/>
          <w:tab w:val="center" w:pos="5040"/>
        </w:tabs>
        <w:spacing w:line="36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ab/>
      </w:r>
      <w:r w:rsidR="009F0D81" w:rsidRPr="009F0D81">
        <w:rPr>
          <w:rFonts w:ascii="Cambria" w:hAnsi="Cambria" w:cs="Times New Roman"/>
          <w:b/>
          <w:bCs/>
          <w:sz w:val="24"/>
          <w:szCs w:val="24"/>
        </w:rPr>
        <w:t>GOOD FAITH ESTIMATE</w:t>
      </w:r>
    </w:p>
    <w:tbl>
      <w:tblPr>
        <w:tblStyle w:val="TableGrid"/>
        <w:tblpPr w:leftFromText="180" w:rightFromText="180" w:vertAnchor="text" w:horzAnchor="margin" w:tblpY="-6"/>
        <w:tblW w:w="10405" w:type="dxa"/>
        <w:tblLook w:val="04A0" w:firstRow="1" w:lastRow="0" w:firstColumn="1" w:lastColumn="0" w:noHBand="0" w:noVBand="1"/>
      </w:tblPr>
      <w:tblGrid>
        <w:gridCol w:w="5202"/>
        <w:gridCol w:w="5203"/>
      </w:tblGrid>
      <w:tr w:rsidR="00705468" w:rsidRPr="006F51F9" w14:paraId="40697D5A" w14:textId="77777777" w:rsidTr="00705468">
        <w:trPr>
          <w:trHeight w:val="196"/>
        </w:trPr>
        <w:tc>
          <w:tcPr>
            <w:tcW w:w="5202" w:type="dxa"/>
          </w:tcPr>
          <w:p w14:paraId="04A41821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Client</w:t>
            </w:r>
            <w:r w:rsidRPr="006F51F9">
              <w:rPr>
                <w:rFonts w:ascii="Cambria" w:hAnsi="Cambria" w:cs="Times New Roman"/>
                <w:sz w:val="24"/>
                <w:szCs w:val="24"/>
              </w:rPr>
              <w:t xml:space="preserve"> Name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203" w:type="dxa"/>
          </w:tcPr>
          <w:p w14:paraId="263E55AC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Date of Birth: </w:t>
            </w:r>
          </w:p>
        </w:tc>
      </w:tr>
      <w:tr w:rsidR="00705468" w:rsidRPr="006F51F9" w14:paraId="147E71D7" w14:textId="77777777" w:rsidTr="00705468">
        <w:trPr>
          <w:trHeight w:val="196"/>
        </w:trPr>
        <w:tc>
          <w:tcPr>
            <w:tcW w:w="10405" w:type="dxa"/>
            <w:gridSpan w:val="2"/>
          </w:tcPr>
          <w:p w14:paraId="29FAC5AE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Address: </w:t>
            </w:r>
          </w:p>
        </w:tc>
      </w:tr>
      <w:tr w:rsidR="00705468" w:rsidRPr="006F51F9" w14:paraId="6612B1E7" w14:textId="77777777" w:rsidTr="00705468">
        <w:trPr>
          <w:trHeight w:val="208"/>
        </w:trPr>
        <w:tc>
          <w:tcPr>
            <w:tcW w:w="10405" w:type="dxa"/>
            <w:gridSpan w:val="2"/>
          </w:tcPr>
          <w:p w14:paraId="51E1FF79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 w:rsidRPr="006F51F9">
              <w:rPr>
                <w:rFonts w:ascii="Cambria" w:hAnsi="Cambria" w:cs="Times New Roman"/>
                <w:sz w:val="24"/>
                <w:szCs w:val="24"/>
              </w:rPr>
              <w:t>Patient Diagnosis (if applicable)</w:t>
            </w:r>
            <w:r>
              <w:rPr>
                <w:rFonts w:ascii="Cambria" w:hAnsi="Cambria" w:cs="Times New Roman"/>
                <w:sz w:val="24"/>
                <w:szCs w:val="24"/>
              </w:rPr>
              <w:t>:</w:t>
            </w:r>
          </w:p>
        </w:tc>
      </w:tr>
      <w:tr w:rsidR="00705468" w:rsidRPr="006F51F9" w14:paraId="6E51B1A0" w14:textId="77777777" w:rsidTr="00705468">
        <w:trPr>
          <w:trHeight w:val="240"/>
        </w:trPr>
        <w:tc>
          <w:tcPr>
            <w:tcW w:w="5202" w:type="dxa"/>
            <w:vMerge w:val="restart"/>
          </w:tcPr>
          <w:p w14:paraId="763FC8CD" w14:textId="77777777" w:rsidR="00705468" w:rsidRP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 w:rsidRPr="006F51F9">
              <w:rPr>
                <w:rFonts w:ascii="Cambria" w:hAnsi="Cambria" w:cs="Times New Roman"/>
                <w:sz w:val="24"/>
                <w:szCs w:val="24"/>
              </w:rPr>
              <w:t>Services Requested</w:t>
            </w:r>
            <w:r>
              <w:rPr>
                <w:rFonts w:ascii="Cambria" w:hAnsi="Cambria" w:cs="Times New Roman"/>
                <w:sz w:val="24"/>
                <w:szCs w:val="24"/>
              </w:rPr>
              <w:t>:</w:t>
            </w:r>
          </w:p>
        </w:tc>
        <w:tc>
          <w:tcPr>
            <w:tcW w:w="5203" w:type="dxa"/>
          </w:tcPr>
          <w:p w14:paraId="61BB6D01" w14:textId="1BEBA706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Date of Estimate:</w:t>
            </w:r>
          </w:p>
        </w:tc>
      </w:tr>
      <w:tr w:rsidR="00705468" w:rsidRPr="006F51F9" w14:paraId="06A8AFDE" w14:textId="77777777" w:rsidTr="00705468">
        <w:trPr>
          <w:trHeight w:val="240"/>
        </w:trPr>
        <w:tc>
          <w:tcPr>
            <w:tcW w:w="5202" w:type="dxa"/>
            <w:vMerge/>
          </w:tcPr>
          <w:p w14:paraId="467E431C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5203" w:type="dxa"/>
          </w:tcPr>
          <w:p w14:paraId="74E169E7" w14:textId="3A734ABA" w:rsid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Date of Initial Session:</w:t>
            </w:r>
          </w:p>
        </w:tc>
      </w:tr>
    </w:tbl>
    <w:p w14:paraId="59ACF74D" w14:textId="5DF0DBFF" w:rsidR="00AF79DB" w:rsidRPr="00705468" w:rsidRDefault="00AF79DB" w:rsidP="00EC0B49">
      <w:pPr>
        <w:rPr>
          <w:rFonts w:ascii="Cambria" w:hAnsi="Cambria" w:cs="Times New Roman"/>
          <w:color w:val="0070C0"/>
          <w:sz w:val="16"/>
          <w:szCs w:val="16"/>
        </w:rPr>
      </w:pPr>
    </w:p>
    <w:p w14:paraId="5FC68BDC" w14:textId="63B2DD08" w:rsidR="005112B1" w:rsidRDefault="00705468" w:rsidP="00EC0B4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Y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ou are entitled to receive this </w:t>
      </w:r>
      <w:r w:rsidR="00A00F02">
        <w:rPr>
          <w:rFonts w:ascii="Cambria" w:hAnsi="Cambria" w:cs="Times New Roman"/>
          <w:sz w:val="24"/>
          <w:szCs w:val="24"/>
        </w:rPr>
        <w:t>G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ood </w:t>
      </w:r>
      <w:r w:rsidR="00A00F02">
        <w:rPr>
          <w:rFonts w:ascii="Cambria" w:hAnsi="Cambria" w:cs="Times New Roman"/>
          <w:sz w:val="24"/>
          <w:szCs w:val="24"/>
        </w:rPr>
        <w:t>F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aith </w:t>
      </w:r>
      <w:r w:rsidR="00A00F02">
        <w:rPr>
          <w:rFonts w:ascii="Cambria" w:hAnsi="Cambria" w:cs="Times New Roman"/>
          <w:sz w:val="24"/>
          <w:szCs w:val="24"/>
        </w:rPr>
        <w:t>E</w:t>
      </w:r>
      <w:r w:rsidR="007D4FFC" w:rsidRPr="009F0D81">
        <w:rPr>
          <w:rFonts w:ascii="Cambria" w:hAnsi="Cambria" w:cs="Times New Roman"/>
          <w:sz w:val="24"/>
          <w:szCs w:val="24"/>
        </w:rPr>
        <w:t>stimate</w:t>
      </w:r>
      <w:r>
        <w:rPr>
          <w:rFonts w:ascii="Cambria" w:hAnsi="Cambria" w:cs="Times New Roman"/>
          <w:sz w:val="24"/>
          <w:szCs w:val="24"/>
        </w:rPr>
        <w:t xml:space="preserve"> by Law. T</w:t>
      </w:r>
      <w:r w:rsidR="00EC13F9">
        <w:rPr>
          <w:rFonts w:ascii="Cambria" w:hAnsi="Cambria" w:cs="Times New Roman"/>
          <w:sz w:val="24"/>
          <w:szCs w:val="24"/>
        </w:rPr>
        <w:t>he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 charges </w:t>
      </w:r>
      <w:r>
        <w:rPr>
          <w:rFonts w:ascii="Cambria" w:hAnsi="Cambria" w:cs="Times New Roman"/>
          <w:sz w:val="24"/>
          <w:szCs w:val="24"/>
        </w:rPr>
        <w:t xml:space="preserve">listed below represent the current costs 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for </w:t>
      </w:r>
      <w:r w:rsidR="00EC13F9">
        <w:rPr>
          <w:rFonts w:ascii="Cambria" w:hAnsi="Cambria" w:cs="Times New Roman"/>
          <w:sz w:val="24"/>
          <w:szCs w:val="24"/>
        </w:rPr>
        <w:t xml:space="preserve">psychotherapy 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services. </w:t>
      </w:r>
      <w:r w:rsidR="009848C7">
        <w:rPr>
          <w:rFonts w:ascii="Cambria" w:hAnsi="Cambria" w:cs="Times New Roman"/>
          <w:sz w:val="24"/>
          <w:szCs w:val="24"/>
        </w:rPr>
        <w:t>While it is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not possible for a psychotherapist to know, in advance, how many psychotherapy sessions may be necessary or appropriate for a</w:t>
      </w:r>
      <w:r>
        <w:rPr>
          <w:rFonts w:ascii="Cambria" w:hAnsi="Cambria" w:cs="Times New Roman"/>
          <w:sz w:val="24"/>
          <w:szCs w:val="24"/>
        </w:rPr>
        <w:t>ny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given person</w:t>
      </w:r>
      <w:r w:rsidR="009848C7">
        <w:rPr>
          <w:rFonts w:ascii="Cambria" w:hAnsi="Cambria" w:cs="Times New Roman"/>
          <w:sz w:val="24"/>
          <w:szCs w:val="24"/>
        </w:rPr>
        <w:t>, this form provides a</w:t>
      </w:r>
      <w:r>
        <w:rPr>
          <w:rFonts w:ascii="Cambria" w:hAnsi="Cambria" w:cs="Times New Roman"/>
          <w:sz w:val="24"/>
          <w:szCs w:val="24"/>
        </w:rPr>
        <w:t xml:space="preserve"> basic</w:t>
      </w:r>
      <w:r w:rsidR="009848C7">
        <w:rPr>
          <w:rFonts w:ascii="Cambria" w:hAnsi="Cambria" w:cs="Times New Roman"/>
          <w:sz w:val="24"/>
          <w:szCs w:val="24"/>
        </w:rPr>
        <w:t xml:space="preserve"> estimate of the cost of services provided. Your total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cost of services </w:t>
      </w:r>
      <w:r w:rsidR="009848C7">
        <w:rPr>
          <w:rFonts w:ascii="Cambria" w:hAnsi="Cambria" w:cs="Times New Roman"/>
          <w:sz w:val="24"/>
          <w:szCs w:val="24"/>
        </w:rPr>
        <w:t xml:space="preserve">will </w:t>
      </w:r>
      <w:r w:rsidR="009848C7" w:rsidRPr="009F0D81">
        <w:rPr>
          <w:rFonts w:ascii="Cambria" w:hAnsi="Cambria" w:cs="Times New Roman"/>
          <w:sz w:val="24"/>
          <w:szCs w:val="24"/>
        </w:rPr>
        <w:t>depend upon the number of psychotherapy sessions you attend</w:t>
      </w:r>
      <w:r w:rsidR="00F3099D">
        <w:rPr>
          <w:rFonts w:ascii="Cambria" w:hAnsi="Cambria" w:cs="Times New Roman"/>
          <w:sz w:val="24"/>
          <w:szCs w:val="24"/>
        </w:rPr>
        <w:t>, your individual circumstances, and the type and amount of services that are provided to you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. </w:t>
      </w:r>
    </w:p>
    <w:p w14:paraId="701F9700" w14:textId="24A0A37E" w:rsidR="004A0C73" w:rsidRDefault="00EA76D8" w:rsidP="00EC0B4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There may be services </w:t>
      </w:r>
      <w:r w:rsidR="00705468">
        <w:rPr>
          <w:rFonts w:ascii="Cambria" w:hAnsi="Cambria" w:cs="Times New Roman"/>
          <w:sz w:val="24"/>
          <w:szCs w:val="24"/>
        </w:rPr>
        <w:t>r</w:t>
      </w:r>
      <w:r w:rsidR="0045165A">
        <w:rPr>
          <w:rFonts w:ascii="Cambria" w:hAnsi="Cambria" w:cs="Times New Roman"/>
          <w:sz w:val="24"/>
          <w:szCs w:val="24"/>
        </w:rPr>
        <w:t>ecommend</w:t>
      </w:r>
      <w:r w:rsidR="00705468">
        <w:rPr>
          <w:rFonts w:ascii="Cambria" w:hAnsi="Cambria" w:cs="Times New Roman"/>
          <w:sz w:val="24"/>
          <w:szCs w:val="24"/>
        </w:rPr>
        <w:t>ed or requested separately</w:t>
      </w:r>
      <w:r w:rsidR="0045165A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as part of </w:t>
      </w:r>
      <w:r w:rsidR="0045165A">
        <w:rPr>
          <w:rFonts w:ascii="Cambria" w:hAnsi="Cambria" w:cs="Times New Roman"/>
          <w:sz w:val="24"/>
          <w:szCs w:val="24"/>
        </w:rPr>
        <w:t>your care</w:t>
      </w:r>
      <w:r w:rsidR="00B310B2">
        <w:rPr>
          <w:rFonts w:ascii="Cambria" w:hAnsi="Cambria" w:cs="Times New Roman"/>
          <w:sz w:val="24"/>
          <w:szCs w:val="24"/>
        </w:rPr>
        <w:t>,</w:t>
      </w:r>
      <w:r w:rsidR="0045165A">
        <w:rPr>
          <w:rFonts w:ascii="Cambria" w:hAnsi="Cambria" w:cs="Times New Roman"/>
          <w:sz w:val="24"/>
          <w:szCs w:val="24"/>
        </w:rPr>
        <w:t xml:space="preserve"> </w:t>
      </w:r>
      <w:r w:rsidR="00705468">
        <w:rPr>
          <w:rFonts w:ascii="Cambria" w:hAnsi="Cambria" w:cs="Times New Roman"/>
          <w:sz w:val="24"/>
          <w:szCs w:val="24"/>
        </w:rPr>
        <w:t>that may not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705468">
        <w:rPr>
          <w:rFonts w:ascii="Cambria" w:hAnsi="Cambria" w:cs="Times New Roman"/>
          <w:sz w:val="24"/>
          <w:szCs w:val="24"/>
        </w:rPr>
        <w:t xml:space="preserve">be </w:t>
      </w:r>
      <w:r>
        <w:rPr>
          <w:rFonts w:ascii="Cambria" w:hAnsi="Cambria" w:cs="Times New Roman"/>
          <w:sz w:val="24"/>
          <w:szCs w:val="24"/>
        </w:rPr>
        <w:t>reflected in this good faith estimate</w:t>
      </w:r>
      <w:r w:rsidR="00705468">
        <w:rPr>
          <w:rFonts w:ascii="Cambria" w:hAnsi="Cambria" w:cs="Times New Roman"/>
          <w:sz w:val="24"/>
          <w:szCs w:val="24"/>
        </w:rPr>
        <w:t xml:space="preserve"> and will be discussed prior to services being rendered.          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705468" w:rsidRPr="00705468">
        <w:rPr>
          <w:rFonts w:ascii="Cambria" w:hAnsi="Cambria" w:cs="Times New Roman"/>
          <w:b/>
          <w:bCs/>
          <w:sz w:val="24"/>
          <w:szCs w:val="24"/>
        </w:rPr>
        <w:t>NOTE</w:t>
      </w:r>
      <w:r w:rsidR="00705468">
        <w:rPr>
          <w:rFonts w:ascii="Cambria" w:hAnsi="Cambria" w:cs="Times New Roman"/>
          <w:sz w:val="24"/>
          <w:szCs w:val="24"/>
        </w:rPr>
        <w:t xml:space="preserve">: </w:t>
      </w:r>
      <w:r w:rsidR="004A0C73" w:rsidRPr="009F0D81">
        <w:rPr>
          <w:rFonts w:ascii="Cambria" w:hAnsi="Cambria" w:cs="Times New Roman"/>
          <w:sz w:val="24"/>
          <w:szCs w:val="24"/>
        </w:rPr>
        <w:t>This estimate is not a contract</w:t>
      </w:r>
      <w:r w:rsidR="00705468">
        <w:rPr>
          <w:rFonts w:ascii="Cambria" w:hAnsi="Cambria" w:cs="Times New Roman"/>
          <w:sz w:val="24"/>
          <w:szCs w:val="24"/>
        </w:rPr>
        <w:t>, you are under no obligation to continue services.</w:t>
      </w:r>
    </w:p>
    <w:p w14:paraId="3E452F87" w14:textId="200D4F47" w:rsidR="00705468" w:rsidRPr="00705468" w:rsidRDefault="00705468" w:rsidP="00EC0B49">
      <w:pPr>
        <w:rPr>
          <w:rFonts w:ascii="Cambria" w:hAnsi="Cambria" w:cs="Times New Roman"/>
          <w:b/>
          <w:bCs/>
          <w:sz w:val="24"/>
          <w:szCs w:val="24"/>
        </w:rPr>
      </w:pPr>
      <w:r w:rsidRPr="00705468">
        <w:rPr>
          <w:rFonts w:ascii="Cambria" w:hAnsi="Cambria" w:cs="Times New Roman"/>
          <w:b/>
          <w:bCs/>
          <w:sz w:val="24"/>
          <w:szCs w:val="24"/>
        </w:rPr>
        <w:t>Session Fees (in-person or via telehealth)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268116B2" w14:textId="44971A63" w:rsidR="00705468" w:rsidRPr="00705468" w:rsidRDefault="00705468" w:rsidP="00EC0B49">
      <w:pPr>
        <w:rPr>
          <w:rFonts w:ascii="Cambria" w:hAnsi="Cambria" w:cs="Times New Roman"/>
          <w:sz w:val="16"/>
          <w:szCs w:val="16"/>
        </w:rPr>
      </w:pPr>
      <w:r>
        <w:rPr>
          <w:rFonts w:ascii="Cambria" w:hAnsi="Cambria" w:cs="Times New Roman"/>
          <w:sz w:val="24"/>
          <w:szCs w:val="24"/>
        </w:rPr>
        <w:t>Standard P</w:t>
      </w:r>
      <w:r w:rsidR="00480771" w:rsidRPr="009F0D81">
        <w:rPr>
          <w:rFonts w:ascii="Cambria" w:hAnsi="Cambria" w:cs="Times New Roman"/>
          <w:sz w:val="24"/>
          <w:szCs w:val="24"/>
        </w:rPr>
        <w:t xml:space="preserve">sychotherapy </w:t>
      </w:r>
      <w:r>
        <w:rPr>
          <w:rFonts w:ascii="Cambria" w:hAnsi="Cambria" w:cs="Times New Roman"/>
          <w:sz w:val="24"/>
          <w:szCs w:val="24"/>
        </w:rPr>
        <w:t>session, 45-60mins -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$</w:t>
      </w:r>
      <w:r>
        <w:rPr>
          <w:rFonts w:ascii="Cambria" w:hAnsi="Cambria" w:cs="Times New Roman"/>
          <w:sz w:val="24"/>
          <w:szCs w:val="24"/>
        </w:rPr>
        <w:t>175.00</w:t>
      </w:r>
      <w:r w:rsidR="00480771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                                                                   Extended session up to 75mins - $200.00                                                                                                      Joint/ family/couple session up to 90mins - $225.00</w:t>
      </w:r>
    </w:p>
    <w:tbl>
      <w:tblPr>
        <w:tblStyle w:val="TableGrid"/>
        <w:tblpPr w:leftFromText="180" w:rightFromText="180" w:vertAnchor="text" w:tblpY="-30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05468" w14:paraId="777DCB7B" w14:textId="77777777" w:rsidTr="00705468">
        <w:tc>
          <w:tcPr>
            <w:tcW w:w="5035" w:type="dxa"/>
          </w:tcPr>
          <w:p w14:paraId="08FFFB25" w14:textId="35C9A69F" w:rsidR="00705468" w:rsidRDefault="00B310B2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bookmarkStart w:id="0" w:name="_Hlk92103000"/>
            <w:bookmarkStart w:id="1" w:name="_Hlk92103013"/>
            <w:r>
              <w:rPr>
                <w:rFonts w:ascii="Cambria" w:hAnsi="Cambria" w:cs="Times New Roman"/>
                <w:sz w:val="24"/>
                <w:szCs w:val="24"/>
              </w:rPr>
              <w:t>Ex</w:t>
            </w:r>
            <w:r w:rsidR="00705468">
              <w:rPr>
                <w:rFonts w:ascii="Cambria" w:hAnsi="Cambria" w:cs="Times New Roman"/>
                <w:sz w:val="24"/>
                <w:szCs w:val="24"/>
              </w:rPr>
              <w:t>: $175.00 x 8 weekly sessions = $1400.00</w:t>
            </w:r>
          </w:p>
        </w:tc>
        <w:tc>
          <w:tcPr>
            <w:tcW w:w="5035" w:type="dxa"/>
          </w:tcPr>
          <w:p w14:paraId="5F526872" w14:textId="5CF22108" w:rsidR="00705468" w:rsidRDefault="00B310B2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$</w:t>
            </w:r>
            <w:r w:rsidR="00705468">
              <w:rPr>
                <w:rFonts w:ascii="Cambria" w:hAnsi="Cambria" w:cs="Times New Roman"/>
                <w:sz w:val="24"/>
                <w:szCs w:val="24"/>
              </w:rPr>
              <w:t>175.00 x 20 biweekly sessions = $3500.00</w:t>
            </w:r>
          </w:p>
        </w:tc>
      </w:tr>
    </w:tbl>
    <w:p w14:paraId="6BC06310" w14:textId="77777777" w:rsidR="00705468" w:rsidRPr="00705468" w:rsidRDefault="00705468" w:rsidP="00705468">
      <w:pPr>
        <w:rPr>
          <w:rFonts w:ascii="Cambria" w:hAnsi="Cambria" w:cs="Times New Roman"/>
          <w:sz w:val="13"/>
          <w:szCs w:val="13"/>
        </w:rPr>
      </w:pPr>
    </w:p>
    <w:p w14:paraId="3515CAAE" w14:textId="2A254D05" w:rsidR="00705468" w:rsidRDefault="00705468" w:rsidP="0070546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 </w:t>
      </w:r>
      <w:r w:rsidR="00AF79DB">
        <w:rPr>
          <w:rFonts w:ascii="Cambria" w:hAnsi="Cambria" w:cs="Times New Roman"/>
          <w:sz w:val="24"/>
          <w:szCs w:val="24"/>
        </w:rPr>
        <w:t>G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ood </w:t>
      </w:r>
      <w:r w:rsidR="00AF79DB">
        <w:rPr>
          <w:rFonts w:ascii="Cambria" w:hAnsi="Cambria" w:cs="Times New Roman"/>
          <w:sz w:val="24"/>
          <w:szCs w:val="24"/>
        </w:rPr>
        <w:t>F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aith </w:t>
      </w:r>
      <w:r w:rsidR="00AF79DB">
        <w:rPr>
          <w:rFonts w:ascii="Cambria" w:hAnsi="Cambria" w:cs="Times New Roman"/>
          <w:sz w:val="24"/>
          <w:szCs w:val="24"/>
        </w:rPr>
        <w:t>E</w:t>
      </w:r>
      <w:r w:rsidR="00AF79DB" w:rsidRPr="009F0D81">
        <w:rPr>
          <w:rFonts w:ascii="Cambria" w:hAnsi="Cambria" w:cs="Times New Roman"/>
          <w:sz w:val="24"/>
          <w:szCs w:val="24"/>
        </w:rPr>
        <w:t>stimate is not intended to serve as a recommendation for treatment or a prediction that you may need to attend a specified number of psychotherapy visits. The number of visits that are appropriate in your case, and the estimated cost for those services, depends on your needs and you</w:t>
      </w:r>
      <w:r>
        <w:rPr>
          <w:rFonts w:ascii="Cambria" w:hAnsi="Cambria" w:cs="Times New Roman"/>
          <w:sz w:val="24"/>
          <w:szCs w:val="24"/>
        </w:rPr>
        <w:t>r desired goals, as discussed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during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the initial </w:t>
      </w:r>
      <w:r w:rsidR="00AF79DB" w:rsidRPr="009F0D81">
        <w:rPr>
          <w:rFonts w:ascii="Cambria" w:hAnsi="Cambria" w:cs="Times New Roman"/>
          <w:sz w:val="24"/>
          <w:szCs w:val="24"/>
        </w:rPr>
        <w:t>consultation.</w:t>
      </w:r>
      <w:r w:rsidR="00AF79DB">
        <w:rPr>
          <w:rFonts w:ascii="Cambria" w:hAnsi="Cambria" w:cs="Times New Roman"/>
          <w:sz w:val="24"/>
          <w:szCs w:val="24"/>
        </w:rPr>
        <w:t xml:space="preserve">  </w:t>
      </w:r>
      <w:r w:rsidR="00AF79DB" w:rsidRPr="009F0D81">
        <w:rPr>
          <w:rFonts w:ascii="Cambria" w:hAnsi="Cambria" w:cs="Times New Roman"/>
          <w:sz w:val="24"/>
          <w:szCs w:val="24"/>
        </w:rPr>
        <w:t>You are entitled to disagree with any recommendations made to you concerning your treatment and you may discontinue treatment at any time</w:t>
      </w:r>
      <w:bookmarkEnd w:id="0"/>
      <w:r>
        <w:rPr>
          <w:rFonts w:ascii="Cambria" w:hAnsi="Cambria" w:cs="Times New Roman"/>
          <w:sz w:val="24"/>
          <w:szCs w:val="24"/>
        </w:rPr>
        <w:t>, for any reason. Please feel free to ask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any </w:t>
      </w:r>
      <w:r>
        <w:rPr>
          <w:rFonts w:ascii="Cambria" w:hAnsi="Cambria" w:cs="Times New Roman"/>
          <w:sz w:val="24"/>
          <w:szCs w:val="24"/>
        </w:rPr>
        <w:t xml:space="preserve">clarifying </w:t>
      </w:r>
      <w:r w:rsidR="00314BEC" w:rsidRPr="009F0D81">
        <w:rPr>
          <w:rFonts w:ascii="Cambria" w:hAnsi="Cambria" w:cs="Times New Roman"/>
          <w:sz w:val="24"/>
          <w:szCs w:val="24"/>
        </w:rPr>
        <w:t>questions you may have regarding your treatment</w:t>
      </w:r>
      <w:r>
        <w:rPr>
          <w:rFonts w:ascii="Cambria" w:hAnsi="Cambria" w:cs="Times New Roman"/>
          <w:sz w:val="24"/>
          <w:szCs w:val="24"/>
        </w:rPr>
        <w:t xml:space="preserve"> plan,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or the information provided in this </w:t>
      </w:r>
      <w:r w:rsidR="008D524D">
        <w:rPr>
          <w:rFonts w:ascii="Cambria" w:hAnsi="Cambria" w:cs="Times New Roman"/>
          <w:sz w:val="24"/>
          <w:szCs w:val="24"/>
        </w:rPr>
        <w:t>G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ood </w:t>
      </w:r>
      <w:r w:rsidR="008D524D">
        <w:rPr>
          <w:rFonts w:ascii="Cambria" w:hAnsi="Cambria" w:cs="Times New Roman"/>
          <w:sz w:val="24"/>
          <w:szCs w:val="24"/>
        </w:rPr>
        <w:t>F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aith </w:t>
      </w:r>
      <w:r w:rsidR="008D524D">
        <w:rPr>
          <w:rFonts w:ascii="Cambria" w:hAnsi="Cambria" w:cs="Times New Roman"/>
          <w:sz w:val="24"/>
          <w:szCs w:val="24"/>
        </w:rPr>
        <w:t>E</w:t>
      </w:r>
      <w:r w:rsidR="00314BEC" w:rsidRPr="009F0D81">
        <w:rPr>
          <w:rFonts w:ascii="Cambria" w:hAnsi="Cambria" w:cs="Times New Roman"/>
          <w:sz w:val="24"/>
          <w:szCs w:val="24"/>
        </w:rPr>
        <w:t>stimate</w:t>
      </w:r>
      <w:r>
        <w:rPr>
          <w:rFonts w:ascii="Cambria" w:hAnsi="Cambria" w:cs="Times New Roman"/>
          <w:sz w:val="24"/>
          <w:szCs w:val="24"/>
        </w:rPr>
        <w:t>.</w:t>
      </w:r>
      <w:bookmarkEnd w:id="1"/>
      <w:r w:rsidRPr="00705468">
        <w:rPr>
          <w:rFonts w:ascii="Cambria" w:hAnsi="Cambria" w:cs="Times New Roman"/>
          <w:sz w:val="24"/>
          <w:szCs w:val="24"/>
        </w:rPr>
        <w:t xml:space="preserve"> </w:t>
      </w:r>
    </w:p>
    <w:p w14:paraId="36900818" w14:textId="66C88150" w:rsidR="00705468" w:rsidRDefault="00705468" w:rsidP="00705468">
      <w:pPr>
        <w:rPr>
          <w:rFonts w:ascii="Cambria" w:hAnsi="Cambria" w:cs="Times New Roman"/>
          <w:sz w:val="24"/>
          <w:szCs w:val="24"/>
        </w:rPr>
      </w:pPr>
      <w:r w:rsidRPr="00AF79DB">
        <w:rPr>
          <w:rFonts w:ascii="Cambria" w:hAnsi="Cambria" w:cs="Times New Roman"/>
          <w:sz w:val="24"/>
          <w:szCs w:val="24"/>
        </w:rPr>
        <w:t xml:space="preserve">You have the right to initiate a dispute resolution process if the actual amount charged to you substantially exceeds the estimated charges stated in your Good Faith Estimate (which means $400 or more beyond the estimated charges). </w:t>
      </w:r>
    </w:p>
    <w:p w14:paraId="732939F3" w14:textId="0FA114B1" w:rsidR="00705468" w:rsidRPr="00705468" w:rsidRDefault="00705468" w:rsidP="00705468">
      <w:pPr>
        <w:rPr>
          <w:rFonts w:ascii="Cambria" w:hAnsi="Cambria"/>
          <w:sz w:val="24"/>
          <w:szCs w:val="24"/>
        </w:rPr>
      </w:pPr>
      <w:r w:rsidRPr="00AF79DB">
        <w:rPr>
          <w:rFonts w:ascii="Cambria" w:hAnsi="Cambria"/>
          <w:sz w:val="24"/>
          <w:szCs w:val="24"/>
        </w:rPr>
        <w:t xml:space="preserve">For questions or more information about your right to a Good Faith Estimate or the dispute process, visit </w:t>
      </w:r>
      <w:hyperlink r:id="rId6" w:history="1">
        <w:r w:rsidRPr="008D3117">
          <w:rPr>
            <w:rStyle w:val="Hyperlink"/>
            <w:rFonts w:ascii="Cambria" w:hAnsi="Cambria"/>
            <w:sz w:val="24"/>
            <w:szCs w:val="24"/>
          </w:rPr>
          <w:t>https://www.cms.gov/nosurprises/consumers or call 1- 800-985-3059</w:t>
        </w:r>
      </w:hyperlink>
      <w:r w:rsidRPr="00AF79DB">
        <w:rPr>
          <w:rFonts w:ascii="Cambria" w:hAnsi="Cambria"/>
          <w:sz w:val="24"/>
          <w:szCs w:val="24"/>
        </w:rPr>
        <w:t xml:space="preserve">. The initiation of the patient-provider dispute resolution process will not adversely affect the quality of </w:t>
      </w:r>
      <w:r>
        <w:rPr>
          <w:rFonts w:ascii="Cambria" w:hAnsi="Cambria"/>
          <w:sz w:val="24"/>
          <w:szCs w:val="24"/>
        </w:rPr>
        <w:t>the services</w:t>
      </w:r>
      <w:r w:rsidRPr="00AF79DB">
        <w:rPr>
          <w:rFonts w:ascii="Cambria" w:hAnsi="Cambria"/>
          <w:sz w:val="24"/>
          <w:szCs w:val="24"/>
        </w:rPr>
        <w:t xml:space="preserve"> furnished to you. </w:t>
      </w:r>
    </w:p>
    <w:sectPr w:rsidR="00705468" w:rsidRPr="00705468" w:rsidSect="00E25C70">
      <w:headerReference w:type="default" r:id="rId7"/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F6F91" w14:textId="77777777" w:rsidR="00772120" w:rsidRDefault="00772120" w:rsidP="00DE24A5">
      <w:pPr>
        <w:spacing w:after="0" w:line="240" w:lineRule="auto"/>
      </w:pPr>
      <w:r>
        <w:separator/>
      </w:r>
    </w:p>
  </w:endnote>
  <w:endnote w:type="continuationSeparator" w:id="0">
    <w:p w14:paraId="4906CC03" w14:textId="77777777" w:rsidR="00772120" w:rsidRDefault="00772120" w:rsidP="00DE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8F84F" w14:textId="30C8D755" w:rsidR="006C13A8" w:rsidRDefault="00705468">
    <w:pPr>
      <w:pStyle w:val="Footer"/>
    </w:pPr>
    <w:r>
      <w:t>Renée Cordobes, LMFT</w:t>
    </w:r>
    <w:r>
      <w:ptab w:relativeTo="margin" w:alignment="center" w:leader="none"/>
    </w:r>
    <w:r>
      <w:t>CA 52592|OR T1870</w:t>
    </w:r>
    <w:r>
      <w:ptab w:relativeTo="margin" w:alignment="right" w:leader="none"/>
    </w:r>
    <w:r>
      <w:t>reneeclmft@gmail.com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6BD1B" w14:textId="364F3CFC" w:rsidR="00DE24A5" w:rsidRDefault="00705468">
    <w:pPr>
      <w:pStyle w:val="Footer"/>
    </w:pPr>
    <w:r>
      <w:t>Renée Cordobes, LMFT</w:t>
    </w:r>
    <w:r>
      <w:ptab w:relativeTo="margin" w:alignment="center" w:leader="none"/>
    </w:r>
    <w:r>
      <w:ptab w:relativeTo="margin" w:alignment="right" w:leader="none"/>
    </w:r>
    <w:hyperlink r:id="rId1" w:history="1">
      <w:r w:rsidRPr="00CB2B9C">
        <w:rPr>
          <w:rStyle w:val="Hyperlink"/>
        </w:rPr>
        <w:t>reneeclmft@gmail.com</w:t>
      </w:r>
    </w:hyperlink>
  </w:p>
  <w:p w14:paraId="4D722481" w14:textId="77777777" w:rsidR="00705468" w:rsidRDefault="00705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6A47B" w14:textId="77777777" w:rsidR="00772120" w:rsidRDefault="00772120" w:rsidP="00DE24A5">
      <w:pPr>
        <w:spacing w:after="0" w:line="240" w:lineRule="auto"/>
      </w:pPr>
      <w:r>
        <w:separator/>
      </w:r>
    </w:p>
  </w:footnote>
  <w:footnote w:type="continuationSeparator" w:id="0">
    <w:p w14:paraId="2520D661" w14:textId="77777777" w:rsidR="00772120" w:rsidRDefault="00772120" w:rsidP="00DE2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2CC83" w14:textId="7F508298" w:rsidR="00705468" w:rsidRDefault="00705468" w:rsidP="00705468">
    <w:pPr>
      <w:pStyle w:val="Header"/>
      <w:jc w:val="center"/>
    </w:pPr>
    <w:r>
      <w:t xml:space="preserve">NPI: </w:t>
    </w:r>
    <w:r w:rsidRPr="000954AB">
      <w:t>1710224589</w:t>
    </w:r>
    <w:r>
      <w:rPr>
        <w:rFonts w:ascii="Cambria" w:hAnsi="Cambria" w:cs="Times New Roman"/>
        <w:i/>
        <w:iCs/>
        <w:color w:val="0070C0"/>
        <w:sz w:val="24"/>
        <w:szCs w:val="24"/>
      </w:rPr>
      <w:t xml:space="preserve"> </w:t>
    </w:r>
    <w:r w:rsidRPr="00705468">
      <w:rPr>
        <w:b/>
        <w:bCs/>
        <w:color w:val="000000" w:themeColor="text1"/>
      </w:rPr>
      <w:ptab w:relativeTo="margin" w:alignment="center" w:leader="none"/>
    </w:r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Ren</w:t>
    </w:r>
    <w:r w:rsidR="00A71264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é</w:t>
    </w:r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 xml:space="preserve">e </w:t>
    </w:r>
    <w:proofErr w:type="spellStart"/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Cordobes</w:t>
    </w:r>
    <w:proofErr w:type="spellEnd"/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, LMFT</w:t>
    </w:r>
    <w:r>
      <w:ptab w:relativeTo="margin" w:alignment="right" w:leader="none"/>
    </w:r>
    <w:r>
      <w:t xml:space="preserve">EIN: </w:t>
    </w:r>
    <w:r w:rsidRPr="000954AB">
      <w:t>46-1763953</w:t>
    </w:r>
  </w:p>
  <w:p w14:paraId="0C46F8BC" w14:textId="247CBF3B" w:rsidR="00705468" w:rsidRDefault="00705468" w:rsidP="00705468">
    <w:pPr>
      <w:pStyle w:val="Header"/>
    </w:pPr>
    <w:r>
      <w:ptab w:relativeTo="margin" w:alignment="center" w:leader="none"/>
    </w:r>
    <w:r>
      <w:t>CA 52592|OR T1870</w:t>
    </w:r>
  </w:p>
  <w:p w14:paraId="7DE3D53E" w14:textId="0EEF456C" w:rsidR="00705468" w:rsidRDefault="00705468" w:rsidP="00705468">
    <w:pPr>
      <w:pStyle w:val="Header"/>
      <w:jc w:val="center"/>
    </w:pPr>
    <w:r>
      <w:t>1930 Camden Ave., Suite 2C San Jose, CA 95124</w:t>
    </w:r>
  </w:p>
  <w:p w14:paraId="6B41E457" w14:textId="182302E0" w:rsidR="00705468" w:rsidRDefault="00705468" w:rsidP="00705468">
    <w:pPr>
      <w:pStyle w:val="Header"/>
      <w:jc w:val="center"/>
    </w:pPr>
    <w:r>
      <w:t>(408) 412-3901</w:t>
    </w:r>
  </w:p>
  <w:p w14:paraId="66E380AA" w14:textId="77777777" w:rsidR="00705468" w:rsidRDefault="00705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B49"/>
    <w:rsid w:val="00030514"/>
    <w:rsid w:val="000329CE"/>
    <w:rsid w:val="000B3FFF"/>
    <w:rsid w:val="000C171C"/>
    <w:rsid w:val="00170B54"/>
    <w:rsid w:val="00171B1E"/>
    <w:rsid w:val="00171EA9"/>
    <w:rsid w:val="001769DE"/>
    <w:rsid w:val="001835CC"/>
    <w:rsid w:val="00183F0C"/>
    <w:rsid w:val="00211E94"/>
    <w:rsid w:val="00235AA5"/>
    <w:rsid w:val="00261C50"/>
    <w:rsid w:val="0028544E"/>
    <w:rsid w:val="002A40D8"/>
    <w:rsid w:val="00314BEC"/>
    <w:rsid w:val="00330B32"/>
    <w:rsid w:val="0034792B"/>
    <w:rsid w:val="003F2FCA"/>
    <w:rsid w:val="00425009"/>
    <w:rsid w:val="00426FCA"/>
    <w:rsid w:val="0045165A"/>
    <w:rsid w:val="004524AF"/>
    <w:rsid w:val="00453BC8"/>
    <w:rsid w:val="00480771"/>
    <w:rsid w:val="004A0C73"/>
    <w:rsid w:val="004A52C1"/>
    <w:rsid w:val="00503A2C"/>
    <w:rsid w:val="005112B1"/>
    <w:rsid w:val="005277A2"/>
    <w:rsid w:val="00585864"/>
    <w:rsid w:val="006045BE"/>
    <w:rsid w:val="0062552C"/>
    <w:rsid w:val="006362C2"/>
    <w:rsid w:val="006579DA"/>
    <w:rsid w:val="00684247"/>
    <w:rsid w:val="006C13A8"/>
    <w:rsid w:val="006F08A5"/>
    <w:rsid w:val="006F1864"/>
    <w:rsid w:val="006F51F9"/>
    <w:rsid w:val="00705468"/>
    <w:rsid w:val="00764E56"/>
    <w:rsid w:val="00772120"/>
    <w:rsid w:val="00796447"/>
    <w:rsid w:val="007A4B30"/>
    <w:rsid w:val="007C7136"/>
    <w:rsid w:val="007D4FFC"/>
    <w:rsid w:val="0080085C"/>
    <w:rsid w:val="008444A7"/>
    <w:rsid w:val="00862782"/>
    <w:rsid w:val="00884F56"/>
    <w:rsid w:val="008D524D"/>
    <w:rsid w:val="0093488B"/>
    <w:rsid w:val="009535DA"/>
    <w:rsid w:val="00965FB1"/>
    <w:rsid w:val="009848C7"/>
    <w:rsid w:val="00995B80"/>
    <w:rsid w:val="009E39BE"/>
    <w:rsid w:val="009F0D81"/>
    <w:rsid w:val="00A00F02"/>
    <w:rsid w:val="00A41D4A"/>
    <w:rsid w:val="00A71264"/>
    <w:rsid w:val="00A94338"/>
    <w:rsid w:val="00A94AFD"/>
    <w:rsid w:val="00AA18AC"/>
    <w:rsid w:val="00AE0540"/>
    <w:rsid w:val="00AF403B"/>
    <w:rsid w:val="00AF79DB"/>
    <w:rsid w:val="00B01E5D"/>
    <w:rsid w:val="00B310B2"/>
    <w:rsid w:val="00BC6995"/>
    <w:rsid w:val="00C2635B"/>
    <w:rsid w:val="00C34257"/>
    <w:rsid w:val="00CA5F92"/>
    <w:rsid w:val="00CB7457"/>
    <w:rsid w:val="00CD0A4D"/>
    <w:rsid w:val="00CE4499"/>
    <w:rsid w:val="00CF174C"/>
    <w:rsid w:val="00CF5280"/>
    <w:rsid w:val="00D04EC1"/>
    <w:rsid w:val="00D20BF8"/>
    <w:rsid w:val="00D23DB8"/>
    <w:rsid w:val="00D34BCB"/>
    <w:rsid w:val="00D36CCE"/>
    <w:rsid w:val="00D6411C"/>
    <w:rsid w:val="00D87D62"/>
    <w:rsid w:val="00DE24A5"/>
    <w:rsid w:val="00DE40FE"/>
    <w:rsid w:val="00E05415"/>
    <w:rsid w:val="00E2334B"/>
    <w:rsid w:val="00E25C70"/>
    <w:rsid w:val="00EA76D8"/>
    <w:rsid w:val="00EB2672"/>
    <w:rsid w:val="00EC0B49"/>
    <w:rsid w:val="00EC13F9"/>
    <w:rsid w:val="00ED0F42"/>
    <w:rsid w:val="00F15324"/>
    <w:rsid w:val="00F3099D"/>
    <w:rsid w:val="00FA3414"/>
    <w:rsid w:val="00F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1533"/>
  <w15:chartTrackingRefBased/>
  <w15:docId w15:val="{61A3C268-A251-40EC-AECB-C732121A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A5"/>
  </w:style>
  <w:style w:type="paragraph" w:styleId="Footer">
    <w:name w:val="footer"/>
    <w:basedOn w:val="Normal"/>
    <w:link w:val="FooterChar"/>
    <w:uiPriority w:val="99"/>
    <w:unhideWhenUsed/>
    <w:rsid w:val="00DE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A5"/>
  </w:style>
  <w:style w:type="paragraph" w:styleId="Revision">
    <w:name w:val="Revision"/>
    <w:hidden/>
    <w:uiPriority w:val="99"/>
    <w:semiHidden/>
    <w:rsid w:val="00C342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3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2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2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2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F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6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79D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0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ms.gov/nosurprises/consumers%20or%20call%201-%20800-985-305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neeclm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Griffin</dc:creator>
  <cp:keywords/>
  <dc:description/>
  <cp:lastModifiedBy>Elissa Sorenson</cp:lastModifiedBy>
  <cp:revision>4</cp:revision>
  <cp:lastPrinted>2021-12-22T20:22:00Z</cp:lastPrinted>
  <dcterms:created xsi:type="dcterms:W3CDTF">2022-01-10T07:15:00Z</dcterms:created>
  <dcterms:modified xsi:type="dcterms:W3CDTF">2022-01-10T08:14:00Z</dcterms:modified>
</cp:coreProperties>
</file>