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626B4" w14:textId="054BBD57" w:rsidR="006A2E3C" w:rsidRPr="00D16991" w:rsidRDefault="00893539">
      <w:pPr>
        <w:rPr>
          <w:b/>
          <w:bCs/>
        </w:rPr>
      </w:pPr>
      <w:r w:rsidRPr="00D16991">
        <w:rPr>
          <w:b/>
          <w:bCs/>
        </w:rPr>
        <w:t xml:space="preserve">Methods </w:t>
      </w:r>
    </w:p>
    <w:p w14:paraId="14F786DC" w14:textId="77777777" w:rsidR="00893539" w:rsidRDefault="00893539"/>
    <w:p w14:paraId="76FD53A0" w14:textId="77777777" w:rsidR="00E23ED3" w:rsidRDefault="00E23ED3"/>
    <w:p w14:paraId="6F7E19AF" w14:textId="77777777" w:rsidR="00E23ED3" w:rsidRDefault="00E23ED3">
      <w:r>
        <w:t>Census data</w:t>
      </w:r>
    </w:p>
    <w:p w14:paraId="53AC3274" w14:textId="77777777" w:rsidR="004F11AE" w:rsidRDefault="00E23ED3" w:rsidP="00845B71">
      <w:r>
        <w:t xml:space="preserve">We included populated census blocks for the year 2010 obtained from the National Historical Geographic Information System (NHGIS) website </w:t>
      </w:r>
      <w:r>
        <w:fldChar w:fldCharType="begin"/>
      </w:r>
      <w:r w:rsidR="00845B71">
        <w:instrText xml:space="preserve"> ADDIN EN.CITE &lt;EndNote&gt;&lt;Cite&gt;&lt;Author&gt;Manson&lt;/Author&gt;&lt;Year&gt;2018&lt;/Year&gt;&lt;RecNum&gt;415&lt;/RecNum&gt;&lt;DisplayText&gt;(Manson et al., 2018; US Census Bureau, 2010)&lt;/DisplayText&gt;&lt;record&gt;&lt;rec-number&gt;415&lt;/rec-number&gt;&lt;foreign-keys&gt;&lt;key app="EN" db-id="sepddp20s9p0fsetespvfzwjv0d9tat2092f" timestamp="1556737502"&gt;415&lt;/key&gt;&lt;/foreign-keys&gt;&lt;ref-type name="Dataset"&gt;59&lt;/ref-type&gt;&lt;contributors&gt;&lt;authors&gt;&lt;author&gt;Manson, Steven&lt;/author&gt;&lt;author&gt;Schroeder, Jonathan&lt;/author&gt;&lt;author&gt;Van Riper, David&lt;/author&gt;&lt;author&gt;Ruggles, Steven&lt;/author&gt;&lt;/authors&gt;&lt;/contributors&gt;&lt;titles&gt;&lt;title&gt;IPUMS National Historical Geographic Information System: Version 13.0 [Database]. Minneapolis: University of Minnesota.&lt;/title&gt;&lt;/titles&gt;&lt;dates&gt;&lt;year&gt;2018&lt;/year&gt;&lt;/dates&gt;&lt;urls&gt;&lt;/urls&gt;&lt;electronic-resource-num&gt;http://doi.org/10.18128/D050.V13.0&lt;/electronic-resource-num&gt;&lt;/record&gt;&lt;/Cite&gt;&lt;Cite&gt;&lt;Author&gt;US Census Bureau&lt;/Author&gt;&lt;Year&gt;2010&lt;/Year&gt;&lt;RecNum&gt;48&lt;/RecNum&gt;&lt;record&gt;&lt;rec-number&gt;48&lt;/rec-number&gt;&lt;foreign-keys&gt;&lt;key app="EN" db-id="sepddp20s9p0fsetespvfzwjv0d9tat2092f" timestamp="1553104552"&gt;48&lt;/key&gt;&lt;/foreign-keys&gt;&lt;ref-type name="Generic"&gt;13&lt;/ref-type&gt;&lt;contributors&gt;&lt;authors&gt;&lt;author&gt;US Census Bureau, &lt;/author&gt;&lt;/authors&gt;&lt;/contributors&gt;&lt;titles&gt;&lt;title&gt;American factfinder&lt;/title&gt;&lt;/titles&gt;&lt;dates&gt;&lt;year&gt;2010&lt;/year&gt;&lt;/dates&gt;&lt;publisher&gt;US Census Bureau Washington, DC&lt;/publisher&gt;&lt;urls&gt;&lt;/urls&gt;&lt;/record&gt;&lt;/Cite&gt;&lt;/EndNote&gt;</w:instrText>
      </w:r>
      <w:r>
        <w:fldChar w:fldCharType="separate"/>
      </w:r>
      <w:r w:rsidR="00845B71">
        <w:rPr>
          <w:noProof/>
        </w:rPr>
        <w:t>(Manson et al., 2018; US Census Bureau, 2010)</w:t>
      </w:r>
      <w:r>
        <w:fldChar w:fldCharType="end"/>
      </w:r>
      <w:r w:rsidR="004F11AE">
        <w:t xml:space="preserve">. Each block included information on total population of children &lt;18 years, and whether the census block was designated as an urban or rural block. Median household income was available only for census block groups, which is a level higher than census block, divided into five categorized: &lt;$20,000, $20,000 to &lt;$35,000, $35,000 to &lt;$50,000, $50,000 to &lt;$75,000 and ≥$75,000. There were 2686 (0.04%) census blocks with missing median income data in 2010 which were excluded the analysis of median household income. Table 1 summarizes the geographical and </w:t>
      </w:r>
      <w:r w:rsidR="00C928CB">
        <w:t>demographic data.</w:t>
      </w:r>
    </w:p>
    <w:p w14:paraId="10186AEE" w14:textId="77777777" w:rsidR="00D34741" w:rsidRDefault="00D34741" w:rsidP="00C928CB"/>
    <w:p w14:paraId="13CAD753" w14:textId="77777777" w:rsidR="00C928CB" w:rsidRDefault="00C928CB" w:rsidP="004F11AE">
      <w:r>
        <w:t>Asthma incidence and prevalence rates</w:t>
      </w:r>
    </w:p>
    <w:p w14:paraId="67B33ABB" w14:textId="77777777" w:rsidR="00C12F53" w:rsidRDefault="004632DF" w:rsidP="004632DF">
      <w:r>
        <w:t xml:space="preserve">An incidence rate is defined as the number of new cases, within a specified time period, among an at-risk population. To estimate childhood asthma incidence rate, new asthma childhood cases and at-risk children, </w:t>
      </w:r>
      <w:r w:rsidR="00337D46">
        <w:t xml:space="preserve">we used </w:t>
      </w:r>
      <w:r w:rsidR="00845B71">
        <w:t xml:space="preserve">the Asthma Call Back Survey (ACBS) and </w:t>
      </w:r>
      <w:r w:rsidR="00845B71" w:rsidRPr="00845B71">
        <w:t>Behavioral Risk Factor Surveillance System (BRFSS)</w:t>
      </w:r>
      <w:r w:rsidR="00845B71">
        <w:t xml:space="preserve"> </w:t>
      </w:r>
      <w:r w:rsidR="00845B71">
        <w:fldChar w:fldCharType="begin"/>
      </w:r>
      <w:r w:rsidR="00845B71">
        <w:instrText xml:space="preserve"> ADDIN EN.CITE &lt;EndNote&gt;&lt;Cite&gt;&lt;Author&gt;CDC&lt;/Author&gt;&lt;Year&gt;2011&lt;/Year&gt;&lt;RecNum&gt;31&lt;/RecNum&gt;&lt;DisplayText&gt;(CDC, 2009, 2011)&lt;/DisplayText&gt;&lt;record&gt;&lt;rec-number&gt;31&lt;/rec-number&gt;&lt;foreign-keys&gt;&lt;key app="EN" db-id="sepddp20s9p0fsetespvfzwjv0d9tat2092f" timestamp="1553104550"&gt;31&lt;/key&gt;&lt;/foreign-keys&gt;&lt;ref-type name="Report"&gt;27&lt;/ref-type&gt;&lt;contributors&gt;&lt;authors&gt;&lt;author&gt;CDC&lt;/author&gt;&lt;/authors&gt;&lt;/contributors&gt;&lt;titles&gt;&lt;title&gt;Centers for Disease Control and Prevention. 2006-2008 ACBS Summary Data Qulaity Report. 2011&lt;/title&gt;&lt;/titles&gt;&lt;dates&gt;&lt;year&gt;2011&lt;/year&gt;&lt;/dates&gt;&lt;urls&gt;&lt;related-urls&gt;&lt;url&gt;https://www.cdc.gov/brfss/acbs/2008 \_ documentation.htm&lt;/url&gt;&lt;/related-urls&gt;&lt;/urls&gt;&lt;/record&gt;&lt;/Cite&gt;&lt;Cite&gt;&lt;Author&gt;CDC&lt;/Author&gt;&lt;Year&gt;2009&lt;/Year&gt;&lt;RecNum&gt;32&lt;/RecNum&gt;&lt;record&gt;&lt;rec-number&gt;32&lt;/rec-number&gt;&lt;foreign-keys&gt;&lt;key app="EN" db-id="sepddp20s9p0fsetespvfzwjv0d9tat2092f" timestamp="1553104550"&gt;32&lt;/key&gt;&lt;/foreign-keys&gt;&lt;ref-type name="Generic"&gt;13&lt;/ref-type&gt;&lt;contributors&gt;&lt;authors&gt;&lt;author&gt;CDC&lt;/author&gt;&lt;/authors&gt;&lt;/contributors&gt;&lt;titles&gt;&lt;title&gt;Centers for Disease Control and Prevention. Behavioral Risk Factor Surveillance System Survey Data. Atlanta, Georgia: U.S. Department of Health and Human Services, Centers for Disease Control and Prevention, 2019&lt;/title&gt;&lt;/titles&gt;&lt;dates&gt;&lt;year&gt;2009&lt;/year&gt;&lt;/dates&gt;&lt;urls&gt;&lt;related-urls&gt;&lt;url&gt;https://www.cdc.gov/brfss/&lt;/url&gt;&lt;/related-urls&gt;&lt;/urls&gt;&lt;/record&gt;&lt;/Cite&gt;&lt;/EndNote&gt;</w:instrText>
      </w:r>
      <w:r w:rsidR="00845B71">
        <w:fldChar w:fldCharType="separate"/>
      </w:r>
      <w:r w:rsidR="00845B71">
        <w:rPr>
          <w:noProof/>
        </w:rPr>
        <w:t>(CDC, 2009, 2011)</w:t>
      </w:r>
      <w:r w:rsidR="00845B71">
        <w:fldChar w:fldCharType="end"/>
      </w:r>
      <w:r w:rsidR="00845B71">
        <w:t xml:space="preserve"> following </w:t>
      </w:r>
      <w:r w:rsidR="00D34741">
        <w:t xml:space="preserve">the methods described by </w:t>
      </w:r>
      <w:r w:rsidR="00D34741">
        <w:fldChar w:fldCharType="begin"/>
      </w:r>
      <w:r w:rsidR="00845B71">
        <w:instrText xml:space="preserve"> ADDIN EN.CITE &lt;EndNote&gt;&lt;Cite AuthorYear="1"&gt;&lt;Author&gt;Winer&lt;/Author&gt;&lt;Year&gt;2012&lt;/Year&gt;&lt;RecNum&gt;18&lt;/RecNum&gt;&lt;DisplayText&gt;Winer et al. (2012)&lt;/DisplayText&gt;&lt;record&gt;&lt;rec-number&gt;18&lt;/rec-number&gt;&lt;foreign-keys&gt;&lt;key app="EN" db-id="sepddp20s9p0fsetespvfzwjv0d9tat2092f" timestamp="1553104549"&gt;18&lt;/key&gt;&lt;/foreign-keys&gt;&lt;ref-type name="Journal Article"&gt;17&lt;/ref-type&gt;&lt;contributors&gt;&lt;authors&gt;&lt;author&gt;Winer, Rachel A&lt;/author&gt;&lt;author&gt;Qin, Xiaoting&lt;/author&gt;&lt;author&gt;Harrington, Theresa&lt;/author&gt;&lt;author&gt;Moorman, Jeanne&lt;/author&gt;&lt;author&gt;Zahran, Hatice&lt;/author&gt;&lt;/authors&gt;&lt;/contributors&gt;&lt;titles&gt;&lt;title&gt;Asthma incidence among children and adults: findings from the Behavioral Risk Factor Surveillance system asthma call-back survey—United States, 2006–2008&lt;/title&gt;&lt;secondary-title&gt;Journal of Asthma&lt;/secondary-title&gt;&lt;/titles&gt;&lt;periodical&gt;&lt;full-title&gt;Journal of Asthma&lt;/full-title&gt;&lt;/periodical&gt;&lt;pages&gt;16-22&lt;/pages&gt;&lt;volume&gt;49&lt;/volume&gt;&lt;number&gt;1&lt;/number&gt;&lt;dates&gt;&lt;year&gt;2012&lt;/year&gt;&lt;/dates&gt;&lt;isbn&gt;0277-0903&lt;/isbn&gt;&lt;urls&gt;&lt;/urls&gt;&lt;/record&gt;&lt;/Cite&gt;&lt;/EndNote&gt;</w:instrText>
      </w:r>
      <w:r w:rsidR="00D34741">
        <w:fldChar w:fldCharType="separate"/>
      </w:r>
      <w:r w:rsidR="00845B71">
        <w:rPr>
          <w:noProof/>
        </w:rPr>
        <w:t>Winer et al. (2012)</w:t>
      </w:r>
      <w:r w:rsidR="00D34741">
        <w:fldChar w:fldCharType="end"/>
      </w:r>
      <w:r w:rsidR="00337D46">
        <w:t>. In brief, participants in the BRFSS are asked “Has a doctor, nurse, or other health professional ever said that the [name of child] has asthma?” if the answer is “yes”, the respondent is requested to participate in the ACBS follow up survey. The ACBS survey further asks “How old was the [name of child] when a doctor or other health professional first said [he/she] had asthma? How long ago was that?</w:t>
      </w:r>
      <w:r w:rsidR="00C12F53">
        <w:t>” a</w:t>
      </w:r>
      <w:r>
        <w:t xml:space="preserve"> new</w:t>
      </w:r>
      <w:r w:rsidR="00C12F53">
        <w:t xml:space="preserve"> asthma incident case would answer </w:t>
      </w:r>
      <w:r w:rsidR="00337D46">
        <w:t>“within the past 12 months”</w:t>
      </w:r>
      <w:r w:rsidR="00C12F53">
        <w:t>.</w:t>
      </w:r>
      <w:r>
        <w:t xml:space="preserve"> At-risk children are the sum of new asthma cases and total who never had asthma (i.e. by subtracting the prevalent cases from total children). </w:t>
      </w:r>
    </w:p>
    <w:p w14:paraId="61E0FEE2" w14:textId="77777777" w:rsidR="00337D46" w:rsidRDefault="00C12F53" w:rsidP="00C12F53">
      <w:r>
        <w:t xml:space="preserve">We calculated the asthma incidence rate by dividing asthma incident cases by the total number of children </w:t>
      </w:r>
    </w:p>
    <w:p w14:paraId="64CDF233" w14:textId="0FCC0C32" w:rsidR="00C928CB" w:rsidRDefault="00C928CB" w:rsidP="004F11AE"/>
    <w:p w14:paraId="21FC8FE4" w14:textId="006068AD" w:rsidR="00845052" w:rsidRDefault="00D16991" w:rsidP="004F11AE">
      <w:r>
        <w:t>NO</w:t>
      </w:r>
      <w:r w:rsidRPr="00D16991">
        <w:rPr>
          <w:vertAlign w:val="subscript"/>
        </w:rPr>
        <w:t>2</w:t>
      </w:r>
      <w:r>
        <w:t xml:space="preserve"> exposure assessment</w:t>
      </w:r>
    </w:p>
    <w:p w14:paraId="4BD177F3" w14:textId="0D9C707E" w:rsidR="00C928CB" w:rsidRDefault="00C928CB" w:rsidP="004F11AE"/>
    <w:p w14:paraId="45945BBB" w14:textId="5C1C9AC7" w:rsidR="00D16991" w:rsidRDefault="00D16991" w:rsidP="004F11AE">
      <w:r>
        <w:t>Concentration-response function</w:t>
      </w:r>
    </w:p>
    <w:p w14:paraId="506A9909" w14:textId="247DD8D2" w:rsidR="00D16991" w:rsidRDefault="00D16991" w:rsidP="004F11AE"/>
    <w:p w14:paraId="0AF3AF02" w14:textId="65ABA7A8" w:rsidR="00D16991" w:rsidRDefault="00D16991" w:rsidP="004F11AE">
      <w:r>
        <w:t>Burden of disease estimate</w:t>
      </w:r>
    </w:p>
    <w:p w14:paraId="3DF394EC" w14:textId="77777777" w:rsidR="00C928CB" w:rsidRDefault="00C928CB" w:rsidP="004F11AE"/>
    <w:p w14:paraId="44A4EDF0" w14:textId="77777777" w:rsidR="00C928CB" w:rsidRDefault="00C928CB" w:rsidP="004F11AE"/>
    <w:p w14:paraId="0648DF9E" w14:textId="77777777" w:rsidR="00C928CB" w:rsidRDefault="00C928CB" w:rsidP="004F11AE"/>
    <w:p w14:paraId="34B75231" w14:textId="27EACECE" w:rsidR="00C928CB" w:rsidRPr="00D16991" w:rsidRDefault="00D16991" w:rsidP="004F11AE">
      <w:pPr>
        <w:rPr>
          <w:b/>
          <w:bCs/>
        </w:rPr>
      </w:pPr>
      <w:r w:rsidRPr="00D16991">
        <w:rPr>
          <w:b/>
          <w:bCs/>
        </w:rPr>
        <w:lastRenderedPageBreak/>
        <w:t>Results</w:t>
      </w:r>
    </w:p>
    <w:p w14:paraId="77D8F891" w14:textId="651BB7FE" w:rsidR="00C928CB" w:rsidRDefault="00D16991" w:rsidP="004F11AE">
      <w:r>
        <w:t>Asthma incident cases</w:t>
      </w:r>
    </w:p>
    <w:p w14:paraId="59C4B98D" w14:textId="77777777" w:rsidR="00C928CB" w:rsidRDefault="00C928CB" w:rsidP="004F11AE"/>
    <w:p w14:paraId="6B0F3F32" w14:textId="63EDC25D" w:rsidR="00C928CB" w:rsidRDefault="00D16991" w:rsidP="004F11AE">
      <w:r>
        <w:t>Attributable number of cases</w:t>
      </w:r>
    </w:p>
    <w:p w14:paraId="334652FC" w14:textId="2BEA6849" w:rsidR="00D16991" w:rsidRDefault="00D16991" w:rsidP="004F11AE"/>
    <w:p w14:paraId="5AAF9115" w14:textId="77777777" w:rsidR="00D16991" w:rsidRDefault="00D16991" w:rsidP="004F11AE"/>
    <w:p w14:paraId="42F84D5C" w14:textId="77777777" w:rsidR="00C928CB" w:rsidRDefault="00C928CB" w:rsidP="004F11AE"/>
    <w:p w14:paraId="4ABCA75A" w14:textId="77777777" w:rsidR="00C928CB" w:rsidRDefault="00C928CB" w:rsidP="004F11AE"/>
    <w:p w14:paraId="426CF4DF" w14:textId="77777777" w:rsidR="00C928CB" w:rsidRDefault="00C928CB" w:rsidP="004F11AE"/>
    <w:p w14:paraId="68FAEC4C" w14:textId="77777777" w:rsidR="00C928CB" w:rsidRDefault="00C928CB" w:rsidP="004F11AE"/>
    <w:p w14:paraId="7D47FEEA" w14:textId="77777777" w:rsidR="00C928CB" w:rsidRDefault="00C928CB" w:rsidP="004F11AE"/>
    <w:p w14:paraId="4E0B5902" w14:textId="77777777" w:rsidR="00C928CB" w:rsidRDefault="00C928CB" w:rsidP="004F11AE"/>
    <w:p w14:paraId="24628143" w14:textId="77777777" w:rsidR="00C928CB" w:rsidRDefault="00C928CB" w:rsidP="004F11AE"/>
    <w:p w14:paraId="7205B184" w14:textId="77777777" w:rsidR="00C928CB" w:rsidRDefault="00C928CB" w:rsidP="004F11AE"/>
    <w:p w14:paraId="5F780E69" w14:textId="1C5DC74B" w:rsidR="00C928CB" w:rsidRDefault="00C928CB" w:rsidP="004F11AE"/>
    <w:p w14:paraId="54B35AF7" w14:textId="7FB5A3F2" w:rsidR="00D16991" w:rsidRDefault="00D16991" w:rsidP="004F11AE"/>
    <w:p w14:paraId="765F8288" w14:textId="491F92EB" w:rsidR="00D16991" w:rsidRDefault="00D16991" w:rsidP="004F11AE"/>
    <w:p w14:paraId="5B54106B" w14:textId="4306CAE9" w:rsidR="00D16991" w:rsidRDefault="00D16991" w:rsidP="004F11AE"/>
    <w:p w14:paraId="76A33804" w14:textId="6EA8D674" w:rsidR="00D16991" w:rsidRDefault="00D16991" w:rsidP="004F11AE"/>
    <w:p w14:paraId="5E381AA6" w14:textId="29632B8C" w:rsidR="00D16991" w:rsidRDefault="00D16991" w:rsidP="004F11AE"/>
    <w:p w14:paraId="5C8A5A25" w14:textId="42B137CD" w:rsidR="00D16991" w:rsidRDefault="00D16991" w:rsidP="004F11AE"/>
    <w:p w14:paraId="23B67EB4" w14:textId="2B2780F4" w:rsidR="00D16991" w:rsidRDefault="00D16991" w:rsidP="004F11AE"/>
    <w:p w14:paraId="258AE802" w14:textId="5CF3669F" w:rsidR="00D16991" w:rsidRDefault="00D16991" w:rsidP="004F11AE"/>
    <w:p w14:paraId="00B4D00F" w14:textId="339E9150" w:rsidR="00D16991" w:rsidRDefault="00D16991" w:rsidP="004F11AE"/>
    <w:p w14:paraId="653976F0" w14:textId="6894C876" w:rsidR="00D16991" w:rsidRDefault="00D16991" w:rsidP="004F11AE"/>
    <w:p w14:paraId="2EDB5559" w14:textId="2F660230" w:rsidR="00D16991" w:rsidRDefault="00D16991" w:rsidP="004F11AE"/>
    <w:p w14:paraId="243B48FC" w14:textId="77777777" w:rsidR="00D16991" w:rsidRDefault="00D16991" w:rsidP="004F11AE">
      <w:bookmarkStart w:id="0" w:name="_GoBack"/>
      <w:bookmarkEnd w:id="0"/>
    </w:p>
    <w:p w14:paraId="1BCDBCEB" w14:textId="77777777" w:rsidR="00C928CB" w:rsidRDefault="00C928CB" w:rsidP="004F11AE"/>
    <w:p w14:paraId="3ED556FE" w14:textId="77777777" w:rsidR="00845B71" w:rsidRPr="00845B71" w:rsidRDefault="00E23ED3" w:rsidP="00845B71">
      <w:pPr>
        <w:pStyle w:val="EndNoteBibliography"/>
        <w:spacing w:after="0"/>
        <w:ind w:left="720" w:hanging="720"/>
      </w:pPr>
      <w:r>
        <w:lastRenderedPageBreak/>
        <w:fldChar w:fldCharType="begin"/>
      </w:r>
      <w:r>
        <w:instrText xml:space="preserve"> ADDIN EN.REFLIST </w:instrText>
      </w:r>
      <w:r>
        <w:fldChar w:fldCharType="separate"/>
      </w:r>
      <w:r w:rsidR="00845B71" w:rsidRPr="00845B71">
        <w:t>CDC. (2009). Centers for Disease Control and Prevention. Behavioral Risk Factor Surveillance System Survey Data. Atlanta, Georgia: U.S. Department of Health and Human Services, Centers for Disease Control and Prevention, 2019.</w:t>
      </w:r>
    </w:p>
    <w:p w14:paraId="19771D07" w14:textId="77777777" w:rsidR="00845B71" w:rsidRPr="00845B71" w:rsidRDefault="00845B71" w:rsidP="00845B71">
      <w:pPr>
        <w:pStyle w:val="EndNoteBibliography"/>
        <w:spacing w:after="0"/>
        <w:ind w:left="720" w:hanging="720"/>
      </w:pPr>
      <w:r w:rsidRPr="00845B71">
        <w:t xml:space="preserve">CDC. (2011). </w:t>
      </w:r>
      <w:r w:rsidRPr="00845B71">
        <w:rPr>
          <w:i/>
        </w:rPr>
        <w:t>Centers for Disease Control and Prevention. 2006-2008 ACBS Summary Data Qulaity Report. 2011</w:t>
      </w:r>
      <w:r w:rsidRPr="00845B71">
        <w:t xml:space="preserve">. Retrieved from </w:t>
      </w:r>
      <w:hyperlink r:id="rId4" w:history="1">
        <w:r w:rsidRPr="00845B71">
          <w:rPr>
            <w:rStyle w:val="Hyperlink"/>
          </w:rPr>
          <w:t>https://www.cdc.gov/brfss/acbs/2008</w:t>
        </w:r>
      </w:hyperlink>
      <w:r w:rsidRPr="00845B71">
        <w:t xml:space="preserve"> \_ documentation.htm</w:t>
      </w:r>
    </w:p>
    <w:p w14:paraId="09A1455A" w14:textId="77777777" w:rsidR="00845B71" w:rsidRPr="00845B71" w:rsidRDefault="00845B71" w:rsidP="00845B71">
      <w:pPr>
        <w:pStyle w:val="EndNoteBibliography"/>
        <w:spacing w:after="0"/>
        <w:ind w:left="720" w:hanging="720"/>
      </w:pPr>
      <w:r w:rsidRPr="00845B71">
        <w:t xml:space="preserve">Manson, S., Schroeder, J., Van Riper, D., &amp; Ruggles, S. (2018). </w:t>
      </w:r>
      <w:r w:rsidRPr="00845B71">
        <w:rPr>
          <w:i/>
        </w:rPr>
        <w:t>IPUMS National Historical Geographic Information System: Version 13.0 [Database]. Minneapolis: University of Minnesota.</w:t>
      </w:r>
      <w:r w:rsidRPr="00845B71">
        <w:t xml:space="preserve"> </w:t>
      </w:r>
    </w:p>
    <w:p w14:paraId="0AEE3CD4" w14:textId="77777777" w:rsidR="00845B71" w:rsidRPr="00845B71" w:rsidRDefault="00845B71" w:rsidP="00845B71">
      <w:pPr>
        <w:pStyle w:val="EndNoteBibliography"/>
        <w:spacing w:after="0"/>
        <w:ind w:left="720" w:hanging="720"/>
      </w:pPr>
      <w:r w:rsidRPr="00845B71">
        <w:t>US Census Bureau. (2010). American factfinder: US Census Bureau Washington, DC.</w:t>
      </w:r>
    </w:p>
    <w:p w14:paraId="70A04E28" w14:textId="77777777" w:rsidR="00845B71" w:rsidRPr="00845B71" w:rsidRDefault="00845B71" w:rsidP="00845B71">
      <w:pPr>
        <w:pStyle w:val="EndNoteBibliography"/>
        <w:ind w:left="720" w:hanging="720"/>
      </w:pPr>
      <w:r w:rsidRPr="00845B71">
        <w:t xml:space="preserve">Winer, R. A., Qin, X., Harrington, T., Moorman, J., &amp; Zahran, H. (2012). Asthma incidence among children and adults: findings from the Behavioral Risk Factor Surveillance system asthma call-back survey—United States, 2006–2008. </w:t>
      </w:r>
      <w:r w:rsidRPr="00845B71">
        <w:rPr>
          <w:i/>
        </w:rPr>
        <w:t>Journal of Asthma, 49</w:t>
      </w:r>
      <w:r w:rsidRPr="00845B71">
        <w:t xml:space="preserve">(1), 16-22. </w:t>
      </w:r>
    </w:p>
    <w:p w14:paraId="50E336C3" w14:textId="77777777" w:rsidR="00E23ED3" w:rsidRDefault="00E23ED3" w:rsidP="00845B71">
      <w:r>
        <w:fldChar w:fldCharType="end"/>
      </w:r>
    </w:p>
    <w:sectPr w:rsidR="00E23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yNjc3szAwMDU0NTJX0lEKTi0uzszPAykwrAUAsCS6cy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 -Ra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epddp20s9p0fsetespvfzwjv0d9tat2092f&quot;&gt;RaedEndNoteLibrary&lt;record-ids&gt;&lt;item&gt;18&lt;/item&gt;&lt;item&gt;31&lt;/item&gt;&lt;item&gt;32&lt;/item&gt;&lt;item&gt;48&lt;/item&gt;&lt;item&gt;415&lt;/item&gt;&lt;/record-ids&gt;&lt;/item&gt;&lt;/Libraries&gt;"/>
  </w:docVars>
  <w:rsids>
    <w:rsidRoot w:val="00893539"/>
    <w:rsid w:val="001A65BA"/>
    <w:rsid w:val="00337D46"/>
    <w:rsid w:val="004632DF"/>
    <w:rsid w:val="004F11AE"/>
    <w:rsid w:val="006A2E3C"/>
    <w:rsid w:val="00845052"/>
    <w:rsid w:val="00845B71"/>
    <w:rsid w:val="00893539"/>
    <w:rsid w:val="00C12F53"/>
    <w:rsid w:val="00C928CB"/>
    <w:rsid w:val="00CF48EC"/>
    <w:rsid w:val="00D16991"/>
    <w:rsid w:val="00D34741"/>
    <w:rsid w:val="00E2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DDC0E"/>
  <w15:chartTrackingRefBased/>
  <w15:docId w15:val="{64071C38-4AB7-4046-AA8D-1D5D5075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E23ED3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23ED3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E23ED3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E23ED3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845B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dc.gov/brfss/acbs/20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Transportation Institute</Company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Alotaibi, Raed</dc:creator>
  <cp:keywords/>
  <dc:description/>
  <cp:lastModifiedBy>Raed Alotaibi</cp:lastModifiedBy>
  <cp:revision>3</cp:revision>
  <dcterms:created xsi:type="dcterms:W3CDTF">2019-05-01T17:08:00Z</dcterms:created>
  <dcterms:modified xsi:type="dcterms:W3CDTF">2019-05-02T05:18:00Z</dcterms:modified>
</cp:coreProperties>
</file>