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8A11E2" w14:paraId="007013FD" w14:textId="79C2F39A" w:rsidTr="008A11E2">
        <w:tc>
          <w:tcPr>
            <w:tcW w:w="1083" w:type="pct"/>
            <w:vMerge w:val="restart"/>
            <w:vAlign w:val="center"/>
          </w:tcPr>
          <w:p w14:paraId="70922692" w14:textId="33717811" w:rsidR="008A11E2" w:rsidRPr="00A529FC" w:rsidRDefault="008A11E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8A11E2" w:rsidRPr="00A529FC" w:rsidRDefault="008A11E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8A11E2" w14:paraId="45F7AF02" w14:textId="274CEA97" w:rsidTr="008A11E2">
        <w:tc>
          <w:tcPr>
            <w:tcW w:w="1083" w:type="pct"/>
            <w:vMerge/>
            <w:vAlign w:val="center"/>
          </w:tcPr>
          <w:p w14:paraId="42FEFCFF" w14:textId="77777777" w:rsidR="008A11E2" w:rsidRDefault="008A11E2" w:rsidP="00207872"/>
        </w:tc>
        <w:tc>
          <w:tcPr>
            <w:tcW w:w="2634" w:type="pct"/>
          </w:tcPr>
          <w:p w14:paraId="66BB8B47" w14:textId="31DE94CB" w:rsidR="008A11E2" w:rsidRPr="00A529FC" w:rsidRDefault="008A11E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8A11E2" w:rsidRPr="00A529FC" w14:paraId="498846AE" w14:textId="720DCFB5" w:rsidTr="008A11E2">
        <w:tc>
          <w:tcPr>
            <w:tcW w:w="1083" w:type="pct"/>
            <w:vMerge w:val="restart"/>
            <w:vAlign w:val="center"/>
          </w:tcPr>
          <w:p w14:paraId="2BD4BDF2" w14:textId="2DEB9105" w:rsidR="008A11E2" w:rsidRPr="00A529FC" w:rsidRDefault="008A11E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8A11E2" w:rsidRPr="00A529FC" w:rsidRDefault="008A11E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21736234" w:rsidR="008A11E2" w:rsidRPr="00A529FC" w:rsidRDefault="008A11E2" w:rsidP="00F552A0">
            <w:pPr>
              <w:jc w:val="right"/>
            </w:pPr>
            <w:r w:rsidRPr="00722327">
              <w:t>306</w:t>
            </w:r>
            <w:r>
              <w:t>,</w:t>
            </w:r>
            <w:r w:rsidRPr="00722327">
              <w:t>675</w:t>
            </w:r>
            <w:r>
              <w:t>,</w:t>
            </w:r>
            <w:r w:rsidRPr="00722327">
              <w:t>006</w:t>
            </w:r>
          </w:p>
        </w:tc>
      </w:tr>
      <w:tr w:rsidR="008A11E2" w:rsidRPr="00A529FC" w14:paraId="08D92A15" w14:textId="1D3A307B" w:rsidTr="008A11E2">
        <w:tc>
          <w:tcPr>
            <w:tcW w:w="1083" w:type="pct"/>
            <w:vMerge/>
            <w:vAlign w:val="center"/>
          </w:tcPr>
          <w:p w14:paraId="42B58DBA" w14:textId="77777777" w:rsidR="008A11E2" w:rsidRPr="00A529FC" w:rsidRDefault="008A11E2" w:rsidP="00722327"/>
        </w:tc>
        <w:tc>
          <w:tcPr>
            <w:tcW w:w="2634" w:type="pct"/>
          </w:tcPr>
          <w:p w14:paraId="0C0C5642" w14:textId="1B87C5A2" w:rsidR="008A11E2" w:rsidRPr="00A529FC" w:rsidRDefault="008A11E2" w:rsidP="00722327">
            <w:r w:rsidRPr="00A529FC">
              <w:t>Total population of children (birth – 18)</w:t>
            </w:r>
          </w:p>
        </w:tc>
        <w:tc>
          <w:tcPr>
            <w:tcW w:w="1283" w:type="pct"/>
            <w:vAlign w:val="bottom"/>
          </w:tcPr>
          <w:p w14:paraId="5055DBAC" w14:textId="1EBB9136" w:rsidR="008A11E2" w:rsidRPr="00A529FC" w:rsidRDefault="008A11E2" w:rsidP="0072232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8A11E2" w14:paraId="2DEF1207" w14:textId="4D7C95D5" w:rsidTr="008A11E2">
        <w:tc>
          <w:tcPr>
            <w:tcW w:w="1083" w:type="pct"/>
            <w:vMerge/>
            <w:vAlign w:val="center"/>
          </w:tcPr>
          <w:p w14:paraId="1EB53255" w14:textId="77777777" w:rsidR="008A11E2" w:rsidRDefault="008A11E2" w:rsidP="00722327"/>
        </w:tc>
        <w:tc>
          <w:tcPr>
            <w:tcW w:w="2634" w:type="pct"/>
          </w:tcPr>
          <w:p w14:paraId="0E301DE1" w14:textId="4A0AE30C" w:rsidR="008A11E2" w:rsidRPr="00A529FC" w:rsidRDefault="008A11E2" w:rsidP="00722327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00916E27" w:rsidR="008A11E2" w:rsidRPr="008A11E2" w:rsidRDefault="008A11E2" w:rsidP="00722327">
            <w:pPr>
              <w:jc w:val="right"/>
            </w:pPr>
            <w:r w:rsidRPr="008A11E2">
              <w:t>12</w:t>
            </w:r>
            <w:r>
              <w:t xml:space="preserve"> (</w:t>
            </w:r>
            <w:r w:rsidRPr="008A11E2">
              <w:t>0-2214</w:t>
            </w:r>
            <w:r>
              <w:t>)</w:t>
            </w:r>
          </w:p>
        </w:tc>
      </w:tr>
      <w:tr w:rsidR="008A11E2" w14:paraId="6BF252E5" w14:textId="1BD31F3C" w:rsidTr="008A11E2">
        <w:tc>
          <w:tcPr>
            <w:tcW w:w="1083" w:type="pct"/>
            <w:vMerge w:val="restart"/>
            <w:vAlign w:val="center"/>
          </w:tcPr>
          <w:p w14:paraId="3796FDC9" w14:textId="235BB581" w:rsidR="008A11E2" w:rsidRDefault="008A11E2" w:rsidP="008A11E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8A11E2" w:rsidRPr="00A529FC" w:rsidRDefault="008A11E2" w:rsidP="008A11E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2096B52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8A11E2" w14:paraId="1922D87C" w14:textId="01F91233" w:rsidTr="008A11E2">
        <w:tc>
          <w:tcPr>
            <w:tcW w:w="1083" w:type="pct"/>
            <w:vMerge/>
            <w:vAlign w:val="center"/>
          </w:tcPr>
          <w:p w14:paraId="38A54C7D" w14:textId="77777777" w:rsidR="008A11E2" w:rsidRDefault="008A11E2" w:rsidP="008A11E2"/>
        </w:tc>
        <w:tc>
          <w:tcPr>
            <w:tcW w:w="2634" w:type="pct"/>
          </w:tcPr>
          <w:p w14:paraId="4A631B18" w14:textId="1C4262FC" w:rsidR="008A11E2" w:rsidRPr="00A529FC" w:rsidRDefault="008A11E2" w:rsidP="008A11E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30A0571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8A11E2" w14:paraId="00354CAE" w14:textId="54B5E263" w:rsidTr="008A11E2">
        <w:tc>
          <w:tcPr>
            <w:tcW w:w="1083" w:type="pct"/>
            <w:vMerge/>
            <w:vAlign w:val="center"/>
          </w:tcPr>
          <w:p w14:paraId="597BB97C" w14:textId="77777777" w:rsidR="008A11E2" w:rsidRDefault="008A11E2" w:rsidP="008A11E2"/>
        </w:tc>
        <w:tc>
          <w:tcPr>
            <w:tcW w:w="2634" w:type="pct"/>
          </w:tcPr>
          <w:p w14:paraId="094F0767" w14:textId="455A43FC" w:rsidR="008A11E2" w:rsidRPr="00BF3A29" w:rsidRDefault="008A11E2" w:rsidP="008A11E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56FBA0C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8A11E2" w14:paraId="5997484E" w14:textId="7C40CE73" w:rsidTr="008A11E2">
        <w:tc>
          <w:tcPr>
            <w:tcW w:w="1083" w:type="pct"/>
            <w:vMerge w:val="restart"/>
            <w:vAlign w:val="center"/>
          </w:tcPr>
          <w:p w14:paraId="18208602" w14:textId="0EA009AA" w:rsidR="008A11E2" w:rsidRPr="00BF3A29" w:rsidRDefault="008A11E2" w:rsidP="008A11E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8A11E2" w:rsidRPr="00BF3A29" w:rsidRDefault="008A11E2" w:rsidP="008A11E2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3979F0B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8A11E2" w14:paraId="1D9C28C9" w14:textId="084CB9F0" w:rsidTr="008A11E2">
        <w:tc>
          <w:tcPr>
            <w:tcW w:w="1083" w:type="pct"/>
            <w:vMerge/>
          </w:tcPr>
          <w:p w14:paraId="4D21FD18" w14:textId="77777777" w:rsidR="008A11E2" w:rsidRDefault="008A11E2" w:rsidP="008A11E2"/>
        </w:tc>
        <w:tc>
          <w:tcPr>
            <w:tcW w:w="2634" w:type="pct"/>
          </w:tcPr>
          <w:p w14:paraId="1BBDCF40" w14:textId="15E0AC38" w:rsidR="008A11E2" w:rsidRPr="00BF3A29" w:rsidRDefault="008A11E2" w:rsidP="008A11E2">
            <w:r>
              <w:t>20,000 to &lt;35,000</w:t>
            </w:r>
          </w:p>
        </w:tc>
        <w:tc>
          <w:tcPr>
            <w:tcW w:w="1283" w:type="pct"/>
            <w:vAlign w:val="bottom"/>
          </w:tcPr>
          <w:p w14:paraId="5BC487D7" w14:textId="4DD39657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8A11E2" w14:paraId="1D665C5E" w14:textId="65696859" w:rsidTr="008A11E2">
        <w:tc>
          <w:tcPr>
            <w:tcW w:w="1083" w:type="pct"/>
            <w:vMerge/>
          </w:tcPr>
          <w:p w14:paraId="4C664446" w14:textId="77777777" w:rsidR="008A11E2" w:rsidRDefault="008A11E2" w:rsidP="008A11E2"/>
        </w:tc>
        <w:tc>
          <w:tcPr>
            <w:tcW w:w="2634" w:type="pct"/>
          </w:tcPr>
          <w:p w14:paraId="0AD56D28" w14:textId="2BF7618E" w:rsidR="008A11E2" w:rsidRPr="00BF3A29" w:rsidRDefault="008A11E2" w:rsidP="008A11E2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6F44FB42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8A11E2" w14:paraId="401F1448" w14:textId="65A83A74" w:rsidTr="008A11E2">
        <w:tc>
          <w:tcPr>
            <w:tcW w:w="1083" w:type="pct"/>
            <w:vMerge/>
          </w:tcPr>
          <w:p w14:paraId="243FCD9E" w14:textId="77777777" w:rsidR="008A11E2" w:rsidRDefault="008A11E2" w:rsidP="008A11E2"/>
        </w:tc>
        <w:tc>
          <w:tcPr>
            <w:tcW w:w="2634" w:type="pct"/>
          </w:tcPr>
          <w:p w14:paraId="7AF23A91" w14:textId="0A561A68" w:rsidR="008A11E2" w:rsidRPr="00BF3A29" w:rsidRDefault="008A11E2" w:rsidP="008A11E2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09B1B8E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8A11E2" w14:paraId="4C1659F4" w14:textId="3C50226D" w:rsidTr="008A11E2">
        <w:tc>
          <w:tcPr>
            <w:tcW w:w="1083" w:type="pct"/>
            <w:vMerge/>
          </w:tcPr>
          <w:p w14:paraId="62BFA4E8" w14:textId="77777777" w:rsidR="008A11E2" w:rsidRDefault="008A11E2" w:rsidP="008A11E2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8A11E2" w:rsidRPr="00BF3A29" w:rsidRDefault="008A11E2" w:rsidP="008A11E2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09B7CB45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689"/>
        <w:gridCol w:w="1797"/>
        <w:gridCol w:w="1343"/>
        <w:gridCol w:w="1339"/>
      </w:tblGrid>
      <w:tr w:rsidR="00627BED" w:rsidRPr="001E7F7F" w14:paraId="5E02CDEB" w14:textId="77777777" w:rsidTr="00504A2E">
        <w:trPr>
          <w:trHeight w:val="151"/>
        </w:trPr>
        <w:tc>
          <w:tcPr>
            <w:tcW w:w="1702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504A2E">
        <w:trPr>
          <w:trHeight w:val="151"/>
        </w:trPr>
        <w:tc>
          <w:tcPr>
            <w:tcW w:w="1702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504A2E">
        <w:trPr>
          <w:trHeight w:val="151"/>
        </w:trPr>
        <w:tc>
          <w:tcPr>
            <w:tcW w:w="1702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504A2E">
        <w:trPr>
          <w:trHeight w:val="296"/>
        </w:trPr>
        <w:tc>
          <w:tcPr>
            <w:tcW w:w="1702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504A2E">
        <w:trPr>
          <w:trHeight w:val="296"/>
        </w:trPr>
        <w:tc>
          <w:tcPr>
            <w:tcW w:w="1702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504A2E">
        <w:trPr>
          <w:trHeight w:val="151"/>
        </w:trPr>
        <w:tc>
          <w:tcPr>
            <w:tcW w:w="1702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504A2E">
        <w:trPr>
          <w:trHeight w:val="296"/>
        </w:trPr>
        <w:tc>
          <w:tcPr>
            <w:tcW w:w="1702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504A2E">
        <w:trPr>
          <w:trHeight w:val="296"/>
        </w:trPr>
        <w:tc>
          <w:tcPr>
            <w:tcW w:w="1702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504A2E">
        <w:trPr>
          <w:trHeight w:val="296"/>
        </w:trPr>
        <w:tc>
          <w:tcPr>
            <w:tcW w:w="1702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504A2E">
        <w:trPr>
          <w:trHeight w:val="151"/>
        </w:trPr>
        <w:tc>
          <w:tcPr>
            <w:tcW w:w="1702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lastRenderedPageBreak/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lastRenderedPageBreak/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0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lastRenderedPageBreak/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5A60315" w14:textId="18ACCF11" w:rsidR="00D0282D" w:rsidRPr="00D0282D" w:rsidRDefault="00D0282D" w:rsidP="00D222A2">
      <w:pPr>
        <w:rPr>
          <w:b/>
          <w:bCs/>
        </w:rPr>
      </w:pPr>
      <w:bookmarkStart w:id="1" w:name="_GoBack"/>
      <w:bookmarkEnd w:id="1"/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5E3125B3" w14:textId="3545B0F7" w:rsidR="002B4051" w:rsidRDefault="002B4051" w:rsidP="002B4051">
      <w:pPr>
        <w:pStyle w:val="ListParagraph"/>
        <w:ind w:left="360"/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ixrAUmZxnosAAAA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04A2E"/>
    <w:rsid w:val="005410BA"/>
    <w:rsid w:val="0056147A"/>
    <w:rsid w:val="005A0FE6"/>
    <w:rsid w:val="005E1620"/>
    <w:rsid w:val="00627BED"/>
    <w:rsid w:val="006C023D"/>
    <w:rsid w:val="00722327"/>
    <w:rsid w:val="007D065C"/>
    <w:rsid w:val="007D0F4A"/>
    <w:rsid w:val="008A11E2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35AC5"/>
    <w:rsid w:val="00DA252C"/>
    <w:rsid w:val="00E72CFE"/>
    <w:rsid w:val="00EA4039"/>
    <w:rsid w:val="00F05DFD"/>
    <w:rsid w:val="00F51D9C"/>
    <w:rsid w:val="00F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23</cp:revision>
  <dcterms:created xsi:type="dcterms:W3CDTF">2019-04-16T14:55:00Z</dcterms:created>
  <dcterms:modified xsi:type="dcterms:W3CDTF">2019-05-10T16:34:00Z</dcterms:modified>
</cp:coreProperties>
</file>