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9665F9" w:rsidRDefault="009665F9"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9665F9" w:rsidRDefault="009665F9"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9C6A0E">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9C6A0E">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9C6A0E">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9C6A0E">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9C6A0E">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9C6A0E">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9C6A0E">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9C6A0E">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9C6A0E">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9C6A0E">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9C6A0E">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9C6A0E">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9C6A0E">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9C6A0E">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9C6A0E">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9C6A0E">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9C6A0E">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69D5C7C2" w14:textId="6EDC9362" w:rsidR="002469CA"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490557" w:history="1">
        <w:r w:rsidR="002469CA" w:rsidRPr="00A01375">
          <w:rPr>
            <w:rStyle w:val="Hyperlink"/>
            <w:noProof/>
          </w:rPr>
          <w:t>Figure 1. Sample image with caption. (Use sentence case; end with a period.)</w:t>
        </w:r>
        <w:r w:rsidR="002469CA">
          <w:rPr>
            <w:noProof/>
            <w:webHidden/>
          </w:rPr>
          <w:tab/>
        </w:r>
        <w:r w:rsidR="002469CA">
          <w:rPr>
            <w:noProof/>
            <w:webHidden/>
          </w:rPr>
          <w:fldChar w:fldCharType="begin"/>
        </w:r>
        <w:r w:rsidR="002469CA">
          <w:rPr>
            <w:noProof/>
            <w:webHidden/>
          </w:rPr>
          <w:instrText xml:space="preserve"> PAGEREF _Toc13490557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64FEE4" w14:textId="7D8EC98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0DC89CF4" w14:textId="30521299" w:rsidR="002469CA"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490558" w:history="1">
        <w:r w:rsidR="002469CA" w:rsidRPr="00EA2824">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_Toc13490558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6439F44F" w14:textId="1CF39023" w:rsidR="002469CA" w:rsidRDefault="009C6A0E">
      <w:pPr>
        <w:pStyle w:val="TableofFigures"/>
        <w:tabs>
          <w:tab w:val="right" w:leader="dot" w:pos="10070"/>
        </w:tabs>
        <w:rPr>
          <w:noProof/>
          <w:sz w:val="22"/>
          <w:szCs w:val="22"/>
        </w:rPr>
      </w:pPr>
      <w:hyperlink w:anchor="_Toc13490559" w:history="1">
        <w:r w:rsidR="002469CA" w:rsidRPr="00EA2824">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_Toc13490559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1E5E7955" w14:textId="143ED75D" w:rsidR="002469CA" w:rsidRDefault="009C6A0E">
      <w:pPr>
        <w:pStyle w:val="TableofFigures"/>
        <w:tabs>
          <w:tab w:val="right" w:leader="dot" w:pos="10070"/>
        </w:tabs>
        <w:rPr>
          <w:noProof/>
          <w:sz w:val="22"/>
          <w:szCs w:val="22"/>
        </w:rPr>
      </w:pPr>
      <w:hyperlink w:anchor="_Toc13490560" w:history="1">
        <w:r w:rsidR="002469CA" w:rsidRPr="00EA2824">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_Toc13490560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961644F" w14:textId="31539129" w:rsidR="002469CA" w:rsidRDefault="009C6A0E">
      <w:pPr>
        <w:pStyle w:val="TableofFigures"/>
        <w:tabs>
          <w:tab w:val="right" w:leader="dot" w:pos="10070"/>
        </w:tabs>
        <w:rPr>
          <w:noProof/>
          <w:sz w:val="22"/>
          <w:szCs w:val="22"/>
        </w:rPr>
      </w:pPr>
      <w:hyperlink w:anchor="_Toc13490561" w:history="1">
        <w:r w:rsidR="002469CA" w:rsidRPr="00EA2824">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_Toc13490561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1851E78B" w14:textId="6DC0D5D3" w:rsidR="002469CA" w:rsidRDefault="009C6A0E">
      <w:pPr>
        <w:pStyle w:val="TableofFigures"/>
        <w:tabs>
          <w:tab w:val="right" w:leader="dot" w:pos="10070"/>
        </w:tabs>
        <w:rPr>
          <w:noProof/>
          <w:sz w:val="22"/>
          <w:szCs w:val="22"/>
        </w:rPr>
      </w:pPr>
      <w:hyperlink w:anchor="_Toc13490562" w:history="1">
        <w:r w:rsidR="002469CA" w:rsidRPr="00EA2824">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_Toc13490562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6E55160A" w14:textId="7B9B3EE4"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490557"/>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490558"/>
      <w:bookmarkStart w:id="14" w:name="_Toc1349056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2EF403AC" w14:textId="22F2A6C4" w:rsidR="00AA00FB" w:rsidRDefault="00AA00FB" w:rsidP="00AA00FB">
      <w:pPr>
        <w:pStyle w:val="Heading3"/>
      </w:pPr>
      <w:r>
        <w:t>Asthma</w:t>
      </w:r>
    </w:p>
    <w:p w14:paraId="51F483E5" w14:textId="50245A7B" w:rsidR="00AA00FB" w:rsidRDefault="006F1E88" w:rsidP="00BE2443">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E2443">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BE2443">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7BE6630F" w14:textId="77777777" w:rsidR="009C6A0E" w:rsidRDefault="009C6A0E" w:rsidP="00AB6A28"/>
    <w:p w14:paraId="405695FA" w14:textId="145E2CB9" w:rsidR="008E74B1" w:rsidRPr="009C6A0E" w:rsidRDefault="008E74B1" w:rsidP="00AB6A28">
      <w:pPr>
        <w:rPr>
          <w:highlight w:val="green"/>
        </w:rPr>
      </w:pPr>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2EB05074" w14:textId="50591B07" w:rsidR="008E74B1" w:rsidRDefault="008E74B1" w:rsidP="00AB6A28">
      <w:r w:rsidRPr="009C6A0E">
        <w:rPr>
          <w:highlight w:val="green"/>
        </w:rPr>
        <w:t>Children are more vulnerable to asthma</w:t>
      </w:r>
      <w:r>
        <w:t xml:space="preserve">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4833251F"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BE2443">
        <w:instrText xml:space="preserve"> ADDIN EN.CITE &lt;EndNote&gt;&lt;Cite&gt;&lt;Author&gt;Gowers&lt;/Author&gt;&lt;Year&gt;2012&lt;/Year&gt;&lt;RecNum&gt;4&lt;/RecNum&gt;&lt;DisplayText&gt;(Gowers et al., 2012; Wenzel,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136&lt;/RecNum&gt;&lt;record&gt;&lt;rec-number&gt;136&lt;/rec-number&gt;&lt;foreign-keys&gt;&lt;key app="EN" db-id="sepddp20s9p0fsetespvfzwjv0d9tat2092f" timestamp="1553104558"&gt;136&lt;/key&gt;&lt;/foreign-keys&gt;&lt;ref-type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BE2443">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BE2443">
        <w:instrText xml:space="preserve"> ADDIN EN.CITE &lt;EndNote&gt;&lt;Cite&gt;&lt;Author&gt;Anderson&lt;/Author&gt;&lt;Year&gt;2011&lt;/Year&gt;&lt;RecNum&gt;39&lt;/RecNum&gt;&lt;DisplayText&gt;(Anderson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BE2443">
        <w:instrText xml:space="preserve"> ADDIN EN.CITE &lt;EndNote&gt;&lt;Cite&gt;&lt;Author&gt;Anderson&lt;/Author&gt;&lt;Year&gt;2013&lt;/Year&gt;&lt;RecNum&gt;1&lt;/RecNum&gt;&lt;DisplayText&gt;(H. Anderson et al., 2013; Khreis, Kelly, et al., 2017)&lt;/DisplayText&gt;&lt;record&gt;&lt;rec-number&gt;1&lt;/rec-number&gt;&lt;foreign-keys&gt;&lt;key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116&lt;/RecNum&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41776D0D" w14:textId="547FFAC2"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&lt;EndNote&gt;&lt;Cite&gt;&lt;Author&gt;Martinez&lt;/Author&gt;&lt;Year&gt;2007&lt;/Year&gt;&lt;RecNum&gt;87&lt;/RecNum&gt;&lt;DisplayText&gt;(Martinez, 2007)&lt;/DisplayText&gt;&lt;record&gt;&lt;rec-number&gt;87&lt;/rec-number&gt;&lt;foreign-keys&gt;&lt;key app="EN" db-id="sepddp20s9p0fsetespvfzwjv0d9tat2092f" timestamp="1553104555"&gt;87&lt;/key&gt;&lt;/foreign-keys&gt;&lt;ref-type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&lt;EndNote&gt;&lt;Cite&gt;&lt;Author&gt;Corren&lt;/Author&gt;&lt;Year&gt;2013&lt;/Year&gt;&lt;RecNum&gt;431&lt;/RecNum&gt;&lt;DisplayText&gt;(Corren, 2013)&lt;/DisplayText&gt;&lt;record&gt;&lt;rec-number&gt;431&lt;/rec-number&gt;&lt;foreign-keys&gt;&lt;key app="EN" db-id="sepddp20s9p0fsetespvfzwjv0d9tat2092f" timestamp="1562601262"&gt;431&lt;/key&gt;&lt;/foreign-keys&gt;&lt;ref-type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&lt;EndNote&gt;&lt;Cite&gt;&lt;Author&gt;Gowers&lt;/Author&gt;&lt;Year&gt;2012&lt;/Year&gt;&lt;RecNum&gt;4&lt;/RecNum&gt;&lt;DisplayText&gt;(Gowers et al.,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2425D9B7"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BE2443">
        <w:instrText xml:space="preserve"> ADDIN EN.CITE &lt;EndNote&gt;&lt;Cite AuthorYear="1"&gt;&lt;Author&gt;Anderson&lt;/Author&gt;&lt;Year&gt;2011&lt;/Year&gt;&lt;RecNum&gt;39&lt;/RecNum&gt;&lt;DisplayText&gt;Anderson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BE2443">
        <w:instrText xml:space="preserve"> ADDIN EN.CITE &lt;EndNote&gt;&lt;Cite AuthorYear="1"&gt;&lt;Author&gt;Anderson&lt;/Author&gt;&lt;Year&gt;2013&lt;/Year&gt;&lt;RecNum&gt;1&lt;/RecNum&gt;&lt;DisplayText&gt;H. Anderson et al. (2013)&lt;/DisplayText&gt;&lt;record&gt;&lt;rec-number&gt;1&lt;/rec-number&gt;&lt;foreign-keys&gt;&lt;key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BE2443">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6C1C8EFF"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 </w:instrText>
      </w:r>
      <w:r w:rsidR="00BE2443">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EN.CITE.DATA </w:instrText>
      </w:r>
      <w:r w:rsidR="00BE2443">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BE2443">
        <w:instrText xml:space="preserve"> ADDIN EN.CITE &lt;EndNote&gt;&lt;Cite AuthorYear="1"&gt;&lt;Author&gt;Künzli&lt;/Author&gt;&lt;Year&gt;2008&lt;/Year&gt;&lt;RecNum&gt;443&lt;/RecNum&gt;&lt;DisplayText&gt;Künzli et al. (2008)&lt;/DisplayText&gt;&lt;record&gt;&lt;rec-number&gt;443&lt;/rec-number&gt;&lt;foreign-keys&gt;&lt;key app="EN" db-id="sepddp20s9p0fsetespvfzwjv0d9tat2092f" timestamp="1562601263"&gt;443&lt;/key&gt;&lt;/foreign-keys&gt;&lt;ref-type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0B705EC8" w14:textId="60E4FF2C" w:rsidR="00444D03" w:rsidRDefault="0064438F" w:rsidP="009C6A0E">
      <w:r w:rsidRPr="0064438F">
        <w:rPr>
          <w:rFonts w:ascii="Calibri" w:hAnsi="Calibri" w:cs="Calibri"/>
          <w:color w:val="000000"/>
        </w:rPr>
        <w:t>Whilst we focus on the estimation of Boxes A and B in this project, we pave the way forward for future analysis aiming at estimating boxes C, D, E and F.</w:t>
      </w:r>
    </w:p>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5138B320"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BE2443">
        <w:instrText xml:space="preserve"> ADDIN EN.CITE &lt;EndNote&gt;&lt;Cite&gt;&lt;Author&gt;Bechle&lt;/Author&gt;&lt;Year&gt;2015&lt;/Year&gt;&lt;RecNum&gt;145&lt;/RecNum&gt;&lt;DisplayText&gt;(H. R. Anderson et al., 2013; 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BE2443">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rsidR="00BE2443">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28BFEF34" w14:textId="77748B8C" w:rsidR="00655D21" w:rsidRDefault="00F51A91" w:rsidP="009C6A0E">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for example zip codes may cross 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w:t>
      </w:r>
      <w:r w:rsidR="00E86779">
        <w:lastRenderedPageBreak/>
        <w:t xml:space="preserve">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4D1A72A5" w14:textId="77777777" w:rsidR="009C6A0E" w:rsidRDefault="009C6A0E" w:rsidP="009C6A0E"/>
    <w:p w14:paraId="2CAE20AB" w14:textId="39F95DAD" w:rsidR="00655D21" w:rsidRPr="00B76457" w:rsidRDefault="00E320E8" w:rsidP="00655D21">
      <w:pPr>
        <w:pStyle w:val="Heading4"/>
        <w:rPr>
          <w:highlight w:val="green"/>
        </w:rPr>
      </w:pPr>
      <w:commentRangeStart w:id="25"/>
      <w:r w:rsidRPr="00B76457">
        <w:rPr>
          <w:highlight w:val="green"/>
        </w:rPr>
        <w:t>I</w:t>
      </w:r>
      <w:r w:rsidR="00655D21" w:rsidRPr="00B76457">
        <w:rPr>
          <w:highlight w:val="green"/>
        </w:rPr>
        <w:t xml:space="preserve">dentify a census block </w:t>
      </w:r>
      <w:r w:rsidRPr="00B76457">
        <w:rPr>
          <w:highlight w:val="green"/>
        </w:rPr>
        <w:t>unique code</w:t>
      </w:r>
    </w:p>
    <w:p w14:paraId="243FC19C" w14:textId="32D7DCD3" w:rsidR="00655D21" w:rsidRPr="00B76457" w:rsidRDefault="00655D21" w:rsidP="00FA0509">
      <w:pPr>
        <w:rPr>
          <w:highlight w:val="green"/>
        </w:rPr>
      </w:pPr>
      <w:r w:rsidRPr="00B76457">
        <w:rPr>
          <w:highlight w:val="green"/>
        </w:rPr>
        <w:t>Each census block is identified with a Federal Information Processing System (FIPS) code. A FIPS code is a sequence of numbers that uniquely identify each level of geographical entity depending on the geographical hierarchy used. For example</w:t>
      </w:r>
      <w:r w:rsidR="00FA0509" w:rsidRPr="00B76457">
        <w:rPr>
          <w:highlight w:val="green"/>
        </w:rPr>
        <w:t>, the T</w:t>
      </w:r>
      <w:r w:rsidR="00E320E8" w:rsidRPr="00B76457">
        <w:rPr>
          <w:highlight w:val="green"/>
        </w:rPr>
        <w:t xml:space="preserve">exas A&amp;M </w:t>
      </w:r>
      <w:r w:rsidR="00FA0509" w:rsidRPr="00B76457">
        <w:rPr>
          <w:highlight w:val="green"/>
        </w:rPr>
        <w:t>T</w:t>
      </w:r>
      <w:r w:rsidR="00E320E8" w:rsidRPr="00B76457">
        <w:rPr>
          <w:highlight w:val="green"/>
        </w:rPr>
        <w:t>ransportation Institute b</w:t>
      </w:r>
      <w:r w:rsidR="00FA0509" w:rsidRPr="00B76457">
        <w:rPr>
          <w:highlight w:val="green"/>
        </w:rPr>
        <w:t>uilding at the Rellis campus lies within the following FIPS code</w:t>
      </w:r>
      <w:r w:rsidRPr="00B76457">
        <w:rPr>
          <w:highlight w:val="green"/>
        </w:rPr>
        <w:t xml:space="preserve"> [</w:t>
      </w:r>
      <w:r w:rsidR="00FA0509" w:rsidRPr="00B76457">
        <w:rPr>
          <w:highlight w:val="green"/>
        </w:rPr>
        <w:t>48-041-000202-3-001] where:</w:t>
      </w:r>
    </w:p>
    <w:p w14:paraId="1A46E1A2" w14:textId="7C9C0A91" w:rsidR="00FA0509" w:rsidRPr="00B76457" w:rsidRDefault="00FA0509" w:rsidP="00FA0509">
      <w:pPr>
        <w:pStyle w:val="ListBullet"/>
        <w:rPr>
          <w:highlight w:val="green"/>
        </w:rPr>
      </w:pPr>
      <w:r w:rsidRPr="00B76457">
        <w:rPr>
          <w:highlight w:val="green"/>
        </w:rPr>
        <w:t>State code [48] is for Texas</w:t>
      </w:r>
    </w:p>
    <w:p w14:paraId="743B0002" w14:textId="622FE67B" w:rsidR="00FA0509" w:rsidRPr="00B76457" w:rsidRDefault="00FA0509" w:rsidP="00FA0509">
      <w:pPr>
        <w:pStyle w:val="ListBullet"/>
        <w:rPr>
          <w:highlight w:val="green"/>
        </w:rPr>
      </w:pPr>
      <w:r w:rsidRPr="00B76457">
        <w:rPr>
          <w:highlight w:val="green"/>
        </w:rPr>
        <w:t>County code [041] is for Brazos County</w:t>
      </w:r>
    </w:p>
    <w:p w14:paraId="2182ED18" w14:textId="4A1195D3" w:rsidR="00FA0509" w:rsidRPr="00B76457" w:rsidRDefault="00FA0509" w:rsidP="00FA0509">
      <w:pPr>
        <w:pStyle w:val="ListBullet"/>
        <w:rPr>
          <w:highlight w:val="green"/>
        </w:rPr>
      </w:pPr>
      <w:r w:rsidRPr="00B76457">
        <w:rPr>
          <w:highlight w:val="green"/>
        </w:rPr>
        <w:t>Tract code [000202]</w:t>
      </w:r>
    </w:p>
    <w:p w14:paraId="1FAD98BF" w14:textId="26D532B2" w:rsidR="00FA0509" w:rsidRPr="00B76457" w:rsidRDefault="00FA0509" w:rsidP="00FA0509">
      <w:pPr>
        <w:pStyle w:val="ListBullet"/>
        <w:rPr>
          <w:highlight w:val="green"/>
        </w:rPr>
      </w:pPr>
      <w:r w:rsidRPr="00B76457">
        <w:rPr>
          <w:highlight w:val="green"/>
        </w:rPr>
        <w:t>Block group code [3]</w:t>
      </w:r>
    </w:p>
    <w:p w14:paraId="449CE960" w14:textId="680CEAF5" w:rsidR="00F51A91" w:rsidRDefault="00FA0509" w:rsidP="00E320E8">
      <w:pPr>
        <w:pStyle w:val="ListBullet"/>
        <w:rPr>
          <w:highlight w:val="green"/>
        </w:rPr>
      </w:pPr>
      <w:r w:rsidRPr="00B76457">
        <w:rPr>
          <w:highlight w:val="green"/>
        </w:rPr>
        <w:t>Block code [001]</w:t>
      </w:r>
      <w:commentRangeEnd w:id="25"/>
      <w:r w:rsidR="009C6A0E">
        <w:rPr>
          <w:rStyle w:val="CommentReference"/>
        </w:rPr>
        <w:commentReference w:id="25"/>
      </w:r>
    </w:p>
    <w:p w14:paraId="529EADE4" w14:textId="77777777" w:rsidR="009C6A0E" w:rsidRPr="00B76457" w:rsidRDefault="009C6A0E" w:rsidP="009C6A0E">
      <w:pPr>
        <w:pStyle w:val="ListBullet"/>
        <w:numPr>
          <w:ilvl w:val="0"/>
          <w:numId w:val="0"/>
        </w:numPr>
        <w:ind w:left="720" w:hanging="360"/>
        <w:rPr>
          <w:highlight w:val="green"/>
        </w:rPr>
      </w:pPr>
    </w:p>
    <w:p w14:paraId="521DDBA1" w14:textId="2418C6D7" w:rsidR="00F51A91" w:rsidRPr="00F51A91" w:rsidRDefault="00F51A91" w:rsidP="00F51A91">
      <w:pPr>
        <w:pStyle w:val="Heading4"/>
      </w:pPr>
      <w:r>
        <w:t>Census data sources and description</w:t>
      </w:r>
    </w:p>
    <w:p w14:paraId="34A58A8C" w14:textId="7783C35B" w:rsidR="004F73C9" w:rsidRDefault="0014558A" w:rsidP="00BE2443">
      <w:r>
        <w:t xml:space="preserve">We obtained decennial census data for the years 2000 and 2010  for each census block from the National Historical Geographic Information System database </w:t>
      </w:r>
      <w:r>
        <w:fldChar w:fldCharType="begin"/>
      </w:r>
      <w:r w:rsidR="00BE2443">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BE2443">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DCE484A" w:rsidR="00833689" w:rsidRDefault="003113DD" w:rsidP="007F2DBC">
      <w:commentRangeStart w:id="26"/>
      <w:commentRangeStart w:id="27"/>
      <w:r>
        <w:t xml:space="preserve">Air pollution </w:t>
      </w:r>
      <w:commentRangeEnd w:id="26"/>
      <w:r w:rsidR="00833689">
        <w:rPr>
          <w:rStyle w:val="CommentReference"/>
        </w:rPr>
        <w:commentReference w:id="26"/>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7F2DBC">
        <w:fldChar w:fldCharType="begin"/>
      </w:r>
      <w:r w:rsidR="007F2DBC">
        <w:instrText xml:space="preserve"> ADDIN EN.CITE &lt;EndNote&gt;&lt;Cite&gt;&lt;Author&gt;Bechle&lt;/Author&gt;&lt;Year&gt;2015&lt;/Year&gt;&lt;RecNum&gt;145&lt;/RecNum&gt;&lt;DisplayText&gt;(Bechle et al., 2015; Kim et al., In prep)&lt;/DisplayText&gt;&lt;record&gt;&lt;rec-number&gt;145&lt;/rec-number&gt;&lt;foreign-keys&gt;&lt;key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Kim&lt;/Author&gt;&lt;Year&gt;In prep&lt;/Year&gt;&lt;RecNum&gt;66&lt;/RecNum&gt;&lt;record&gt;&lt;rec-number&gt;66&lt;/rec-number&gt;&lt;foreign-keys&gt;&lt;key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F2DBC">
        <w:fldChar w:fldCharType="separate"/>
      </w:r>
      <w:r w:rsidR="007F2DBC">
        <w:rPr>
          <w:noProof/>
        </w:rPr>
        <w:t>(Bechle et al., 2015; Kim et al., In prep)</w:t>
      </w:r>
      <w:r w:rsidR="007F2DBC">
        <w:fldChar w:fldCharType="end"/>
      </w:r>
      <w:r w:rsidR="00D47DB4">
        <w:t xml:space="preserve">]. Air pollution concentrations were available at populated census blocks. </w:t>
      </w:r>
      <w:r w:rsidR="00E250E6">
        <w:t>The following sections present adscription of the modeling method used and each pollutant.</w:t>
      </w:r>
      <w:commentRangeEnd w:id="27"/>
      <w:r w:rsidR="00084B5D">
        <w:rPr>
          <w:rStyle w:val="CommentReference"/>
        </w:rPr>
        <w:commentReference w:id="27"/>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55B5F740" w:rsidR="003D3D14" w:rsidRDefault="00833689" w:rsidP="00BE244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 </w:instrText>
      </w:r>
      <w:r w:rsidR="00BE2443">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EN.CITE.DATA </w:instrText>
      </w:r>
      <w:r w:rsidR="00BE2443">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BE2443">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BE2443">
        <w:instrText xml:space="preserve"> ADDIN EN.CITE &lt;EndNote&gt;&lt;Cite AuthorYear="1"&gt;&lt;Author&gt;Novotny&lt;/Author&gt;&lt;Year&gt;2011&lt;/Year&gt;&lt;RecNum&gt;138&lt;/RecNum&gt;&lt;DisplayText&gt;Novotny et al. (2011)&lt;/DisplayText&gt;&lt;record&gt;&lt;rec-number&gt;138&lt;/rec-number&gt;&lt;foreign-keys&gt;&lt;key app="EN" db-id="sepddp20s9p0fsetespvfzwjv0d9tat2092f" timestamp="1553104558"&gt;138&lt;/key&gt;&lt;/foreign-keys&gt;&lt;ref-type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BE2443">
        <w:instrText xml:space="preserve"> ADDIN EN.CITE &lt;EndNote&gt;&lt;Cite AuthorYear="1"&gt;&lt;Author&gt;Hystad&lt;/Author&gt;&lt;Year&gt;2011&lt;/Year&gt;&lt;RecNum&gt;430&lt;/RecNum&gt;&lt;DisplayText&gt;Hystad et al. (2011)&lt;/DisplayText&gt;&lt;record&gt;&lt;rec-number&gt;430&lt;/rec-number&gt;&lt;foreign-keys&gt;&lt;key app="EN" db-id="sepddp20s9p0fsetespvfzwjv0d9tat2092f" timestamp="1561395909"&gt;430&lt;/key&gt;&lt;/foreign-keys&gt;&lt;ref-type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BE2443">
        <w:instrText xml:space="preserve"> ADDIN EN.CITE &lt;EndNote&gt;&lt;Cite AuthorYear="1"&gt;&lt;Author&gt;Beelen&lt;/Author&gt;&lt;Year&gt;2009&lt;/Year&gt;&lt;RecNum&gt;161&lt;/RecNum&gt;&lt;DisplayText&gt;Beelen et al. (2009)&lt;/DisplayText&gt;&lt;record&gt;&lt;rec-number&gt;161&lt;/rec-number&gt;&lt;foreign-keys&gt;&lt;key app="EN" db-id="sepddp20s9p0fsetespvfzwjv0d9tat2092f" timestamp="1553104559"&gt;161&lt;/key&gt;&lt;/foreign-keys&gt;&lt;ref-type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BE2443">
        <w:instrText xml:space="preserve"> ADDIN EN.CITE &lt;EndNote&gt;&lt;Cite AuthorYear="1"&gt;&lt;Author&gt;Vienneau&lt;/Author&gt;&lt;Year&gt;2013&lt;/Year&gt;&lt;RecNum&gt;123&lt;/RecNum&gt;&lt;DisplayText&gt;Vienneau et al. (2013)&lt;/DisplayText&gt;&lt;record&gt;&lt;rec-number&gt;123&lt;/rec-number&gt;&lt;foreign-keys&gt;&lt;key app="EN" db-id="sepddp20s9p0fsetespvfzwjv0d9tat2092f" timestamp="1553104557"&gt;123&lt;/key&gt;&lt;/foreign-keys&gt;&lt;ref-type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C283AF1" w:rsidR="008D7F53" w:rsidRDefault="008D7F53" w:rsidP="00BE244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BE2443">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28110B5D" w:rsidR="00AE1C90" w:rsidRDefault="004344C4" w:rsidP="00BE2443">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8392E">
        <w:t xml:space="preserve"> but expanded to include surveys conducted from 2006 through 2010</w:t>
      </w:r>
      <w:r w:rsidR="00AE1C90">
        <w:t xml:space="preserve">. The following section </w:t>
      </w:r>
      <w:r w:rsidR="009B4D74">
        <w:t xml:space="preserve">and </w:t>
      </w:r>
      <w:commentRangeStart w:id="28"/>
      <w:r w:rsidR="009B4D74" w:rsidRPr="009B4D74">
        <w:rPr>
          <w:highlight w:val="cyan"/>
        </w:rPr>
        <w:t>diagram</w:t>
      </w:r>
      <w:r w:rsidR="009B4D74">
        <w:t xml:space="preserve"> </w:t>
      </w:r>
      <w:commentRangeEnd w:id="28"/>
      <w:r w:rsidR="009B4D74">
        <w:rPr>
          <w:rStyle w:val="CommentReference"/>
        </w:rPr>
        <w:commentReference w:id="28"/>
      </w:r>
      <w:r w:rsidR="009B4D74">
        <w:t>describe</w:t>
      </w:r>
      <w:r w:rsidR="00AE1C90">
        <w:t xml:space="preserve"> how childhood asthma </w:t>
      </w:r>
      <w:r w:rsidR="00A8392E">
        <w:t>incidence rates were estimated for our repeated analysis.</w:t>
      </w:r>
    </w:p>
    <w:p w14:paraId="73163765" w14:textId="77777777" w:rsidR="00844EFC" w:rsidRDefault="00844EFC" w:rsidP="00844EFC"/>
    <w:p w14:paraId="30BAE4F7" w14:textId="31B342CA" w:rsidR="00844EFC" w:rsidRDefault="00AE1C90" w:rsidP="00BE2443">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BE2443">
        <w:instrText xml:space="preserve"> ADDIN EN.CITE &lt;EndNote&gt;&lt;Cite&gt;&lt;Author&gt;CDC&lt;/Author&gt;&lt;Year&gt;2009&lt;/Year&gt;&lt;RecNum&gt;167&lt;/RecNum&gt;&lt;DisplayText&gt;(CDC, 2009)&lt;/DisplayText&gt;&lt;record&gt;&lt;rec-number&gt;167&lt;/rec-number&gt;&lt;foreign-keys&gt;&lt;key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198ADFF6" w:rsidR="00755334" w:rsidRDefault="008A1847" w:rsidP="00BE2443">
      <w:r>
        <w:t xml:space="preserve">The BRFSS and ACBS </w:t>
      </w:r>
      <w:r w:rsidR="00755334">
        <w:t>samples are designed to represent the overall population of the state. To achieve this</w:t>
      </w:r>
      <w:r w:rsidR="00844EFC">
        <w:t>,</w:t>
      </w:r>
      <w:r w:rsidR="00755334">
        <w:t xml:space="preserve"> each sample is </w:t>
      </w:r>
      <w:r w:rsidR="00844EFC">
        <w:t>assigned</w:t>
      </w:r>
      <w:r w:rsidR="00755334">
        <w:t xml:space="preserve"> a weight within the survey.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BE2443">
        <w:instrText xml:space="preserve"> ADDIN EN.CITE &lt;EndNote&gt;&lt;Cite&gt;&lt;Author&gt;Garbe&lt;/Author&gt;&lt;Year&gt;2011&lt;/Year&gt;&lt;RecNum&gt;421&lt;/RecNum&gt;&lt;DisplayText&gt;(Garbe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For example, if a respondent is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The sum of the BRFSS weights r</w:t>
      </w:r>
      <w:r w:rsidR="0083497B">
        <w:t>epresent the total population</w:t>
      </w:r>
      <w:r w:rsidR="00755334">
        <w:t xml:space="preserve">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6CEE001D" w:rsidR="00844EFC" w:rsidRDefault="00844EFC" w:rsidP="00844EFC">
      <w:r>
        <w:t xml:space="preserve">The “Asthma status” of children was determined through the BRFSS question: </w:t>
      </w:r>
      <w:r w:rsidR="007F2DBC">
        <w:t>“Has</w:t>
      </w:r>
      <w:r w:rsidRPr="00BB67E2">
        <w:t xml:space="preserve"> a doctor, nurse, or other health professional EVER said that the </w:t>
      </w:r>
      <w:r>
        <w:t>[</w:t>
      </w:r>
      <w:r w:rsidRPr="00BB67E2">
        <w:t>child</w:t>
      </w:r>
      <w:r>
        <w:t>’s name]</w:t>
      </w:r>
      <w:r w:rsidRPr="00BB67E2">
        <w:t xml:space="preserve"> has asthma?”</w:t>
      </w:r>
      <w:r>
        <w:t xml:space="preserve"> if the respondent </w:t>
      </w:r>
      <w:r w:rsidR="007F2DBC">
        <w:t>said “</w:t>
      </w:r>
      <w:r>
        <w:t>Yes” the respondent’s child is designated as an “Ever asthma”, if the answer was “No” the status of “Never asthma” is designated. Respondents with children who answered “Yes” to the previous BRFSS question are asked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xml:space="preserve">). The “Asthma prevalence rate” is the product of weighted “Ever asthma” divided by the sum of weighted “Ever asthma” </w:t>
      </w:r>
      <w:r w:rsidR="00D156F2">
        <w:t>and weighted</w:t>
      </w:r>
      <w:r w:rsidR="003646D2">
        <w:t xml:space="preserve"> “Never asthma” (</w:t>
      </w:r>
      <w:r w:rsidR="003646D2" w:rsidRPr="003646D2">
        <w:rPr>
          <w:highlight w:val="cyan"/>
        </w:rPr>
        <w:t>Equation 4</w:t>
      </w:r>
      <w:r w:rsidR="003646D2">
        <w:t xml:space="preserve">), while the “Aggregated prevalence rate” is the product of the sum of weighted “Ever asthma” divided by the sum of weighted “Ever asthma” </w:t>
      </w:r>
      <w:r w:rsidR="00D156F2">
        <w:t>and weighted</w:t>
      </w:r>
      <w:r w:rsidR="003646D2">
        <w:t xml:space="preserve"> “Never asthma” across available years</w:t>
      </w:r>
      <w:r w:rsidR="00D156F2">
        <w:t xml:space="preserve"> from 2006 through 2010</w:t>
      </w:r>
      <w:r w:rsidR="003646D2">
        <w:t xml:space="preserve"> (</w:t>
      </w:r>
      <w:r w:rsidR="003646D2" w:rsidRPr="003646D2">
        <w:rPr>
          <w:highlight w:val="cyan"/>
        </w:rPr>
        <w:t>Equation 5</w:t>
      </w:r>
      <w:r w:rsidR="003646D2">
        <w:t xml:space="preserve">). State-specific asthma incidence </w:t>
      </w:r>
      <w:r w:rsidR="003646D2">
        <w:lastRenderedPageBreak/>
        <w:t xml:space="preserve">rates were estimated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r w:rsidR="00D156F2">
        <w:t xml:space="preserve"> States with no available data from the ACBS and BRFSS during 2006 through 2010 (19 states) were assigned the aggregate incidence and prevalence rate of all available states combined [</w:t>
      </w:r>
      <w:r w:rsidR="00D156F2" w:rsidRPr="004B0627">
        <w:rPr>
          <w:highlight w:val="cyan"/>
        </w:rPr>
        <w:t>Table</w:t>
      </w:r>
      <w:r w:rsidR="00D156F2">
        <w:t>].</w:t>
      </w:r>
    </w:p>
    <w:p w14:paraId="6C34D8D8" w14:textId="230B4E42" w:rsidR="004F73C9" w:rsidRDefault="004F73C9" w:rsidP="00735583"/>
    <w:p w14:paraId="78C0C995" w14:textId="7AC4250F" w:rsidR="004F73C9" w:rsidRDefault="004F73C9" w:rsidP="004F73C9">
      <w:pPr>
        <w:pStyle w:val="Heading3"/>
      </w:pPr>
      <w:r>
        <w:t>Concentration response function</w:t>
      </w:r>
    </w:p>
    <w:p w14:paraId="2E92A10B" w14:textId="3A5EB87D" w:rsidR="00BE2443" w:rsidRDefault="00BE2443" w:rsidP="00FA391A">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childhood asthma development was extracted from a systematic review and meta-analysis study by </w:t>
      </w:r>
      <w:r>
        <w:fldChar w:fldCharType="begin"/>
      </w:r>
      <w:r>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t>. The review included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The CRF for NO</w:t>
      </w:r>
      <w:r w:rsidRPr="00BE2443">
        <w:rPr>
          <w:vertAlign w:val="subscript"/>
        </w:rPr>
        <w:t>2</w:t>
      </w:r>
      <w:r>
        <w:t xml:space="preserve"> was 1.05 (95% CI=1.02–1.07) per 4 μg/m</w:t>
      </w:r>
      <w:r w:rsidRPr="00BE2443">
        <w:rPr>
          <w:vertAlign w:val="superscript"/>
        </w:rPr>
        <w:t>3</w:t>
      </w:r>
      <w:r>
        <w:t xml:space="preserve"> based on 20 studies. </w:t>
      </w:r>
      <w:r w:rsidR="00FA391A">
        <w:t>For PM</w:t>
      </w:r>
      <w:r w:rsidR="00FA391A" w:rsidRPr="00BE2443">
        <w:rPr>
          <w:vertAlign w:val="subscript"/>
        </w:rPr>
        <w:t>10</w:t>
      </w:r>
      <w:r w:rsidR="00FA391A">
        <w:t xml:space="preserve"> it was 1.05 (95% CI=1.02–1.08) per 2 μg/m</w:t>
      </w:r>
      <w:r w:rsidR="00FA391A" w:rsidRPr="00BE2443">
        <w:rPr>
          <w:vertAlign w:val="superscript"/>
        </w:rPr>
        <w:t>3</w:t>
      </w:r>
      <w:r w:rsidR="00FA391A">
        <w:rPr>
          <w:vertAlign w:val="superscript"/>
        </w:rPr>
        <w:t xml:space="preserve"> </w:t>
      </w:r>
      <w:r w:rsidR="00FA391A">
        <w:t>based on 12 studies and f</w:t>
      </w:r>
      <w:r>
        <w:t>or PM</w:t>
      </w:r>
      <w:r w:rsidRPr="00BE2443">
        <w:rPr>
          <w:vertAlign w:val="subscript"/>
        </w:rPr>
        <w:t xml:space="preserve">2.5 </w:t>
      </w:r>
      <w:r>
        <w:t>it was 1.03 (95% CI=1.01–1.05) per 1 μg/m</w:t>
      </w:r>
      <w:r w:rsidRPr="00BE2443">
        <w:rPr>
          <w:vertAlign w:val="superscript"/>
        </w:rPr>
        <w:t>3</w:t>
      </w:r>
      <w:r>
        <w:t xml:space="preserve"> based on </w:t>
      </w:r>
      <w:r w:rsidR="00FA391A">
        <w:t xml:space="preserve">10 studies. The meta-analysis did not adjust for co-pollutants meaning the number of attributable asthma cases due to either pollutants should </w:t>
      </w:r>
      <w:r w:rsidR="004B0627">
        <w:t xml:space="preserve">not </w:t>
      </w:r>
      <w:r w:rsidR="00FA391A">
        <w:t xml:space="preserve">be added up. </w:t>
      </w:r>
    </w:p>
    <w:p w14:paraId="64518C76" w14:textId="1511DC12" w:rsidR="004F73C9" w:rsidRPr="004F73C9" w:rsidRDefault="00BE2443" w:rsidP="00FA391A">
      <w:r>
        <w:t xml:space="preserve">  </w:t>
      </w:r>
    </w:p>
    <w:p w14:paraId="052BD066" w14:textId="25DD738A" w:rsidR="004B0627" w:rsidRDefault="00735583" w:rsidP="004B0627">
      <w:pPr>
        <w:pStyle w:val="Heading3"/>
      </w:pPr>
      <w:r>
        <w:t>Burden of disease methodology</w:t>
      </w:r>
      <w:r w:rsidR="004B0627">
        <w:t xml:space="preserve"> </w:t>
      </w:r>
    </w:p>
    <w:p w14:paraId="13E82F65" w14:textId="3EF0B839" w:rsidR="00864DFC" w:rsidRDefault="004B0627" w:rsidP="00B37930">
      <w:r>
        <w:t>To estimate the burden of disease due to each pollutants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317E732A"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r w:rsidR="003D2586">
        <w:t>zero air pollution concentration) and is calculated as shown in equation 6.</w:t>
      </w:r>
    </w:p>
    <w:p w14:paraId="5B14CFFF" w14:textId="77777777" w:rsidR="003D2586" w:rsidRDefault="003D2586" w:rsidP="003D2586"/>
    <w:p w14:paraId="2F4197B4" w14:textId="77777777" w:rsidR="003D2586" w:rsidRPr="00EC1FA9" w:rsidRDefault="009C6A0E" w:rsidP="003D2586">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64FFEB2A"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39AE79BD" w:rsidR="003D2586" w:rsidRDefault="003D2586" w:rsidP="003D2586">
      <w:r>
        <w:t>Were RR is the CRF and RR</w:t>
      </w:r>
      <w:r w:rsidRPr="003D2586">
        <w:rPr>
          <w:vertAlign w:val="subscript"/>
        </w:rPr>
        <w:t>unit</w:t>
      </w:r>
      <w:r>
        <w:t xml:space="preserve"> is the exposure unit. The PAF was then calculated using equation 7.</w:t>
      </w:r>
    </w:p>
    <w:p w14:paraId="75811D13" w14:textId="77777777" w:rsidR="003D2586" w:rsidRDefault="003D2586" w:rsidP="003D2586"/>
    <w:p w14:paraId="4478D7B5" w14:textId="77777777" w:rsidR="003D2586" w:rsidRPr="00EC1FA9" w:rsidRDefault="009C6A0E"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year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9C6A0E"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were estimated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9C6A0E"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were estimated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9C6A0E"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4F73C9">
      <w:pPr>
        <w:pStyle w:val="Heading3"/>
      </w:pPr>
      <w:r>
        <w:lastRenderedPageBreak/>
        <w:t>Counterfactual scenarios</w:t>
      </w:r>
    </w:p>
    <w:p w14:paraId="09829814" w14:textId="1ED444A7"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EB6D07">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735583">
      <w:pPr>
        <w:pStyle w:val="Heading3"/>
      </w:pPr>
      <w:r>
        <w:t>Sensitivity analysis</w:t>
      </w:r>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4F73C9">
      <w:pPr>
        <w:pStyle w:val="Heading3"/>
      </w:pPr>
      <w:r>
        <w:t>Running the analysis</w:t>
      </w:r>
    </w:p>
    <w:p w14:paraId="5AA3F407" w14:textId="49A7B243" w:rsidR="004212C6" w:rsidRDefault="002469CA" w:rsidP="00E66E72">
      <w:r>
        <w:t xml:space="preserve">The analysis was conducted using R statistical software </w:t>
      </w:r>
      <w:r>
        <w:fldChar w:fldCharType="begin"/>
      </w:r>
      <w:r>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29"/>
      <w:r>
        <w:t>Data sets were joined using a unique identifier for each census block.</w:t>
      </w:r>
      <w:r w:rsidR="004212C6">
        <w:t xml:space="preserve"> The unique identifiers are comprised of ###### numbers starting with the </w:t>
      </w:r>
      <w:commentRangeStart w:id="30"/>
      <w:r w:rsidR="004212C6">
        <w:t>letter G</w:t>
      </w:r>
      <w:commentRangeEnd w:id="30"/>
      <w:r w:rsidR="004212C6">
        <w:rPr>
          <w:rStyle w:val="CommentReference"/>
        </w:rPr>
        <w:commentReference w:id="30"/>
      </w:r>
      <w:r w:rsidR="004212C6">
        <w:t>, the numbers represent the state identifier, county identifier, census tracts identifier, block group and block. In some instances extra zeros are added to the identifiers when extracting at higher geographical levels, for example, a zero is added between the states and county identifier when matching by county with other data sources.</w:t>
      </w:r>
      <w:commentRangeEnd w:id="29"/>
      <w:r w:rsidR="004212C6">
        <w:rPr>
          <w:rStyle w:val="CommentReference"/>
        </w:rPr>
        <w:commentReference w:id="29"/>
      </w:r>
    </w:p>
    <w:p w14:paraId="034F5525" w14:textId="5051512C"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2469CA">
        <w:instrText xml:space="preserve"> ADDIN EN.CITE &lt;EndNote&gt;&lt;Cite&gt;&lt;Author&gt;CDC&lt;/Author&gt;&lt;RecNum&gt;444&lt;/RecNum&gt;&lt;DisplayText&gt;(CDC, 2017)&lt;/DisplayText&gt;&lt;record&gt;&lt;rec-number&gt;444&lt;/rec-number&gt;&lt;foreign-keys&gt;&lt;key app="EN" db-id="sepddp20s9p0fsetespvfzwjv0d9tat2092f" timestamp="1562616021"&gt;444&lt;/key&gt;&lt;/foreign-keys&gt;&lt;ref-type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were </w:t>
      </w:r>
      <w:r w:rsidR="007F2DBC">
        <w:t>excluded</w:t>
      </w:r>
      <w:r w:rsidR="00E66E72">
        <w:t xml:space="preserve"> from the look-up table since we did not include them in our analysis. The Interactive maps and tables were published at the CARTEEH website at the following link [</w:t>
      </w:r>
      <w:hyperlink r:id="rId17"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31" w:name="_Toc1370387"/>
      <w:r>
        <w:t>Results</w:t>
      </w:r>
      <w:bookmarkEnd w:id="31"/>
      <w:r>
        <w:t xml:space="preserve"> </w:t>
      </w:r>
    </w:p>
    <w:p w14:paraId="4D1BB148" w14:textId="6AAC67F1" w:rsidR="003663AA" w:rsidRDefault="003663AA" w:rsidP="003663AA">
      <w:pPr>
        <w:pStyle w:val="Heading3"/>
      </w:pPr>
      <w:bookmarkStart w:id="32" w:name="_Toc1370388"/>
      <w:r>
        <w:t>Census description</w:t>
      </w:r>
    </w:p>
    <w:p w14:paraId="3A6CFA96" w14:textId="6EA834E4" w:rsidR="003663AA" w:rsidRPr="00AA00FB" w:rsidRDefault="003C2EA2" w:rsidP="003C2EA2">
      <w:r>
        <w:t>There were more than 5 million and 6 million populated census blocks in 2000 and 2010, respectably, of which urban designated blocks (encompassing urban clusters and urbanized areas) represented 56% and 58% (</w:t>
      </w:r>
      <w:r>
        <w:fldChar w:fldCharType="begin"/>
      </w:r>
      <w:r>
        <w:instrText xml:space="preserve"> REF _Ref13564454 \h </w:instrText>
      </w:r>
      <w:r>
        <w:fldChar w:fldCharType="separate"/>
      </w:r>
      <w:r>
        <w:t xml:space="preserve">Table </w:t>
      </w:r>
      <w:r>
        <w:rPr>
          <w:noProof/>
        </w:rPr>
        <w:t>2</w:t>
      </w:r>
      <w:r>
        <w:fldChar w:fldCharType="end"/>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 </w:t>
      </w:r>
      <w:r>
        <w:fldChar w:fldCharType="begin"/>
      </w:r>
      <w:r>
        <w:instrText xml:space="preserve"> REF _Ref13564927 \h </w:instrText>
      </w:r>
      <w:r>
        <w:fldChar w:fldCharType="separate"/>
      </w:r>
      <w:r>
        <w:t>Table S</w:t>
      </w:r>
      <w:r>
        <w:rPr>
          <w:noProof/>
        </w:rPr>
        <w:t>1</w:t>
      </w:r>
      <w:r>
        <w:fldChar w:fldCharType="end"/>
      </w:r>
      <w:r>
        <w:t>.</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395784C6" w:rsidR="000435EF" w:rsidRDefault="003663AA" w:rsidP="00BE2443">
      <w:r>
        <w:t xml:space="preserve">For our first analysis we used a single childhood asthma incidence rate of 12.5 per 1,000 at-risk children as published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3"/>
      <w:r>
        <w:t xml:space="preserve">We then repeated our analysis for the year 2010 using state-specific asthma incidence rates for the years 2006-2010 following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 xml:space="preserve">Winer </w:t>
      </w:r>
      <w:r>
        <w:rPr>
          <w:noProof/>
        </w:rPr>
        <w:lastRenderedPageBreak/>
        <w:t>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3"/>
      <w:r w:rsidR="000435EF">
        <w:rPr>
          <w:rStyle w:val="CommentReference"/>
        </w:rPr>
        <w:commentReference w:id="33"/>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363391ED" w:rsidR="000435EF" w:rsidRPr="00D35264" w:rsidRDefault="00D35264" w:rsidP="00D35264">
      <w:pPr>
        <w:pStyle w:val="Heading4"/>
      </w:pPr>
      <w:r>
        <w:t>NO</w:t>
      </w:r>
      <w:r w:rsidRPr="00D35264">
        <w:rPr>
          <w:vertAlign w:val="subscript"/>
        </w:rPr>
        <w:t>2</w:t>
      </w:r>
      <w:r>
        <w:t xml:space="preserve"> concentrations</w:t>
      </w:r>
    </w:p>
    <w:p w14:paraId="3CB10548" w14:textId="1F738B30" w:rsidR="00273D31" w:rsidRPr="00E93464" w:rsidRDefault="00273D31" w:rsidP="009E2E2B">
      <w:r>
        <w:t>Mean</w:t>
      </w:r>
      <w:r w:rsidR="003C2EA2">
        <w:t xml:space="preserve"> NO</w:t>
      </w:r>
      <w:r w:rsidR="003C2EA2" w:rsidRPr="003C2EA2">
        <w:rPr>
          <w:vertAlign w:val="subscript"/>
        </w:rPr>
        <w:t>2</w:t>
      </w:r>
      <w:r w:rsidR="003C2EA2">
        <w:rPr>
          <w:vertAlign w:val="subscript"/>
        </w:rPr>
        <w:t xml:space="preserve"> </w:t>
      </w:r>
      <w:r>
        <w:t>c</w:t>
      </w:r>
      <w:r w:rsidR="003C2EA2">
        <w:t xml:space="preserve">oncentrations </w:t>
      </w:r>
      <w:r>
        <w:t xml:space="preserve">across the US </w:t>
      </w:r>
      <w:r w:rsidR="003C2EA2">
        <w:t xml:space="preserve">for 2000 and 2010 were </w:t>
      </w:r>
      <w:r w:rsidR="003C2EA2" w:rsidRPr="003C2EA2">
        <w:t>20.6</w:t>
      </w:r>
      <w:r w:rsidR="003C2EA2">
        <w:t xml:space="preserve"> (</w:t>
      </w:r>
      <w:r>
        <w:rPr>
          <w:rFonts w:cstheme="minorHAnsi"/>
        </w:rPr>
        <w:t>µ</w:t>
      </w:r>
      <w:r>
        <w:t>g/m</w:t>
      </w:r>
      <w:r w:rsidRPr="00273D31">
        <w:rPr>
          <w:vertAlign w:val="superscript"/>
        </w:rPr>
        <w:t>3</w:t>
      </w:r>
      <w:r>
        <w:t xml:space="preserve">) and </w:t>
      </w:r>
      <w:r w:rsidR="003C2EA2"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w:t>
      </w:r>
      <w:r w:rsidR="00E93464">
        <w:t xml:space="preserve"> The states with the largest and lowest NO</w:t>
      </w:r>
      <w:r w:rsidR="00E93464" w:rsidRPr="00E93464">
        <w:rPr>
          <w:vertAlign w:val="subscript"/>
        </w:rPr>
        <w:t>2</w:t>
      </w:r>
      <w:r w:rsidR="00E93464">
        <w:rPr>
          <w:vertAlign w:val="subscript"/>
        </w:rPr>
        <w:t xml:space="preserve"> </w:t>
      </w:r>
      <w:r w:rsidR="00E93464">
        <w:t>concentrations were District of Columbia (38.2</w:t>
      </w:r>
      <w:r w:rsidR="00E93464" w:rsidRPr="00E93464">
        <w:rPr>
          <w:rFonts w:cstheme="minorHAnsi"/>
        </w:rPr>
        <w:t xml:space="preserve"> </w:t>
      </w:r>
      <w:r w:rsidR="00E93464">
        <w:rPr>
          <w:rFonts w:cstheme="minorHAnsi"/>
        </w:rPr>
        <w:t>µ</w:t>
      </w:r>
      <w:r w:rsidR="00E93464">
        <w:t>g/m</w:t>
      </w:r>
      <w:r w:rsidR="00E93464" w:rsidRPr="00273D31">
        <w:rPr>
          <w:vertAlign w:val="superscript"/>
        </w:rPr>
        <w:t>3</w:t>
      </w:r>
      <w:r w:rsidR="00E93464">
        <w:t xml:space="preserve">) and North Dakota (6.8 </w:t>
      </w:r>
      <w:r w:rsidR="00E93464">
        <w:rPr>
          <w:rFonts w:cstheme="minorHAnsi"/>
        </w:rPr>
        <w:t>µ</w:t>
      </w:r>
      <w:r w:rsidR="00E93464">
        <w:t>g/m</w:t>
      </w:r>
      <w:r w:rsidR="00E93464" w:rsidRPr="00273D31">
        <w:rPr>
          <w:vertAlign w:val="superscript"/>
        </w:rPr>
        <w:t>3</w:t>
      </w:r>
      <w:r w:rsidR="00E93464">
        <w:t xml:space="preserve">) for 2000, and District of Columbia (26.3 </w:t>
      </w:r>
      <w:r w:rsidR="00E93464">
        <w:rPr>
          <w:rFonts w:cstheme="minorHAnsi"/>
        </w:rPr>
        <w:t>µ</w:t>
      </w:r>
      <w:r w:rsidR="00E93464">
        <w:t>g/m</w:t>
      </w:r>
      <w:r w:rsidR="00E93464" w:rsidRPr="00273D31">
        <w:rPr>
          <w:vertAlign w:val="superscript"/>
        </w:rPr>
        <w:t>3</w:t>
      </w:r>
      <w:r w:rsidR="00E93464">
        <w:t xml:space="preserve">) and South Dakota (5.2 </w:t>
      </w:r>
      <w:r w:rsidR="00E93464">
        <w:rPr>
          <w:rFonts w:cstheme="minorHAnsi"/>
        </w:rPr>
        <w:t>µ</w:t>
      </w:r>
      <w:r w:rsidR="00E93464">
        <w:t>g/m</w:t>
      </w:r>
      <w:r w:rsidR="00E93464" w:rsidRPr="00273D31">
        <w:rPr>
          <w:vertAlign w:val="superscript"/>
        </w:rPr>
        <w:t>3</w:t>
      </w:r>
      <w:r w:rsidR="00E93464">
        <w:t>). The NO</w:t>
      </w:r>
      <w:r w:rsidR="00E93464" w:rsidRPr="00E93464">
        <w:rPr>
          <w:vertAlign w:val="subscript"/>
        </w:rPr>
        <w:t>2</w:t>
      </w:r>
      <w:r w:rsidR="00E93464">
        <w:t xml:space="preserve"> concentration change across all states between 2000 and 2010 ranged from </w:t>
      </w:r>
      <w:r w:rsidR="009E2E2B">
        <w:t xml:space="preserve">decrease of </w:t>
      </w:r>
      <w:r w:rsidR="00E93464">
        <w:t xml:space="preserve">46% (Florida) to </w:t>
      </w:r>
      <w:r w:rsidR="009E2E2B">
        <w:t xml:space="preserve">a decrease of </w:t>
      </w:r>
      <w:r w:rsidR="00E93464">
        <w:t>21% (North Dakota).</w:t>
      </w:r>
    </w:p>
    <w:p w14:paraId="5F0DC505" w14:textId="77777777" w:rsidR="00273D31" w:rsidRDefault="00273D31" w:rsidP="00273D31"/>
    <w:p w14:paraId="3C8438A8" w14:textId="5925535C" w:rsidR="00D35264" w:rsidRPr="00D35264" w:rsidRDefault="00D35264" w:rsidP="00D35264">
      <w:pPr>
        <w:pStyle w:val="Heading4"/>
      </w:pPr>
      <w:r>
        <w:t>PM</w:t>
      </w:r>
      <w:r>
        <w:rPr>
          <w:vertAlign w:val="subscript"/>
        </w:rPr>
        <w:t>10</w:t>
      </w:r>
      <w:r>
        <w:t xml:space="preserve"> concentrations</w:t>
      </w:r>
    </w:p>
    <w:p w14:paraId="65A023EF" w14:textId="3BD31DEB" w:rsidR="009E2E2B" w:rsidRPr="009E2E2B" w:rsidRDefault="009E2E2B" w:rsidP="009E2E2B">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w:t>
      </w:r>
      <w:r w:rsidR="00BB1608">
        <w:t xml:space="preserve"> a</w:t>
      </w:r>
      <w:r>
        <w:t xml:space="preserve"> 7% increase (North Dakota) to</w:t>
      </w:r>
      <w:r w:rsidR="00BB1608">
        <w:t xml:space="preserve"> a</w:t>
      </w:r>
      <w:r>
        <w:t xml:space="preserve"> 35% decrease (Idaho).</w:t>
      </w:r>
    </w:p>
    <w:p w14:paraId="7A3B6D3E" w14:textId="77777777" w:rsidR="000435EF" w:rsidRDefault="000435EF" w:rsidP="000435EF"/>
    <w:p w14:paraId="65EF58F7" w14:textId="6CE754C8" w:rsidR="00D35264" w:rsidRPr="00D35264" w:rsidRDefault="00D35264" w:rsidP="00D35264">
      <w:pPr>
        <w:pStyle w:val="Heading4"/>
      </w:pPr>
      <w:r>
        <w:t>PM</w:t>
      </w:r>
      <w:r w:rsidRPr="00D35264">
        <w:rPr>
          <w:vertAlign w:val="subscript"/>
        </w:rPr>
        <w:t>2</w:t>
      </w:r>
      <w:r>
        <w:rPr>
          <w:vertAlign w:val="subscript"/>
        </w:rPr>
        <w:t>.5</w:t>
      </w:r>
      <w:r>
        <w:t xml:space="preserve"> concentrations</w:t>
      </w:r>
    </w:p>
    <w:p w14:paraId="40BFAD6E" w14:textId="31164F90" w:rsidR="000435EF" w:rsidRDefault="00BB1608" w:rsidP="009665F9">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3FF718E9" w14:textId="77777777" w:rsidR="009665F9" w:rsidRPr="009665F9" w:rsidRDefault="009665F9" w:rsidP="009665F9">
      <w:pPr>
        <w:rPr>
          <w:rFonts w:ascii="Calibri" w:eastAsia="Times New Roman" w:hAnsi="Calibri" w:cs="Calibri"/>
          <w:color w:val="000000"/>
          <w:sz w:val="22"/>
          <w:szCs w:val="22"/>
        </w:rPr>
      </w:pPr>
    </w:p>
    <w:p w14:paraId="159B3DB8" w14:textId="5AA62F8A" w:rsidR="007F2DBC" w:rsidRDefault="007F2DBC" w:rsidP="007F2DBC">
      <w:pPr>
        <w:pStyle w:val="Heading3"/>
      </w:pPr>
      <w:r>
        <w:t>Burden of disease</w:t>
      </w:r>
    </w:p>
    <w:p w14:paraId="024A7735" w14:textId="0E570ED9" w:rsidR="009665F9" w:rsidRDefault="009665F9" w:rsidP="009665F9">
      <w:pPr>
        <w:pStyle w:val="Heading4"/>
      </w:pPr>
      <w:r>
        <w:t>Overall asthma incident cases</w:t>
      </w:r>
    </w:p>
    <w:p w14:paraId="39373566" w14:textId="742EFBA0" w:rsidR="00553843" w:rsidRDefault="009665F9" w:rsidP="00FB7F64">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w:t>
      </w:r>
      <w:r w:rsidR="00553843">
        <w:t xml:space="preserve">By living location, the majority of cases lived, 68% and 72%, lived in an urbanized area in 2000 and 2010. By median household income, the majority of cases (31%) lived in an income group of </w:t>
      </w:r>
      <w:r w:rsidR="00553843" w:rsidRPr="00553843">
        <w:t>$35,000 to &lt;$50,000</w:t>
      </w:r>
      <w:r w:rsidR="00553843">
        <w:t xml:space="preserve"> in 2000, while in 2010 the majority (30%) lived in an income group of </w:t>
      </w:r>
      <w:r w:rsidR="00553843" w:rsidRPr="00553843">
        <w:t>$50,000 to &lt;$75,000</w:t>
      </w:r>
      <w:r w:rsidR="00553843">
        <w:t>.</w:t>
      </w:r>
      <w:r w:rsidR="00FB7F64">
        <w:t xml:space="preserve"> Among states, California had the largest number of incident cases for both years (&gt;100,000) and the District of Columbia had the least number of cases in both years (</w:t>
      </w:r>
      <w:r w:rsidR="00FB7F64">
        <w:fldChar w:fldCharType="begin"/>
      </w:r>
      <w:r w:rsidR="00FB7F64">
        <w:instrText xml:space="preserve"> REF _Ref13574598 \h </w:instrText>
      </w:r>
      <w:r w:rsidR="00FB7F64">
        <w:fldChar w:fldCharType="separate"/>
      </w:r>
      <w:r w:rsidR="00FB7F64">
        <w:t>Table S</w:t>
      </w:r>
      <w:r w:rsidR="00FB7F64">
        <w:rPr>
          <w:noProof/>
        </w:rPr>
        <w:t>3</w:t>
      </w:r>
      <w:r w:rsidR="00FB7F64">
        <w:fldChar w:fldCharType="end"/>
      </w:r>
      <w:r w:rsidR="00FB7F64">
        <w:t>).</w:t>
      </w:r>
    </w:p>
    <w:p w14:paraId="11ABB79C" w14:textId="7687222E" w:rsidR="009665F9" w:rsidRPr="009665F9" w:rsidRDefault="00553843" w:rsidP="00553843">
      <w:r>
        <w:lastRenderedPageBreak/>
        <w:t xml:space="preserve">  </w:t>
      </w:r>
    </w:p>
    <w:p w14:paraId="2778C27F" w14:textId="560C0A04" w:rsidR="00DD6B75" w:rsidRDefault="007F2DBC" w:rsidP="00DD6B75">
      <w:pPr>
        <w:pStyle w:val="Heading4"/>
      </w:pPr>
      <w:r>
        <w:t>Attributable cases and fraction</w:t>
      </w:r>
    </w:p>
    <w:p w14:paraId="26E9252E" w14:textId="7EBB7C31" w:rsidR="00DD6B75" w:rsidRPr="00E66955" w:rsidRDefault="00DD6B75" w:rsidP="00DD6B75">
      <w:r>
        <w:t xml:space="preserve">The number of attributable cases (and fraction) estimated in 2000 and 2010 were </w:t>
      </w:r>
      <w:r w:rsidR="00E66955">
        <w:t>following; For NO</w:t>
      </w:r>
      <w:r w:rsidR="00E66955" w:rsidRPr="00E66955">
        <w:rPr>
          <w:vertAlign w:val="subscript"/>
        </w:rPr>
        <w:t>2</w:t>
      </w:r>
      <w:r w:rsidR="00E66955">
        <w:rPr>
          <w:vertAlign w:val="subscript"/>
        </w:rPr>
        <w:t xml:space="preserve">, </w:t>
      </w:r>
      <w:r w:rsidR="00E66955">
        <w:t>209,100 (27%) and 141,900 (185) with a 32% reduction in the number of cases. For PM</w:t>
      </w:r>
      <w:r w:rsidR="00E66955" w:rsidRPr="00E66955">
        <w:rPr>
          <w:vertAlign w:val="subscript"/>
        </w:rPr>
        <w:t>10</w:t>
      </w:r>
      <w:r w:rsidR="00E66955" w:rsidRPr="00E66955">
        <w:t>,</w:t>
      </w:r>
      <w:r w:rsidR="00E66955">
        <w:t xml:space="preserve"> 379,400 (48%) and 311,600 (42%) </w:t>
      </w:r>
      <w:bookmarkStart w:id="34" w:name="_GoBack"/>
      <w:bookmarkEnd w:id="34"/>
    </w:p>
    <w:p w14:paraId="750C9D50" w14:textId="77777777" w:rsidR="009665F9" w:rsidRPr="009665F9" w:rsidRDefault="009665F9" w:rsidP="009665F9"/>
    <w:p w14:paraId="000D7D13" w14:textId="280B907F" w:rsidR="007F2DBC" w:rsidRDefault="007F2DBC" w:rsidP="007F2DBC">
      <w:pPr>
        <w:pStyle w:val="Heading4"/>
      </w:pPr>
      <w:r>
        <w:t>Attributable cases and fraction by living location</w:t>
      </w:r>
    </w:p>
    <w:p w14:paraId="5EB326CF" w14:textId="77777777" w:rsidR="009665F9" w:rsidRPr="009665F9" w:rsidRDefault="009665F9" w:rsidP="009665F9"/>
    <w:p w14:paraId="1F4F9F4F" w14:textId="31EA2A21" w:rsidR="007F2DBC" w:rsidRDefault="007F2DBC" w:rsidP="007F2DBC">
      <w:pPr>
        <w:pStyle w:val="Heading4"/>
      </w:pPr>
      <w:r>
        <w:t>Attributable cases and fraction by median household income</w:t>
      </w:r>
    </w:p>
    <w:p w14:paraId="0BFA154D" w14:textId="74E4D896" w:rsidR="007F2DBC" w:rsidRPr="007F2DBC" w:rsidRDefault="007F2DBC" w:rsidP="007F2DBC"/>
    <w:p w14:paraId="6AA2BA84" w14:textId="60D04EB8" w:rsidR="007F2DBC" w:rsidRDefault="007F2DBC" w:rsidP="007F2DBC">
      <w:pPr>
        <w:pStyle w:val="Heading3"/>
      </w:pPr>
      <w:r>
        <w:t>Counterfactual scenarios</w:t>
      </w:r>
    </w:p>
    <w:p w14:paraId="630E272C" w14:textId="6D444B2D" w:rsidR="007F2DBC" w:rsidRDefault="007F2DBC" w:rsidP="007F2DBC">
      <w:pPr>
        <w:pStyle w:val="Heading4"/>
      </w:pPr>
      <w:r>
        <w:t>WHO guidelines</w:t>
      </w:r>
    </w:p>
    <w:p w14:paraId="0A7BF1DA" w14:textId="0C2CCC9B" w:rsidR="007F2DBC" w:rsidRDefault="007F2DBC" w:rsidP="007F2DBC">
      <w:pPr>
        <w:pStyle w:val="Heading4"/>
      </w:pPr>
      <w:r>
        <w:t>Lowest modeled air pollution concentrations</w:t>
      </w:r>
    </w:p>
    <w:p w14:paraId="7A026E5A" w14:textId="24413B7F" w:rsidR="007F2DBC" w:rsidRDefault="007F2DBC" w:rsidP="007F2DBC">
      <w:pPr>
        <w:pStyle w:val="Heading3"/>
      </w:pPr>
    </w:p>
    <w:p w14:paraId="64E8D135" w14:textId="1E4C8E79" w:rsidR="007F2DBC" w:rsidRDefault="007F2DBC" w:rsidP="007F2DBC">
      <w:pPr>
        <w:pStyle w:val="Heading3"/>
      </w:pPr>
      <w:r>
        <w:t>Sensitivity analysis</w:t>
      </w:r>
    </w:p>
    <w:p w14:paraId="58DBA0C4" w14:textId="3547F711" w:rsidR="007F2DBC" w:rsidRDefault="007F2DBC" w:rsidP="007F2DBC">
      <w:pPr>
        <w:pStyle w:val="Heading4"/>
      </w:pPr>
      <w:r>
        <w:t>Most conservative estimates</w:t>
      </w:r>
    </w:p>
    <w:p w14:paraId="3B592282" w14:textId="7E24973F" w:rsidR="007F2DBC" w:rsidRDefault="007F2DBC" w:rsidP="007F2DBC">
      <w:pPr>
        <w:pStyle w:val="Heading4"/>
      </w:pPr>
      <w:r>
        <w:t>Most extreme estimates</w:t>
      </w:r>
    </w:p>
    <w:p w14:paraId="24DE15B4" w14:textId="32F6C30D" w:rsidR="007F2DBC" w:rsidRPr="007F2DBC" w:rsidRDefault="007F2DBC" w:rsidP="007F2DBC"/>
    <w:p w14:paraId="442403F2" w14:textId="77777777" w:rsidR="007F2DBC" w:rsidRPr="007F2DBC" w:rsidRDefault="007F2DBC" w:rsidP="007F2DBC"/>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2"/>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5"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5"/>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6" w:name="_Toc1370390"/>
      <w:r>
        <w:t xml:space="preserve">Technology Transfer Outputs, Outcomes, </w:t>
      </w:r>
      <w:r w:rsidR="00657B51">
        <w:t xml:space="preserve">and </w:t>
      </w:r>
      <w:r>
        <w:t>Impacts</w:t>
      </w:r>
      <w:bookmarkEnd w:id="36"/>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lastRenderedPageBreak/>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7" w:name="_Toc1370391"/>
      <w:r w:rsidRPr="00D47991">
        <w:t xml:space="preserve">Education </w:t>
      </w:r>
      <w:r w:rsidR="00107C60">
        <w:t xml:space="preserve">and Workforce Development </w:t>
      </w:r>
      <w:r w:rsidRPr="00D47991">
        <w:t>Outputs, Outcomes, and Impacts</w:t>
      </w:r>
      <w:bookmarkEnd w:id="37"/>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13F27E85" w14:textId="6CBB349D" w:rsidR="002469CA"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490563" w:history="1">
        <w:r w:rsidR="002469CA" w:rsidRPr="005348D8">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_Toc13490563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EC74AE" w14:textId="196785D9" w:rsidR="002469CA" w:rsidRDefault="009C6A0E">
      <w:pPr>
        <w:pStyle w:val="TableofFigures"/>
        <w:tabs>
          <w:tab w:val="right" w:leader="dot" w:pos="10070"/>
        </w:tabs>
        <w:rPr>
          <w:noProof/>
          <w:sz w:val="22"/>
          <w:szCs w:val="22"/>
        </w:rPr>
      </w:pPr>
      <w:hyperlink w:anchor="_Toc13490564" w:history="1">
        <w:r w:rsidR="002469CA" w:rsidRPr="005348D8">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_Toc13490564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0245122E" w14:textId="5885A3D9" w:rsidR="002469CA" w:rsidRDefault="009C6A0E">
      <w:pPr>
        <w:pStyle w:val="TableofFigures"/>
        <w:tabs>
          <w:tab w:val="right" w:leader="dot" w:pos="10070"/>
        </w:tabs>
        <w:rPr>
          <w:noProof/>
          <w:sz w:val="22"/>
          <w:szCs w:val="22"/>
        </w:rPr>
      </w:pPr>
      <w:hyperlink w:anchor="_Toc13490565" w:history="1">
        <w:r w:rsidR="002469CA" w:rsidRPr="005348D8">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_Toc13490565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ED70F75" w14:textId="114E32BF" w:rsidR="002469CA" w:rsidRDefault="009C6A0E">
      <w:pPr>
        <w:pStyle w:val="TableofFigures"/>
        <w:tabs>
          <w:tab w:val="right" w:leader="dot" w:pos="10070"/>
        </w:tabs>
        <w:rPr>
          <w:noProof/>
          <w:sz w:val="22"/>
          <w:szCs w:val="22"/>
        </w:rPr>
      </w:pPr>
      <w:hyperlink w:anchor="_Toc13490566" w:history="1">
        <w:r w:rsidR="002469CA" w:rsidRPr="005348D8">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_Toc13490566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0B78BD72" w14:textId="00996F94" w:rsidR="002469CA" w:rsidRDefault="009C6A0E">
      <w:pPr>
        <w:pStyle w:val="TableofFigures"/>
        <w:tabs>
          <w:tab w:val="right" w:leader="dot" w:pos="10070"/>
        </w:tabs>
        <w:rPr>
          <w:noProof/>
          <w:sz w:val="22"/>
          <w:szCs w:val="22"/>
        </w:rPr>
      </w:pPr>
      <w:hyperlink w:anchor="_Toc13490567" w:history="1">
        <w:r w:rsidR="002469CA" w:rsidRPr="005348D8">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_Toc13490567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16FAFA4B" w14:textId="77777777" w:rsidR="002469CA" w:rsidRDefault="00713F61" w:rsidP="000435EF">
      <w:pPr>
        <w:pStyle w:val="Tableheader"/>
        <w:rPr>
          <w:noProof/>
        </w:rPr>
      </w:pPr>
      <w:r>
        <w:fldChar w:fldCharType="end"/>
      </w:r>
      <w:r>
        <w:fldChar w:fldCharType="begin"/>
      </w:r>
      <w:r>
        <w:instrText xml:space="preserve"> TOC \h \z \c "Table S" </w:instrText>
      </w:r>
      <w:r>
        <w:fldChar w:fldCharType="separate"/>
      </w:r>
    </w:p>
    <w:p w14:paraId="3560BB88" w14:textId="42689C3A" w:rsidR="002469CA" w:rsidRDefault="009C6A0E">
      <w:pPr>
        <w:pStyle w:val="TableofFigures"/>
        <w:tabs>
          <w:tab w:val="right" w:leader="dot" w:pos="10070"/>
        </w:tabs>
        <w:rPr>
          <w:noProof/>
          <w:sz w:val="22"/>
          <w:szCs w:val="22"/>
        </w:rPr>
      </w:pPr>
      <w:hyperlink w:anchor="_Toc13490568" w:history="1">
        <w:r w:rsidR="002469CA" w:rsidRPr="006A095D">
          <w:rPr>
            <w:rStyle w:val="Hyperlink"/>
            <w:noProof/>
          </w:rPr>
          <w:t>Table S1. Geographical and demographical characteristics by state</w:t>
        </w:r>
        <w:r w:rsidR="002469CA">
          <w:rPr>
            <w:noProof/>
            <w:webHidden/>
          </w:rPr>
          <w:tab/>
        </w:r>
        <w:r w:rsidR="002469CA">
          <w:rPr>
            <w:noProof/>
            <w:webHidden/>
          </w:rPr>
          <w:fldChar w:fldCharType="begin"/>
        </w:r>
        <w:r w:rsidR="002469CA">
          <w:rPr>
            <w:noProof/>
            <w:webHidden/>
          </w:rPr>
          <w:instrText xml:space="preserve"> PAGEREF _Toc13490568 \h </w:instrText>
        </w:r>
        <w:r w:rsidR="002469CA">
          <w:rPr>
            <w:noProof/>
            <w:webHidden/>
          </w:rPr>
        </w:r>
        <w:r w:rsidR="002469CA">
          <w:rPr>
            <w:noProof/>
            <w:webHidden/>
          </w:rPr>
          <w:fldChar w:fldCharType="separate"/>
        </w:r>
        <w:r w:rsidR="002469CA">
          <w:rPr>
            <w:noProof/>
            <w:webHidden/>
          </w:rPr>
          <w:t>17</w:t>
        </w:r>
        <w:r w:rsidR="002469CA">
          <w:rPr>
            <w:noProof/>
            <w:webHidden/>
          </w:rPr>
          <w:fldChar w:fldCharType="end"/>
        </w:r>
      </w:hyperlink>
    </w:p>
    <w:p w14:paraId="5B07114B" w14:textId="5CF79960" w:rsidR="002469CA" w:rsidRDefault="009C6A0E">
      <w:pPr>
        <w:pStyle w:val="TableofFigures"/>
        <w:tabs>
          <w:tab w:val="right" w:leader="dot" w:pos="10070"/>
        </w:tabs>
        <w:rPr>
          <w:noProof/>
          <w:sz w:val="22"/>
          <w:szCs w:val="22"/>
        </w:rPr>
      </w:pPr>
      <w:hyperlink w:anchor="_Toc13490569" w:history="1">
        <w:r w:rsidR="002469CA" w:rsidRPr="006A095D">
          <w:rPr>
            <w:rStyle w:val="Hyperlink"/>
            <w:noProof/>
          </w:rPr>
          <w:t>Table S2. Air pollution concentrations by state</w:t>
        </w:r>
        <w:r w:rsidR="002469CA">
          <w:rPr>
            <w:noProof/>
            <w:webHidden/>
          </w:rPr>
          <w:tab/>
        </w:r>
        <w:r w:rsidR="002469CA">
          <w:rPr>
            <w:noProof/>
            <w:webHidden/>
          </w:rPr>
          <w:fldChar w:fldCharType="begin"/>
        </w:r>
        <w:r w:rsidR="002469CA">
          <w:rPr>
            <w:noProof/>
            <w:webHidden/>
          </w:rPr>
          <w:instrText xml:space="preserve"> PAGEREF _Toc13490569 \h </w:instrText>
        </w:r>
        <w:r w:rsidR="002469CA">
          <w:rPr>
            <w:noProof/>
            <w:webHidden/>
          </w:rPr>
        </w:r>
        <w:r w:rsidR="002469CA">
          <w:rPr>
            <w:noProof/>
            <w:webHidden/>
          </w:rPr>
          <w:fldChar w:fldCharType="separate"/>
        </w:r>
        <w:r w:rsidR="002469CA">
          <w:rPr>
            <w:noProof/>
            <w:webHidden/>
          </w:rPr>
          <w:t>19</w:t>
        </w:r>
        <w:r w:rsidR="002469CA">
          <w:rPr>
            <w:noProof/>
            <w:webHidden/>
          </w:rPr>
          <w:fldChar w:fldCharType="end"/>
        </w:r>
      </w:hyperlink>
    </w:p>
    <w:p w14:paraId="392F4FA0" w14:textId="513C910E" w:rsidR="002469CA" w:rsidRDefault="009C6A0E">
      <w:pPr>
        <w:pStyle w:val="TableofFigures"/>
        <w:tabs>
          <w:tab w:val="right" w:leader="dot" w:pos="10070"/>
        </w:tabs>
        <w:rPr>
          <w:noProof/>
          <w:sz w:val="22"/>
          <w:szCs w:val="22"/>
        </w:rPr>
      </w:pPr>
      <w:hyperlink w:anchor="_Toc13490570" w:history="1">
        <w:r w:rsidR="002469CA" w:rsidRPr="006A095D">
          <w:rPr>
            <w:rStyle w:val="Hyperlink"/>
            <w:noProof/>
          </w:rPr>
          <w:t>Table S3. Incident cases by state</w:t>
        </w:r>
        <w:r w:rsidR="002469CA">
          <w:rPr>
            <w:noProof/>
            <w:webHidden/>
          </w:rPr>
          <w:tab/>
        </w:r>
        <w:r w:rsidR="002469CA">
          <w:rPr>
            <w:noProof/>
            <w:webHidden/>
          </w:rPr>
          <w:fldChar w:fldCharType="begin"/>
        </w:r>
        <w:r w:rsidR="002469CA">
          <w:rPr>
            <w:noProof/>
            <w:webHidden/>
          </w:rPr>
          <w:instrText xml:space="preserve"> PAGEREF _Toc13490570 \h </w:instrText>
        </w:r>
        <w:r w:rsidR="002469CA">
          <w:rPr>
            <w:noProof/>
            <w:webHidden/>
          </w:rPr>
        </w:r>
        <w:r w:rsidR="002469CA">
          <w:rPr>
            <w:noProof/>
            <w:webHidden/>
          </w:rPr>
          <w:fldChar w:fldCharType="separate"/>
        </w:r>
        <w:r w:rsidR="002469CA">
          <w:rPr>
            <w:noProof/>
            <w:webHidden/>
          </w:rPr>
          <w:t>21</w:t>
        </w:r>
        <w:r w:rsidR="002469CA">
          <w:rPr>
            <w:noProof/>
            <w:webHidden/>
          </w:rPr>
          <w:fldChar w:fldCharType="end"/>
        </w:r>
      </w:hyperlink>
    </w:p>
    <w:p w14:paraId="670E7DBF" w14:textId="0412A363" w:rsidR="002469CA" w:rsidRDefault="009C6A0E">
      <w:pPr>
        <w:pStyle w:val="TableofFigures"/>
        <w:tabs>
          <w:tab w:val="right" w:leader="dot" w:pos="10070"/>
        </w:tabs>
        <w:rPr>
          <w:noProof/>
          <w:sz w:val="22"/>
          <w:szCs w:val="22"/>
        </w:rPr>
      </w:pPr>
      <w:hyperlink w:anchor="_Toc13490571" w:history="1">
        <w:r w:rsidR="002469CA" w:rsidRPr="006A095D">
          <w:rPr>
            <w:rStyle w:val="Hyperlink"/>
            <w:noProof/>
          </w:rPr>
          <w:t>Table S4. Burden estimates due to NO</w:t>
        </w:r>
        <w:r w:rsidR="002469CA" w:rsidRPr="006A095D">
          <w:rPr>
            <w:rStyle w:val="Hyperlink"/>
            <w:noProof/>
            <w:vertAlign w:val="subscript"/>
          </w:rPr>
          <w:t>2</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_Toc13490571 \h </w:instrText>
        </w:r>
        <w:r w:rsidR="002469CA">
          <w:rPr>
            <w:noProof/>
            <w:webHidden/>
          </w:rPr>
        </w:r>
        <w:r w:rsidR="002469CA">
          <w:rPr>
            <w:noProof/>
            <w:webHidden/>
          </w:rPr>
          <w:fldChar w:fldCharType="separate"/>
        </w:r>
        <w:r w:rsidR="002469CA">
          <w:rPr>
            <w:noProof/>
            <w:webHidden/>
          </w:rPr>
          <w:t>22</w:t>
        </w:r>
        <w:r w:rsidR="002469CA">
          <w:rPr>
            <w:noProof/>
            <w:webHidden/>
          </w:rPr>
          <w:fldChar w:fldCharType="end"/>
        </w:r>
      </w:hyperlink>
    </w:p>
    <w:p w14:paraId="31FAF350" w14:textId="53787C40" w:rsidR="002469CA" w:rsidRDefault="009C6A0E">
      <w:pPr>
        <w:pStyle w:val="TableofFigures"/>
        <w:tabs>
          <w:tab w:val="right" w:leader="dot" w:pos="10070"/>
        </w:tabs>
        <w:rPr>
          <w:noProof/>
          <w:sz w:val="22"/>
          <w:szCs w:val="22"/>
        </w:rPr>
      </w:pPr>
      <w:hyperlink w:anchor="_Toc13490572" w:history="1">
        <w:r w:rsidR="002469CA" w:rsidRPr="006A095D">
          <w:rPr>
            <w:rStyle w:val="Hyperlink"/>
            <w:noProof/>
          </w:rPr>
          <w:t>Table S5. Burden estimates due to PM</w:t>
        </w:r>
        <w:r w:rsidR="002469CA" w:rsidRPr="006A095D">
          <w:rPr>
            <w:rStyle w:val="Hyperlink"/>
            <w:noProof/>
            <w:vertAlign w:val="subscript"/>
          </w:rPr>
          <w:t>10</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_Toc13490572 \h </w:instrText>
        </w:r>
        <w:r w:rsidR="002469CA">
          <w:rPr>
            <w:noProof/>
            <w:webHidden/>
          </w:rPr>
        </w:r>
        <w:r w:rsidR="002469CA">
          <w:rPr>
            <w:noProof/>
            <w:webHidden/>
          </w:rPr>
          <w:fldChar w:fldCharType="separate"/>
        </w:r>
        <w:r w:rsidR="002469CA">
          <w:rPr>
            <w:noProof/>
            <w:webHidden/>
          </w:rPr>
          <w:t>23</w:t>
        </w:r>
        <w:r w:rsidR="002469CA">
          <w:rPr>
            <w:noProof/>
            <w:webHidden/>
          </w:rPr>
          <w:fldChar w:fldCharType="end"/>
        </w:r>
      </w:hyperlink>
    </w:p>
    <w:p w14:paraId="0354FF43" w14:textId="7E3E3A10" w:rsidR="002469CA" w:rsidRDefault="009C6A0E">
      <w:pPr>
        <w:pStyle w:val="TableofFigures"/>
        <w:tabs>
          <w:tab w:val="right" w:leader="dot" w:pos="10070"/>
        </w:tabs>
        <w:rPr>
          <w:noProof/>
          <w:sz w:val="22"/>
          <w:szCs w:val="22"/>
        </w:rPr>
      </w:pPr>
      <w:hyperlink w:anchor="_Toc13490573" w:history="1">
        <w:r w:rsidR="002469CA" w:rsidRPr="006A095D">
          <w:rPr>
            <w:rStyle w:val="Hyperlink"/>
            <w:noProof/>
          </w:rPr>
          <w:t>Table S6. Burden estimates due to PM</w:t>
        </w:r>
        <w:r w:rsidR="002469CA" w:rsidRPr="006A095D">
          <w:rPr>
            <w:rStyle w:val="Hyperlink"/>
            <w:noProof/>
            <w:vertAlign w:val="subscript"/>
          </w:rPr>
          <w:t>2.5</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_Toc13490573 \h </w:instrText>
        </w:r>
        <w:r w:rsidR="002469CA">
          <w:rPr>
            <w:noProof/>
            <w:webHidden/>
          </w:rPr>
        </w:r>
        <w:r w:rsidR="002469CA">
          <w:rPr>
            <w:noProof/>
            <w:webHidden/>
          </w:rPr>
          <w:fldChar w:fldCharType="separate"/>
        </w:r>
        <w:r w:rsidR="002469CA">
          <w:rPr>
            <w:noProof/>
            <w:webHidden/>
          </w:rPr>
          <w:t>24</w:t>
        </w:r>
        <w:r w:rsidR="002469CA">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3AE64868" w:rsidR="00C66186" w:rsidRDefault="00C66186" w:rsidP="00C66186">
      <w:pPr>
        <w:pStyle w:val="Caption"/>
        <w:keepNext/>
      </w:pPr>
      <w:bookmarkStart w:id="38" w:name="_Toc13490559"/>
      <w:bookmarkStart w:id="39" w:name="_Toc13490564"/>
      <w:bookmarkStart w:id="40" w:name="_Ref13564454"/>
      <w:r>
        <w:t xml:space="preserve">Table </w:t>
      </w:r>
      <w:r w:rsidR="0083497B">
        <w:fldChar w:fldCharType="begin"/>
      </w:r>
      <w:r w:rsidR="0083497B">
        <w:instrText xml:space="preserve"> SEQ Table \* ARABIC </w:instrText>
      </w:r>
      <w:r w:rsidR="0083497B">
        <w:fldChar w:fldCharType="separate"/>
      </w:r>
      <w:r>
        <w:rPr>
          <w:noProof/>
        </w:rPr>
        <w:t>2</w:t>
      </w:r>
      <w:r w:rsidR="0083497B">
        <w:rPr>
          <w:noProof/>
        </w:rPr>
        <w:fldChar w:fldCharType="end"/>
      </w:r>
      <w:bookmarkEnd w:id="40"/>
      <w:r w:rsidR="006A05CF">
        <w:t>.</w:t>
      </w:r>
      <w:r>
        <w:t xml:space="preserve"> Geographical and demographic characteristics</w:t>
      </w:r>
      <w:bookmarkEnd w:id="38"/>
      <w:bookmarkEnd w:id="39"/>
    </w:p>
    <w:tbl>
      <w:tblPr>
        <w:tblW w:w="5014" w:type="pct"/>
        <w:tblLook w:val="04A0" w:firstRow="1" w:lastRow="0" w:firstColumn="1" w:lastColumn="0" w:noHBand="0" w:noVBand="1"/>
      </w:tblPr>
      <w:tblGrid>
        <w:gridCol w:w="1114"/>
        <w:gridCol w:w="1908"/>
        <w:gridCol w:w="1086"/>
        <w:gridCol w:w="1086"/>
        <w:gridCol w:w="1173"/>
        <w:gridCol w:w="1305"/>
        <w:gridCol w:w="1305"/>
        <w:gridCol w:w="1173"/>
        <w:gridCol w:w="1195"/>
        <w:gridCol w:w="1195"/>
        <w:gridCol w:w="1168"/>
      </w:tblGrid>
      <w:tr w:rsidR="00B613C3" w:rsidRPr="00B613C3" w14:paraId="1AE3BE6C"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2929C61"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122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D85FA2D"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Populated Census Blocks</w:t>
            </w:r>
          </w:p>
        </w:tc>
        <w:tc>
          <w:tcPr>
            <w:tcW w:w="138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7DB4804" w14:textId="18B52058"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P</w:t>
            </w:r>
            <w:r w:rsidRPr="00B613C3">
              <w:rPr>
                <w:rFonts w:eastAsia="Times New Roman" w:cstheme="minorHAnsi"/>
                <w:b/>
                <w:bCs/>
                <w:color w:val="000000"/>
              </w:rPr>
              <w:t>opulation</w:t>
            </w:r>
          </w:p>
        </w:tc>
        <w:tc>
          <w:tcPr>
            <w:tcW w:w="1298"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66C015" w14:textId="021072B0"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C</w:t>
            </w:r>
            <w:r w:rsidRPr="00B613C3">
              <w:rPr>
                <w:rFonts w:eastAsia="Times New Roman" w:cstheme="minorHAnsi"/>
                <w:b/>
                <w:bCs/>
                <w:color w:val="000000"/>
              </w:rPr>
              <w:t>hildren</w:t>
            </w:r>
          </w:p>
        </w:tc>
      </w:tr>
      <w:tr w:rsidR="006A55AE" w:rsidRPr="00B613C3" w14:paraId="6AF5F540"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E0CF214"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CCCCCC"/>
            <w:noWrap/>
            <w:vAlign w:val="bottom"/>
            <w:hideMark/>
          </w:tcPr>
          <w:p w14:paraId="41AFAFA0"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396" w:type="pct"/>
            <w:tcBorders>
              <w:top w:val="nil"/>
              <w:left w:val="nil"/>
              <w:bottom w:val="single" w:sz="4" w:space="0" w:color="auto"/>
              <w:right w:val="single" w:sz="4" w:space="0" w:color="auto"/>
            </w:tcBorders>
            <w:shd w:val="clear" w:color="auto" w:fill="CCCCCC"/>
            <w:noWrap/>
            <w:vAlign w:val="bottom"/>
            <w:hideMark/>
          </w:tcPr>
          <w:p w14:paraId="0BF1561C"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44812080" w14:textId="13C8F01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76" w:type="pct"/>
            <w:tcBorders>
              <w:top w:val="nil"/>
              <w:left w:val="nil"/>
              <w:bottom w:val="single" w:sz="4" w:space="0" w:color="auto"/>
              <w:right w:val="single" w:sz="4" w:space="0" w:color="auto"/>
            </w:tcBorders>
            <w:shd w:val="clear" w:color="auto" w:fill="CCCCCC"/>
            <w:noWrap/>
            <w:vAlign w:val="bottom"/>
            <w:hideMark/>
          </w:tcPr>
          <w:p w14:paraId="28C8AE6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76" w:type="pct"/>
            <w:tcBorders>
              <w:top w:val="nil"/>
              <w:left w:val="nil"/>
              <w:bottom w:val="single" w:sz="4" w:space="0" w:color="auto"/>
              <w:right w:val="single" w:sz="4" w:space="0" w:color="auto"/>
            </w:tcBorders>
            <w:shd w:val="clear" w:color="auto" w:fill="CCCCCC"/>
            <w:noWrap/>
            <w:vAlign w:val="bottom"/>
            <w:hideMark/>
          </w:tcPr>
          <w:p w14:paraId="35D7B8C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2FD97554" w14:textId="5C8CABA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36" w:type="pct"/>
            <w:tcBorders>
              <w:top w:val="nil"/>
              <w:left w:val="nil"/>
              <w:bottom w:val="single" w:sz="4" w:space="0" w:color="auto"/>
              <w:right w:val="single" w:sz="4" w:space="0" w:color="auto"/>
            </w:tcBorders>
            <w:shd w:val="clear" w:color="auto" w:fill="CCCCCC"/>
            <w:noWrap/>
            <w:vAlign w:val="bottom"/>
            <w:hideMark/>
          </w:tcPr>
          <w:p w14:paraId="4476DDB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36" w:type="pct"/>
            <w:tcBorders>
              <w:top w:val="nil"/>
              <w:left w:val="nil"/>
              <w:bottom w:val="single" w:sz="4" w:space="0" w:color="auto"/>
              <w:right w:val="single" w:sz="4" w:space="0" w:color="auto"/>
            </w:tcBorders>
            <w:shd w:val="clear" w:color="auto" w:fill="CCCCCC"/>
            <w:noWrap/>
            <w:vAlign w:val="bottom"/>
            <w:hideMark/>
          </w:tcPr>
          <w:p w14:paraId="1F24E39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6" w:type="pct"/>
            <w:tcBorders>
              <w:top w:val="nil"/>
              <w:left w:val="nil"/>
              <w:bottom w:val="single" w:sz="4" w:space="0" w:color="auto"/>
              <w:right w:val="single" w:sz="4" w:space="0" w:color="auto"/>
            </w:tcBorders>
            <w:shd w:val="clear" w:color="auto" w:fill="CCCCCC"/>
            <w:noWrap/>
            <w:vAlign w:val="bottom"/>
            <w:hideMark/>
          </w:tcPr>
          <w:p w14:paraId="653CDCF8" w14:textId="7909F5E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r>
      <w:tr w:rsidR="006A55AE" w:rsidRPr="00B613C3" w14:paraId="20A16834" w14:textId="77777777" w:rsidTr="00C66186">
        <w:trPr>
          <w:trHeight w:val="258"/>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14:paraId="78CE8C50"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Total</w:t>
            </w:r>
          </w:p>
        </w:tc>
        <w:tc>
          <w:tcPr>
            <w:tcW w:w="696" w:type="pct"/>
            <w:tcBorders>
              <w:top w:val="nil"/>
              <w:left w:val="nil"/>
              <w:bottom w:val="single" w:sz="4" w:space="0" w:color="auto"/>
              <w:right w:val="single" w:sz="4" w:space="0" w:color="auto"/>
            </w:tcBorders>
            <w:shd w:val="clear" w:color="auto" w:fill="auto"/>
            <w:noWrap/>
            <w:vAlign w:val="bottom"/>
            <w:hideMark/>
          </w:tcPr>
          <w:p w14:paraId="26E9C0D7"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auto"/>
            <w:noWrap/>
            <w:vAlign w:val="bottom"/>
            <w:hideMark/>
          </w:tcPr>
          <w:p w14:paraId="7097C19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5,280,214</w:t>
            </w:r>
          </w:p>
        </w:tc>
        <w:tc>
          <w:tcPr>
            <w:tcW w:w="396" w:type="pct"/>
            <w:tcBorders>
              <w:top w:val="nil"/>
              <w:left w:val="nil"/>
              <w:bottom w:val="single" w:sz="4" w:space="0" w:color="auto"/>
              <w:right w:val="single" w:sz="4" w:space="0" w:color="auto"/>
            </w:tcBorders>
            <w:shd w:val="clear" w:color="auto" w:fill="auto"/>
            <w:noWrap/>
            <w:vAlign w:val="bottom"/>
            <w:hideMark/>
          </w:tcPr>
          <w:p w14:paraId="08EB5EC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6,182,882</w:t>
            </w:r>
          </w:p>
        </w:tc>
        <w:tc>
          <w:tcPr>
            <w:tcW w:w="428" w:type="pct"/>
            <w:tcBorders>
              <w:top w:val="nil"/>
              <w:left w:val="nil"/>
              <w:bottom w:val="single" w:sz="4" w:space="0" w:color="auto"/>
              <w:right w:val="single" w:sz="4" w:space="0" w:color="auto"/>
            </w:tcBorders>
            <w:shd w:val="clear" w:color="auto" w:fill="auto"/>
            <w:noWrap/>
            <w:vAlign w:val="bottom"/>
            <w:hideMark/>
          </w:tcPr>
          <w:p w14:paraId="489FE1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w:t>
            </w:r>
          </w:p>
        </w:tc>
        <w:tc>
          <w:tcPr>
            <w:tcW w:w="476" w:type="pct"/>
            <w:tcBorders>
              <w:top w:val="nil"/>
              <w:left w:val="nil"/>
              <w:bottom w:val="single" w:sz="4" w:space="0" w:color="auto"/>
              <w:right w:val="single" w:sz="4" w:space="0" w:color="auto"/>
            </w:tcBorders>
            <w:shd w:val="clear" w:color="auto" w:fill="auto"/>
            <w:noWrap/>
            <w:vAlign w:val="bottom"/>
            <w:hideMark/>
          </w:tcPr>
          <w:p w14:paraId="38A3192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279,583,437</w:t>
            </w:r>
          </w:p>
        </w:tc>
        <w:tc>
          <w:tcPr>
            <w:tcW w:w="476" w:type="pct"/>
            <w:tcBorders>
              <w:top w:val="nil"/>
              <w:left w:val="nil"/>
              <w:bottom w:val="single" w:sz="4" w:space="0" w:color="auto"/>
              <w:right w:val="single" w:sz="4" w:space="0" w:color="auto"/>
            </w:tcBorders>
            <w:shd w:val="clear" w:color="auto" w:fill="auto"/>
            <w:noWrap/>
            <w:vAlign w:val="bottom"/>
            <w:hideMark/>
          </w:tcPr>
          <w:p w14:paraId="6407ACD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306,675,006</w:t>
            </w:r>
          </w:p>
        </w:tc>
        <w:tc>
          <w:tcPr>
            <w:tcW w:w="428" w:type="pct"/>
            <w:tcBorders>
              <w:top w:val="nil"/>
              <w:left w:val="nil"/>
              <w:bottom w:val="single" w:sz="4" w:space="0" w:color="auto"/>
              <w:right w:val="single" w:sz="4" w:space="0" w:color="auto"/>
            </w:tcBorders>
            <w:shd w:val="clear" w:color="auto" w:fill="auto"/>
            <w:noWrap/>
            <w:vAlign w:val="bottom"/>
            <w:hideMark/>
          </w:tcPr>
          <w:p w14:paraId="157E107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36" w:type="pct"/>
            <w:tcBorders>
              <w:top w:val="nil"/>
              <w:left w:val="nil"/>
              <w:bottom w:val="single" w:sz="4" w:space="0" w:color="auto"/>
              <w:right w:val="single" w:sz="4" w:space="0" w:color="auto"/>
            </w:tcBorders>
            <w:shd w:val="clear" w:color="auto" w:fill="auto"/>
            <w:noWrap/>
            <w:vAlign w:val="bottom"/>
            <w:hideMark/>
          </w:tcPr>
          <w:p w14:paraId="204987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71,807,328</w:t>
            </w:r>
          </w:p>
        </w:tc>
        <w:tc>
          <w:tcPr>
            <w:tcW w:w="436" w:type="pct"/>
            <w:tcBorders>
              <w:top w:val="nil"/>
              <w:left w:val="nil"/>
              <w:bottom w:val="single" w:sz="4" w:space="0" w:color="auto"/>
              <w:right w:val="single" w:sz="4" w:space="0" w:color="auto"/>
            </w:tcBorders>
            <w:shd w:val="clear" w:color="auto" w:fill="auto"/>
            <w:noWrap/>
            <w:vAlign w:val="bottom"/>
            <w:hideMark/>
          </w:tcPr>
          <w:p w14:paraId="3FD4D30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73,690,271</w:t>
            </w:r>
          </w:p>
        </w:tc>
        <w:tc>
          <w:tcPr>
            <w:tcW w:w="426" w:type="pct"/>
            <w:tcBorders>
              <w:top w:val="nil"/>
              <w:left w:val="nil"/>
              <w:bottom w:val="single" w:sz="4" w:space="0" w:color="auto"/>
              <w:right w:val="single" w:sz="4" w:space="0" w:color="auto"/>
            </w:tcBorders>
            <w:shd w:val="clear" w:color="auto" w:fill="auto"/>
            <w:noWrap/>
            <w:vAlign w:val="bottom"/>
            <w:hideMark/>
          </w:tcPr>
          <w:p w14:paraId="62B04DB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w:t>
            </w:r>
          </w:p>
        </w:tc>
      </w:tr>
      <w:tr w:rsidR="006A55AE" w:rsidRPr="00B613C3" w14:paraId="0217FD41"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6B2751C1"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xml:space="preserve"> Living Location </w:t>
            </w:r>
          </w:p>
        </w:tc>
        <w:tc>
          <w:tcPr>
            <w:tcW w:w="696" w:type="pct"/>
            <w:tcBorders>
              <w:top w:val="nil"/>
              <w:left w:val="nil"/>
              <w:bottom w:val="single" w:sz="4" w:space="0" w:color="auto"/>
              <w:right w:val="single" w:sz="4" w:space="0" w:color="auto"/>
            </w:tcBorders>
            <w:shd w:val="clear" w:color="auto" w:fill="auto"/>
            <w:noWrap/>
            <w:vAlign w:val="bottom"/>
            <w:hideMark/>
          </w:tcPr>
          <w:p w14:paraId="5E784229" w14:textId="0C271E9D" w:rsidR="00B613C3" w:rsidRPr="00E60DCD" w:rsidRDefault="00B613C3" w:rsidP="00B613C3">
            <w:pPr>
              <w:rPr>
                <w:rFonts w:eastAsia="Times New Roman" w:cstheme="minorHAnsi"/>
                <w:color w:val="000000"/>
              </w:rPr>
            </w:pPr>
            <w:r w:rsidRPr="00E60DCD">
              <w:rPr>
                <w:rFonts w:eastAsia="Times New Roman" w:cstheme="minorHAnsi"/>
                <w:color w:val="000000"/>
              </w:rPr>
              <w:t>Urbanized Area</w:t>
            </w:r>
          </w:p>
        </w:tc>
        <w:tc>
          <w:tcPr>
            <w:tcW w:w="396" w:type="pct"/>
            <w:tcBorders>
              <w:top w:val="nil"/>
              <w:left w:val="nil"/>
              <w:bottom w:val="single" w:sz="4" w:space="0" w:color="auto"/>
              <w:right w:val="single" w:sz="4" w:space="0" w:color="auto"/>
            </w:tcBorders>
            <w:shd w:val="clear" w:color="auto" w:fill="auto"/>
            <w:noWrap/>
            <w:vAlign w:val="bottom"/>
            <w:hideMark/>
          </w:tcPr>
          <w:p w14:paraId="468F12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2,245,602</w:t>
            </w:r>
          </w:p>
        </w:tc>
        <w:tc>
          <w:tcPr>
            <w:tcW w:w="396" w:type="pct"/>
            <w:tcBorders>
              <w:top w:val="nil"/>
              <w:left w:val="nil"/>
              <w:bottom w:val="single" w:sz="4" w:space="0" w:color="auto"/>
              <w:right w:val="single" w:sz="4" w:space="0" w:color="auto"/>
            </w:tcBorders>
            <w:shd w:val="clear" w:color="auto" w:fill="auto"/>
            <w:noWrap/>
            <w:vAlign w:val="bottom"/>
            <w:hideMark/>
          </w:tcPr>
          <w:p w14:paraId="79BA69F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2,793,824</w:t>
            </w:r>
          </w:p>
        </w:tc>
        <w:tc>
          <w:tcPr>
            <w:tcW w:w="428" w:type="pct"/>
            <w:tcBorders>
              <w:top w:val="nil"/>
              <w:left w:val="nil"/>
              <w:bottom w:val="single" w:sz="4" w:space="0" w:color="auto"/>
              <w:right w:val="single" w:sz="4" w:space="0" w:color="auto"/>
            </w:tcBorders>
            <w:shd w:val="clear" w:color="auto" w:fill="auto"/>
            <w:noWrap/>
            <w:vAlign w:val="bottom"/>
            <w:hideMark/>
          </w:tcPr>
          <w:p w14:paraId="7F8147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24%</w:t>
            </w:r>
          </w:p>
        </w:tc>
        <w:tc>
          <w:tcPr>
            <w:tcW w:w="476" w:type="pct"/>
            <w:tcBorders>
              <w:top w:val="nil"/>
              <w:left w:val="nil"/>
              <w:bottom w:val="single" w:sz="4" w:space="0" w:color="auto"/>
              <w:right w:val="single" w:sz="4" w:space="0" w:color="auto"/>
            </w:tcBorders>
            <w:shd w:val="clear" w:color="auto" w:fill="auto"/>
            <w:noWrap/>
            <w:vAlign w:val="bottom"/>
            <w:hideMark/>
          </w:tcPr>
          <w:p w14:paraId="1D997C4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191,210,242</w:t>
            </w:r>
          </w:p>
        </w:tc>
        <w:tc>
          <w:tcPr>
            <w:tcW w:w="476" w:type="pct"/>
            <w:tcBorders>
              <w:top w:val="nil"/>
              <w:left w:val="nil"/>
              <w:bottom w:val="single" w:sz="4" w:space="0" w:color="auto"/>
              <w:right w:val="single" w:sz="4" w:space="0" w:color="auto"/>
            </w:tcBorders>
            <w:shd w:val="clear" w:color="auto" w:fill="auto"/>
            <w:noWrap/>
            <w:vAlign w:val="bottom"/>
            <w:hideMark/>
          </w:tcPr>
          <w:p w14:paraId="2441ED9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218,634,292</w:t>
            </w:r>
          </w:p>
        </w:tc>
        <w:tc>
          <w:tcPr>
            <w:tcW w:w="428" w:type="pct"/>
            <w:tcBorders>
              <w:top w:val="nil"/>
              <w:left w:val="nil"/>
              <w:bottom w:val="single" w:sz="4" w:space="0" w:color="auto"/>
              <w:right w:val="single" w:sz="4" w:space="0" w:color="auto"/>
            </w:tcBorders>
            <w:shd w:val="clear" w:color="auto" w:fill="auto"/>
            <w:noWrap/>
            <w:vAlign w:val="bottom"/>
            <w:hideMark/>
          </w:tcPr>
          <w:p w14:paraId="1044710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14%</w:t>
            </w:r>
          </w:p>
        </w:tc>
        <w:tc>
          <w:tcPr>
            <w:tcW w:w="436" w:type="pct"/>
            <w:tcBorders>
              <w:top w:val="nil"/>
              <w:left w:val="nil"/>
              <w:bottom w:val="single" w:sz="4" w:space="0" w:color="auto"/>
              <w:right w:val="single" w:sz="4" w:space="0" w:color="auto"/>
            </w:tcBorders>
            <w:shd w:val="clear" w:color="auto" w:fill="auto"/>
            <w:noWrap/>
            <w:vAlign w:val="bottom"/>
            <w:hideMark/>
          </w:tcPr>
          <w:p w14:paraId="2CB001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49,057,184</w:t>
            </w:r>
          </w:p>
        </w:tc>
        <w:tc>
          <w:tcPr>
            <w:tcW w:w="436" w:type="pct"/>
            <w:tcBorders>
              <w:top w:val="nil"/>
              <w:left w:val="nil"/>
              <w:bottom w:val="single" w:sz="4" w:space="0" w:color="auto"/>
              <w:right w:val="single" w:sz="4" w:space="0" w:color="auto"/>
            </w:tcBorders>
            <w:shd w:val="clear" w:color="auto" w:fill="auto"/>
            <w:noWrap/>
            <w:vAlign w:val="bottom"/>
            <w:hideMark/>
          </w:tcPr>
          <w:p w14:paraId="772B6A4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52,932,624</w:t>
            </w:r>
          </w:p>
        </w:tc>
        <w:tc>
          <w:tcPr>
            <w:tcW w:w="426" w:type="pct"/>
            <w:tcBorders>
              <w:top w:val="nil"/>
              <w:left w:val="nil"/>
              <w:bottom w:val="single" w:sz="4" w:space="0" w:color="auto"/>
              <w:right w:val="single" w:sz="4" w:space="0" w:color="auto"/>
            </w:tcBorders>
            <w:shd w:val="clear" w:color="auto" w:fill="auto"/>
            <w:noWrap/>
            <w:vAlign w:val="bottom"/>
            <w:hideMark/>
          </w:tcPr>
          <w:p w14:paraId="5798203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r>
      <w:tr w:rsidR="006A55AE" w:rsidRPr="00B613C3" w14:paraId="2D9D93B9"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6D5B46FB"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1BEF702" w14:textId="287C93D6" w:rsidR="00B613C3" w:rsidRPr="00E60DCD" w:rsidRDefault="00B613C3" w:rsidP="00B613C3">
            <w:pPr>
              <w:rPr>
                <w:rFonts w:eastAsia="Times New Roman" w:cstheme="minorHAnsi"/>
                <w:color w:val="000000"/>
              </w:rPr>
            </w:pPr>
            <w:r w:rsidRPr="00E60DCD">
              <w:rPr>
                <w:rFonts w:eastAsia="Times New Roman" w:cstheme="minorHAnsi"/>
                <w:color w:val="000000"/>
              </w:rPr>
              <w:t>Urban Cluster</w:t>
            </w:r>
          </w:p>
        </w:tc>
        <w:tc>
          <w:tcPr>
            <w:tcW w:w="396" w:type="pct"/>
            <w:tcBorders>
              <w:top w:val="nil"/>
              <w:left w:val="nil"/>
              <w:bottom w:val="single" w:sz="4" w:space="0" w:color="auto"/>
              <w:right w:val="single" w:sz="4" w:space="0" w:color="auto"/>
            </w:tcBorders>
            <w:shd w:val="clear" w:color="auto" w:fill="auto"/>
            <w:noWrap/>
            <w:vAlign w:val="bottom"/>
            <w:hideMark/>
          </w:tcPr>
          <w:p w14:paraId="7616E0D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724,745</w:t>
            </w:r>
          </w:p>
        </w:tc>
        <w:tc>
          <w:tcPr>
            <w:tcW w:w="396" w:type="pct"/>
            <w:tcBorders>
              <w:top w:val="nil"/>
              <w:left w:val="nil"/>
              <w:bottom w:val="single" w:sz="4" w:space="0" w:color="auto"/>
              <w:right w:val="single" w:sz="4" w:space="0" w:color="auto"/>
            </w:tcBorders>
            <w:shd w:val="clear" w:color="auto" w:fill="auto"/>
            <w:noWrap/>
            <w:vAlign w:val="bottom"/>
            <w:hideMark/>
          </w:tcPr>
          <w:p w14:paraId="66BB8A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796,454</w:t>
            </w:r>
          </w:p>
        </w:tc>
        <w:tc>
          <w:tcPr>
            <w:tcW w:w="428" w:type="pct"/>
            <w:tcBorders>
              <w:top w:val="nil"/>
              <w:left w:val="nil"/>
              <w:bottom w:val="single" w:sz="4" w:space="0" w:color="auto"/>
              <w:right w:val="single" w:sz="4" w:space="0" w:color="auto"/>
            </w:tcBorders>
            <w:shd w:val="clear" w:color="auto" w:fill="auto"/>
            <w:noWrap/>
            <w:vAlign w:val="bottom"/>
            <w:hideMark/>
          </w:tcPr>
          <w:p w14:paraId="43C291D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76" w:type="pct"/>
            <w:tcBorders>
              <w:top w:val="nil"/>
              <w:left w:val="nil"/>
              <w:bottom w:val="single" w:sz="4" w:space="0" w:color="auto"/>
              <w:right w:val="single" w:sz="4" w:space="0" w:color="auto"/>
            </w:tcBorders>
            <w:shd w:val="clear" w:color="auto" w:fill="auto"/>
            <w:noWrap/>
            <w:vAlign w:val="bottom"/>
            <w:hideMark/>
          </w:tcPr>
          <w:p w14:paraId="1A60C96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29,630,815</w:t>
            </w:r>
          </w:p>
        </w:tc>
        <w:tc>
          <w:tcPr>
            <w:tcW w:w="476" w:type="pct"/>
            <w:tcBorders>
              <w:top w:val="nil"/>
              <w:left w:val="nil"/>
              <w:bottom w:val="single" w:sz="4" w:space="0" w:color="auto"/>
              <w:right w:val="single" w:sz="4" w:space="0" w:color="auto"/>
            </w:tcBorders>
            <w:shd w:val="clear" w:color="auto" w:fill="auto"/>
            <w:noWrap/>
            <w:vAlign w:val="bottom"/>
            <w:hideMark/>
          </w:tcPr>
          <w:p w14:paraId="0E1B636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28,899,597</w:t>
            </w:r>
          </w:p>
        </w:tc>
        <w:tc>
          <w:tcPr>
            <w:tcW w:w="428" w:type="pct"/>
            <w:tcBorders>
              <w:top w:val="nil"/>
              <w:left w:val="nil"/>
              <w:bottom w:val="single" w:sz="4" w:space="0" w:color="auto"/>
              <w:right w:val="single" w:sz="4" w:space="0" w:color="auto"/>
            </w:tcBorders>
            <w:shd w:val="clear" w:color="auto" w:fill="auto"/>
            <w:noWrap/>
            <w:vAlign w:val="bottom"/>
            <w:hideMark/>
          </w:tcPr>
          <w:p w14:paraId="4BC0A72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w:t>
            </w:r>
          </w:p>
        </w:tc>
        <w:tc>
          <w:tcPr>
            <w:tcW w:w="436" w:type="pct"/>
            <w:tcBorders>
              <w:top w:val="nil"/>
              <w:left w:val="nil"/>
              <w:bottom w:val="single" w:sz="4" w:space="0" w:color="auto"/>
              <w:right w:val="single" w:sz="4" w:space="0" w:color="auto"/>
            </w:tcBorders>
            <w:shd w:val="clear" w:color="auto" w:fill="auto"/>
            <w:noWrap/>
            <w:vAlign w:val="bottom"/>
            <w:hideMark/>
          </w:tcPr>
          <w:p w14:paraId="38DA5DD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7,447,648</w:t>
            </w:r>
          </w:p>
        </w:tc>
        <w:tc>
          <w:tcPr>
            <w:tcW w:w="436" w:type="pct"/>
            <w:tcBorders>
              <w:top w:val="nil"/>
              <w:left w:val="nil"/>
              <w:bottom w:val="single" w:sz="4" w:space="0" w:color="auto"/>
              <w:right w:val="single" w:sz="4" w:space="0" w:color="auto"/>
            </w:tcBorders>
            <w:shd w:val="clear" w:color="auto" w:fill="auto"/>
            <w:noWrap/>
            <w:vAlign w:val="bottom"/>
            <w:hideMark/>
          </w:tcPr>
          <w:p w14:paraId="2C4FAC1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6,994,464</w:t>
            </w:r>
          </w:p>
        </w:tc>
        <w:tc>
          <w:tcPr>
            <w:tcW w:w="426" w:type="pct"/>
            <w:tcBorders>
              <w:top w:val="nil"/>
              <w:left w:val="nil"/>
              <w:bottom w:val="single" w:sz="4" w:space="0" w:color="auto"/>
              <w:right w:val="single" w:sz="4" w:space="0" w:color="auto"/>
            </w:tcBorders>
            <w:shd w:val="clear" w:color="auto" w:fill="auto"/>
            <w:noWrap/>
            <w:vAlign w:val="bottom"/>
            <w:hideMark/>
          </w:tcPr>
          <w:p w14:paraId="0788FE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w:t>
            </w:r>
          </w:p>
        </w:tc>
      </w:tr>
      <w:tr w:rsidR="006A55AE" w:rsidRPr="00B613C3" w14:paraId="173D3B38"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138F840"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198732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Rural</w:t>
            </w:r>
          </w:p>
        </w:tc>
        <w:tc>
          <w:tcPr>
            <w:tcW w:w="396" w:type="pct"/>
            <w:tcBorders>
              <w:top w:val="nil"/>
              <w:left w:val="nil"/>
              <w:bottom w:val="single" w:sz="4" w:space="0" w:color="auto"/>
              <w:right w:val="single" w:sz="4" w:space="0" w:color="auto"/>
            </w:tcBorders>
            <w:shd w:val="clear" w:color="auto" w:fill="auto"/>
            <w:noWrap/>
            <w:vAlign w:val="bottom"/>
            <w:hideMark/>
          </w:tcPr>
          <w:p w14:paraId="6085CEE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2,309,867</w:t>
            </w:r>
          </w:p>
        </w:tc>
        <w:tc>
          <w:tcPr>
            <w:tcW w:w="396" w:type="pct"/>
            <w:tcBorders>
              <w:top w:val="nil"/>
              <w:left w:val="nil"/>
              <w:bottom w:val="single" w:sz="4" w:space="0" w:color="auto"/>
              <w:right w:val="single" w:sz="4" w:space="0" w:color="auto"/>
            </w:tcBorders>
            <w:shd w:val="clear" w:color="auto" w:fill="auto"/>
            <w:noWrap/>
            <w:vAlign w:val="bottom"/>
            <w:hideMark/>
          </w:tcPr>
          <w:p w14:paraId="085FF8F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2,592,604</w:t>
            </w:r>
          </w:p>
        </w:tc>
        <w:tc>
          <w:tcPr>
            <w:tcW w:w="428" w:type="pct"/>
            <w:tcBorders>
              <w:top w:val="nil"/>
              <w:left w:val="nil"/>
              <w:bottom w:val="single" w:sz="4" w:space="0" w:color="auto"/>
              <w:right w:val="single" w:sz="4" w:space="0" w:color="auto"/>
            </w:tcBorders>
            <w:shd w:val="clear" w:color="auto" w:fill="auto"/>
            <w:noWrap/>
            <w:vAlign w:val="bottom"/>
            <w:hideMark/>
          </w:tcPr>
          <w:p w14:paraId="64DF15A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w:t>
            </w:r>
          </w:p>
        </w:tc>
        <w:tc>
          <w:tcPr>
            <w:tcW w:w="476" w:type="pct"/>
            <w:tcBorders>
              <w:top w:val="nil"/>
              <w:left w:val="nil"/>
              <w:bottom w:val="single" w:sz="4" w:space="0" w:color="auto"/>
              <w:right w:val="single" w:sz="4" w:space="0" w:color="auto"/>
            </w:tcBorders>
            <w:shd w:val="clear" w:color="auto" w:fill="auto"/>
            <w:noWrap/>
            <w:vAlign w:val="bottom"/>
            <w:hideMark/>
          </w:tcPr>
          <w:p w14:paraId="5D4DFC5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58,742,380</w:t>
            </w:r>
          </w:p>
        </w:tc>
        <w:tc>
          <w:tcPr>
            <w:tcW w:w="476" w:type="pct"/>
            <w:tcBorders>
              <w:top w:val="nil"/>
              <w:left w:val="nil"/>
              <w:bottom w:val="single" w:sz="4" w:space="0" w:color="auto"/>
              <w:right w:val="single" w:sz="4" w:space="0" w:color="auto"/>
            </w:tcBorders>
            <w:shd w:val="clear" w:color="auto" w:fill="auto"/>
            <w:noWrap/>
            <w:vAlign w:val="bottom"/>
            <w:hideMark/>
          </w:tcPr>
          <w:p w14:paraId="13D72F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59,141,117</w:t>
            </w:r>
          </w:p>
        </w:tc>
        <w:tc>
          <w:tcPr>
            <w:tcW w:w="428" w:type="pct"/>
            <w:tcBorders>
              <w:top w:val="nil"/>
              <w:left w:val="nil"/>
              <w:bottom w:val="single" w:sz="4" w:space="0" w:color="auto"/>
              <w:right w:val="single" w:sz="4" w:space="0" w:color="auto"/>
            </w:tcBorders>
            <w:shd w:val="clear" w:color="auto" w:fill="auto"/>
            <w:noWrap/>
            <w:vAlign w:val="bottom"/>
            <w:hideMark/>
          </w:tcPr>
          <w:p w14:paraId="414E2E3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w:t>
            </w:r>
          </w:p>
        </w:tc>
        <w:tc>
          <w:tcPr>
            <w:tcW w:w="436" w:type="pct"/>
            <w:tcBorders>
              <w:top w:val="nil"/>
              <w:left w:val="nil"/>
              <w:bottom w:val="single" w:sz="4" w:space="0" w:color="auto"/>
              <w:right w:val="single" w:sz="4" w:space="0" w:color="auto"/>
            </w:tcBorders>
            <w:shd w:val="clear" w:color="auto" w:fill="auto"/>
            <w:noWrap/>
            <w:vAlign w:val="bottom"/>
            <w:hideMark/>
          </w:tcPr>
          <w:p w14:paraId="6F509AD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15,302,496</w:t>
            </w:r>
          </w:p>
        </w:tc>
        <w:tc>
          <w:tcPr>
            <w:tcW w:w="436" w:type="pct"/>
            <w:tcBorders>
              <w:top w:val="nil"/>
              <w:left w:val="nil"/>
              <w:bottom w:val="single" w:sz="4" w:space="0" w:color="auto"/>
              <w:right w:val="single" w:sz="4" w:space="0" w:color="auto"/>
            </w:tcBorders>
            <w:shd w:val="clear" w:color="auto" w:fill="auto"/>
            <w:noWrap/>
            <w:vAlign w:val="bottom"/>
            <w:hideMark/>
          </w:tcPr>
          <w:p w14:paraId="0250612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13,763,183</w:t>
            </w:r>
          </w:p>
        </w:tc>
        <w:tc>
          <w:tcPr>
            <w:tcW w:w="426" w:type="pct"/>
            <w:tcBorders>
              <w:top w:val="nil"/>
              <w:left w:val="nil"/>
              <w:bottom w:val="single" w:sz="4" w:space="0" w:color="auto"/>
              <w:right w:val="single" w:sz="4" w:space="0" w:color="auto"/>
            </w:tcBorders>
            <w:shd w:val="clear" w:color="auto" w:fill="auto"/>
            <w:noWrap/>
            <w:vAlign w:val="bottom"/>
            <w:hideMark/>
          </w:tcPr>
          <w:p w14:paraId="60AAE5C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r>
      <w:tr w:rsidR="006A55AE" w:rsidRPr="00B613C3" w14:paraId="7ABC782C"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23158180" w14:textId="5F7DAC9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Median Household Income</w:t>
            </w:r>
          </w:p>
        </w:tc>
        <w:tc>
          <w:tcPr>
            <w:tcW w:w="696" w:type="pct"/>
            <w:tcBorders>
              <w:top w:val="nil"/>
              <w:left w:val="nil"/>
              <w:bottom w:val="single" w:sz="4" w:space="0" w:color="auto"/>
              <w:right w:val="single" w:sz="4" w:space="0" w:color="auto"/>
            </w:tcBorders>
            <w:shd w:val="clear" w:color="auto" w:fill="auto"/>
            <w:noWrap/>
            <w:vAlign w:val="bottom"/>
            <w:hideMark/>
          </w:tcPr>
          <w:p w14:paraId="0B15E126" w14:textId="1403576F" w:rsidR="00B613C3" w:rsidRPr="00E60DCD" w:rsidRDefault="00B613C3" w:rsidP="00B613C3">
            <w:pPr>
              <w:rPr>
                <w:rFonts w:eastAsia="Times New Roman" w:cstheme="minorHAnsi"/>
                <w:color w:val="000000"/>
              </w:rPr>
            </w:pPr>
            <w:r w:rsidRPr="00E60DCD">
              <w:rPr>
                <w:rFonts w:eastAsia="Times New Roman" w:cstheme="minorHAnsi"/>
                <w:color w:val="000000"/>
              </w:rPr>
              <w:t>Not Defined</w:t>
            </w:r>
          </w:p>
        </w:tc>
        <w:tc>
          <w:tcPr>
            <w:tcW w:w="396" w:type="pct"/>
            <w:tcBorders>
              <w:top w:val="nil"/>
              <w:left w:val="nil"/>
              <w:bottom w:val="single" w:sz="4" w:space="0" w:color="auto"/>
              <w:right w:val="single" w:sz="4" w:space="0" w:color="auto"/>
            </w:tcBorders>
            <w:shd w:val="clear" w:color="auto" w:fill="auto"/>
            <w:noWrap/>
            <w:vAlign w:val="bottom"/>
            <w:hideMark/>
          </w:tcPr>
          <w:p w14:paraId="616B138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396" w:type="pct"/>
            <w:tcBorders>
              <w:top w:val="nil"/>
              <w:left w:val="nil"/>
              <w:bottom w:val="single" w:sz="4" w:space="0" w:color="auto"/>
              <w:right w:val="single" w:sz="4" w:space="0" w:color="auto"/>
            </w:tcBorders>
            <w:shd w:val="clear" w:color="auto" w:fill="auto"/>
            <w:noWrap/>
            <w:vAlign w:val="bottom"/>
            <w:hideMark/>
          </w:tcPr>
          <w:p w14:paraId="63D8AF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2,686</w:t>
            </w:r>
          </w:p>
        </w:tc>
        <w:tc>
          <w:tcPr>
            <w:tcW w:w="428" w:type="pct"/>
            <w:tcBorders>
              <w:top w:val="nil"/>
              <w:left w:val="nil"/>
              <w:bottom w:val="single" w:sz="4" w:space="0" w:color="auto"/>
              <w:right w:val="single" w:sz="4" w:space="0" w:color="auto"/>
            </w:tcBorders>
            <w:shd w:val="clear" w:color="auto" w:fill="auto"/>
            <w:noWrap/>
            <w:vAlign w:val="bottom"/>
            <w:hideMark/>
          </w:tcPr>
          <w:p w14:paraId="0ACA22F3" w14:textId="6556F49A" w:rsidR="00B613C3" w:rsidRPr="00B613C3" w:rsidRDefault="00B613C3" w:rsidP="006A55AE">
            <w:pPr>
              <w:jc w:val="center"/>
              <w:rPr>
                <w:rFonts w:eastAsia="Times New Roman" w:cstheme="minorHAnsi"/>
                <w:color w:val="000000"/>
              </w:rPr>
            </w:pPr>
          </w:p>
        </w:tc>
        <w:tc>
          <w:tcPr>
            <w:tcW w:w="476" w:type="pct"/>
            <w:tcBorders>
              <w:top w:val="nil"/>
              <w:left w:val="nil"/>
              <w:bottom w:val="single" w:sz="4" w:space="0" w:color="auto"/>
              <w:right w:val="single" w:sz="4" w:space="0" w:color="auto"/>
            </w:tcBorders>
            <w:shd w:val="clear" w:color="auto" w:fill="auto"/>
            <w:noWrap/>
            <w:vAlign w:val="bottom"/>
            <w:hideMark/>
          </w:tcPr>
          <w:p w14:paraId="07AB6F1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76" w:type="pct"/>
            <w:tcBorders>
              <w:top w:val="nil"/>
              <w:left w:val="nil"/>
              <w:bottom w:val="single" w:sz="4" w:space="0" w:color="auto"/>
              <w:right w:val="single" w:sz="4" w:space="0" w:color="auto"/>
            </w:tcBorders>
            <w:shd w:val="clear" w:color="auto" w:fill="auto"/>
            <w:noWrap/>
            <w:vAlign w:val="bottom"/>
            <w:hideMark/>
          </w:tcPr>
          <w:p w14:paraId="56D087C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1,022,300</w:t>
            </w:r>
          </w:p>
        </w:tc>
        <w:tc>
          <w:tcPr>
            <w:tcW w:w="428" w:type="pct"/>
            <w:tcBorders>
              <w:top w:val="nil"/>
              <w:left w:val="nil"/>
              <w:bottom w:val="single" w:sz="4" w:space="0" w:color="auto"/>
              <w:right w:val="single" w:sz="4" w:space="0" w:color="auto"/>
            </w:tcBorders>
            <w:shd w:val="clear" w:color="auto" w:fill="auto"/>
            <w:noWrap/>
            <w:vAlign w:val="bottom"/>
            <w:hideMark/>
          </w:tcPr>
          <w:p w14:paraId="18F61518" w14:textId="53F2ABEF" w:rsidR="00B613C3" w:rsidRPr="00B613C3" w:rsidRDefault="00B613C3" w:rsidP="006A55AE">
            <w:pPr>
              <w:jc w:val="center"/>
              <w:rPr>
                <w:rFonts w:eastAsia="Times New Roman" w:cstheme="minorHAnsi"/>
                <w:color w:val="000000"/>
              </w:rPr>
            </w:pPr>
          </w:p>
        </w:tc>
        <w:tc>
          <w:tcPr>
            <w:tcW w:w="436" w:type="pct"/>
            <w:tcBorders>
              <w:top w:val="nil"/>
              <w:left w:val="nil"/>
              <w:bottom w:val="single" w:sz="4" w:space="0" w:color="auto"/>
              <w:right w:val="single" w:sz="4" w:space="0" w:color="auto"/>
            </w:tcBorders>
            <w:shd w:val="clear" w:color="auto" w:fill="auto"/>
            <w:noWrap/>
            <w:vAlign w:val="bottom"/>
            <w:hideMark/>
          </w:tcPr>
          <w:p w14:paraId="339402D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36" w:type="pct"/>
            <w:tcBorders>
              <w:top w:val="nil"/>
              <w:left w:val="nil"/>
              <w:bottom w:val="single" w:sz="4" w:space="0" w:color="auto"/>
              <w:right w:val="single" w:sz="4" w:space="0" w:color="auto"/>
            </w:tcBorders>
            <w:shd w:val="clear" w:color="auto" w:fill="auto"/>
            <w:noWrap/>
            <w:vAlign w:val="bottom"/>
            <w:hideMark/>
          </w:tcPr>
          <w:p w14:paraId="503E23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13,555</w:t>
            </w:r>
          </w:p>
        </w:tc>
        <w:tc>
          <w:tcPr>
            <w:tcW w:w="426" w:type="pct"/>
            <w:tcBorders>
              <w:top w:val="nil"/>
              <w:left w:val="nil"/>
              <w:bottom w:val="single" w:sz="4" w:space="0" w:color="auto"/>
              <w:right w:val="single" w:sz="4" w:space="0" w:color="auto"/>
            </w:tcBorders>
            <w:shd w:val="clear" w:color="auto" w:fill="auto"/>
            <w:noWrap/>
            <w:vAlign w:val="bottom"/>
            <w:hideMark/>
          </w:tcPr>
          <w:p w14:paraId="7AE33D88" w14:textId="1FBAD08F" w:rsidR="00B613C3" w:rsidRPr="00B613C3" w:rsidRDefault="00B613C3" w:rsidP="006A55AE">
            <w:pPr>
              <w:jc w:val="center"/>
              <w:rPr>
                <w:rFonts w:eastAsia="Times New Roman" w:cstheme="minorHAnsi"/>
                <w:color w:val="000000"/>
              </w:rPr>
            </w:pPr>
          </w:p>
        </w:tc>
      </w:tr>
      <w:tr w:rsidR="006A55AE" w:rsidRPr="00B613C3" w14:paraId="34895A6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2B5B343C"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4EFAC33"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&lt;$20,000</w:t>
            </w:r>
          </w:p>
        </w:tc>
        <w:tc>
          <w:tcPr>
            <w:tcW w:w="396" w:type="pct"/>
            <w:tcBorders>
              <w:top w:val="nil"/>
              <w:left w:val="nil"/>
              <w:bottom w:val="single" w:sz="4" w:space="0" w:color="auto"/>
              <w:right w:val="single" w:sz="4" w:space="0" w:color="auto"/>
            </w:tcBorders>
            <w:shd w:val="clear" w:color="auto" w:fill="auto"/>
            <w:noWrap/>
            <w:vAlign w:val="bottom"/>
            <w:hideMark/>
          </w:tcPr>
          <w:p w14:paraId="59AE088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251,146</w:t>
            </w:r>
          </w:p>
        </w:tc>
        <w:tc>
          <w:tcPr>
            <w:tcW w:w="396" w:type="pct"/>
            <w:tcBorders>
              <w:top w:val="nil"/>
              <w:left w:val="nil"/>
              <w:bottom w:val="single" w:sz="4" w:space="0" w:color="auto"/>
              <w:right w:val="single" w:sz="4" w:space="0" w:color="auto"/>
            </w:tcBorders>
            <w:shd w:val="clear" w:color="auto" w:fill="auto"/>
            <w:noWrap/>
            <w:vAlign w:val="bottom"/>
            <w:hideMark/>
          </w:tcPr>
          <w:p w14:paraId="048A016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201,663</w:t>
            </w:r>
          </w:p>
        </w:tc>
        <w:tc>
          <w:tcPr>
            <w:tcW w:w="428" w:type="pct"/>
            <w:tcBorders>
              <w:top w:val="nil"/>
              <w:left w:val="nil"/>
              <w:bottom w:val="single" w:sz="4" w:space="0" w:color="auto"/>
              <w:right w:val="single" w:sz="4" w:space="0" w:color="auto"/>
            </w:tcBorders>
            <w:shd w:val="clear" w:color="auto" w:fill="auto"/>
            <w:noWrap/>
            <w:vAlign w:val="bottom"/>
            <w:hideMark/>
          </w:tcPr>
          <w:p w14:paraId="3D63B40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w:t>
            </w:r>
          </w:p>
        </w:tc>
        <w:tc>
          <w:tcPr>
            <w:tcW w:w="476" w:type="pct"/>
            <w:tcBorders>
              <w:top w:val="nil"/>
              <w:left w:val="nil"/>
              <w:bottom w:val="single" w:sz="4" w:space="0" w:color="auto"/>
              <w:right w:val="single" w:sz="4" w:space="0" w:color="auto"/>
            </w:tcBorders>
            <w:shd w:val="clear" w:color="auto" w:fill="auto"/>
            <w:noWrap/>
            <w:vAlign w:val="bottom"/>
            <w:hideMark/>
          </w:tcPr>
          <w:p w14:paraId="34FDC5C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15,003,590</w:t>
            </w:r>
          </w:p>
        </w:tc>
        <w:tc>
          <w:tcPr>
            <w:tcW w:w="476" w:type="pct"/>
            <w:tcBorders>
              <w:top w:val="nil"/>
              <w:left w:val="nil"/>
              <w:bottom w:val="single" w:sz="4" w:space="0" w:color="auto"/>
              <w:right w:val="single" w:sz="4" w:space="0" w:color="auto"/>
            </w:tcBorders>
            <w:shd w:val="clear" w:color="auto" w:fill="auto"/>
            <w:noWrap/>
            <w:vAlign w:val="bottom"/>
            <w:hideMark/>
          </w:tcPr>
          <w:p w14:paraId="0698882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11,021,823</w:t>
            </w:r>
          </w:p>
        </w:tc>
        <w:tc>
          <w:tcPr>
            <w:tcW w:w="428" w:type="pct"/>
            <w:tcBorders>
              <w:top w:val="nil"/>
              <w:left w:val="nil"/>
              <w:bottom w:val="single" w:sz="4" w:space="0" w:color="auto"/>
              <w:right w:val="single" w:sz="4" w:space="0" w:color="auto"/>
            </w:tcBorders>
            <w:shd w:val="clear" w:color="auto" w:fill="auto"/>
            <w:noWrap/>
            <w:vAlign w:val="bottom"/>
            <w:hideMark/>
          </w:tcPr>
          <w:p w14:paraId="24AD2B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c>
          <w:tcPr>
            <w:tcW w:w="436" w:type="pct"/>
            <w:tcBorders>
              <w:top w:val="nil"/>
              <w:left w:val="nil"/>
              <w:bottom w:val="single" w:sz="4" w:space="0" w:color="auto"/>
              <w:right w:val="single" w:sz="4" w:space="0" w:color="auto"/>
            </w:tcBorders>
            <w:shd w:val="clear" w:color="auto" w:fill="auto"/>
            <w:noWrap/>
            <w:vAlign w:val="bottom"/>
            <w:hideMark/>
          </w:tcPr>
          <w:p w14:paraId="2264B89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4,055,407</w:t>
            </w:r>
          </w:p>
        </w:tc>
        <w:tc>
          <w:tcPr>
            <w:tcW w:w="436" w:type="pct"/>
            <w:tcBorders>
              <w:top w:val="nil"/>
              <w:left w:val="nil"/>
              <w:bottom w:val="single" w:sz="4" w:space="0" w:color="auto"/>
              <w:right w:val="single" w:sz="4" w:space="0" w:color="auto"/>
            </w:tcBorders>
            <w:shd w:val="clear" w:color="auto" w:fill="auto"/>
            <w:noWrap/>
            <w:vAlign w:val="bottom"/>
            <w:hideMark/>
          </w:tcPr>
          <w:p w14:paraId="0D0B639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2,614,804</w:t>
            </w:r>
          </w:p>
        </w:tc>
        <w:tc>
          <w:tcPr>
            <w:tcW w:w="426" w:type="pct"/>
            <w:tcBorders>
              <w:top w:val="nil"/>
              <w:left w:val="nil"/>
              <w:bottom w:val="single" w:sz="4" w:space="0" w:color="auto"/>
              <w:right w:val="single" w:sz="4" w:space="0" w:color="auto"/>
            </w:tcBorders>
            <w:shd w:val="clear" w:color="auto" w:fill="auto"/>
            <w:noWrap/>
            <w:vAlign w:val="bottom"/>
            <w:hideMark/>
          </w:tcPr>
          <w:p w14:paraId="08F8315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-36%</w:t>
            </w:r>
          </w:p>
        </w:tc>
      </w:tr>
      <w:tr w:rsidR="006A55AE" w:rsidRPr="00B613C3" w14:paraId="668D5A5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45EEB8E"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187F65E7"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$20,000 to &lt;$35,000</w:t>
            </w:r>
          </w:p>
        </w:tc>
        <w:tc>
          <w:tcPr>
            <w:tcW w:w="396" w:type="pct"/>
            <w:tcBorders>
              <w:top w:val="nil"/>
              <w:left w:val="nil"/>
              <w:bottom w:val="single" w:sz="4" w:space="0" w:color="auto"/>
              <w:right w:val="single" w:sz="4" w:space="0" w:color="auto"/>
            </w:tcBorders>
            <w:shd w:val="clear" w:color="auto" w:fill="auto"/>
            <w:noWrap/>
            <w:vAlign w:val="bottom"/>
            <w:hideMark/>
          </w:tcPr>
          <w:p w14:paraId="6A75150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1,876,701</w:t>
            </w:r>
          </w:p>
        </w:tc>
        <w:tc>
          <w:tcPr>
            <w:tcW w:w="396" w:type="pct"/>
            <w:tcBorders>
              <w:top w:val="nil"/>
              <w:left w:val="nil"/>
              <w:bottom w:val="single" w:sz="4" w:space="0" w:color="auto"/>
              <w:right w:val="single" w:sz="4" w:space="0" w:color="auto"/>
            </w:tcBorders>
            <w:shd w:val="clear" w:color="auto" w:fill="auto"/>
            <w:noWrap/>
            <w:vAlign w:val="bottom"/>
            <w:hideMark/>
          </w:tcPr>
          <w:p w14:paraId="28B56E2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1,185,560</w:t>
            </w:r>
          </w:p>
        </w:tc>
        <w:tc>
          <w:tcPr>
            <w:tcW w:w="428" w:type="pct"/>
            <w:tcBorders>
              <w:top w:val="nil"/>
              <w:left w:val="nil"/>
              <w:bottom w:val="single" w:sz="4" w:space="0" w:color="auto"/>
              <w:right w:val="single" w:sz="4" w:space="0" w:color="auto"/>
            </w:tcBorders>
            <w:shd w:val="clear" w:color="auto" w:fill="auto"/>
            <w:noWrap/>
            <w:vAlign w:val="bottom"/>
            <w:hideMark/>
          </w:tcPr>
          <w:p w14:paraId="534FFDF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76" w:type="pct"/>
            <w:tcBorders>
              <w:top w:val="nil"/>
              <w:left w:val="nil"/>
              <w:bottom w:val="single" w:sz="4" w:space="0" w:color="auto"/>
              <w:right w:val="single" w:sz="4" w:space="0" w:color="auto"/>
            </w:tcBorders>
            <w:shd w:val="clear" w:color="auto" w:fill="auto"/>
            <w:noWrap/>
            <w:vAlign w:val="bottom"/>
            <w:hideMark/>
          </w:tcPr>
          <w:p w14:paraId="3ECE321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79,329,475</w:t>
            </w:r>
          </w:p>
        </w:tc>
        <w:tc>
          <w:tcPr>
            <w:tcW w:w="476" w:type="pct"/>
            <w:tcBorders>
              <w:top w:val="nil"/>
              <w:left w:val="nil"/>
              <w:bottom w:val="single" w:sz="4" w:space="0" w:color="auto"/>
              <w:right w:val="single" w:sz="4" w:space="0" w:color="auto"/>
            </w:tcBorders>
            <w:shd w:val="clear" w:color="auto" w:fill="auto"/>
            <w:noWrap/>
            <w:vAlign w:val="bottom"/>
            <w:hideMark/>
          </w:tcPr>
          <w:p w14:paraId="0763610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51,269,356</w:t>
            </w:r>
          </w:p>
        </w:tc>
        <w:tc>
          <w:tcPr>
            <w:tcW w:w="428" w:type="pct"/>
            <w:tcBorders>
              <w:top w:val="nil"/>
              <w:left w:val="nil"/>
              <w:bottom w:val="single" w:sz="4" w:space="0" w:color="auto"/>
              <w:right w:val="single" w:sz="4" w:space="0" w:color="auto"/>
            </w:tcBorders>
            <w:shd w:val="clear" w:color="auto" w:fill="auto"/>
            <w:noWrap/>
            <w:vAlign w:val="bottom"/>
            <w:hideMark/>
          </w:tcPr>
          <w:p w14:paraId="0A8E6C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-35%</w:t>
            </w:r>
          </w:p>
        </w:tc>
        <w:tc>
          <w:tcPr>
            <w:tcW w:w="436" w:type="pct"/>
            <w:tcBorders>
              <w:top w:val="nil"/>
              <w:left w:val="nil"/>
              <w:bottom w:val="single" w:sz="4" w:space="0" w:color="auto"/>
              <w:right w:val="single" w:sz="4" w:space="0" w:color="auto"/>
            </w:tcBorders>
            <w:shd w:val="clear" w:color="auto" w:fill="auto"/>
            <w:noWrap/>
            <w:vAlign w:val="bottom"/>
            <w:hideMark/>
          </w:tcPr>
          <w:p w14:paraId="14DA3A9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20,694,588</w:t>
            </w:r>
          </w:p>
        </w:tc>
        <w:tc>
          <w:tcPr>
            <w:tcW w:w="436" w:type="pct"/>
            <w:tcBorders>
              <w:top w:val="nil"/>
              <w:left w:val="nil"/>
              <w:bottom w:val="single" w:sz="4" w:space="0" w:color="auto"/>
              <w:right w:val="single" w:sz="4" w:space="0" w:color="auto"/>
            </w:tcBorders>
            <w:shd w:val="clear" w:color="auto" w:fill="auto"/>
            <w:noWrap/>
            <w:vAlign w:val="bottom"/>
            <w:hideMark/>
          </w:tcPr>
          <w:p w14:paraId="1305BC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12,770,843</w:t>
            </w:r>
          </w:p>
        </w:tc>
        <w:tc>
          <w:tcPr>
            <w:tcW w:w="426" w:type="pct"/>
            <w:tcBorders>
              <w:top w:val="nil"/>
              <w:left w:val="nil"/>
              <w:bottom w:val="single" w:sz="4" w:space="0" w:color="auto"/>
              <w:right w:val="single" w:sz="4" w:space="0" w:color="auto"/>
            </w:tcBorders>
            <w:shd w:val="clear" w:color="auto" w:fill="auto"/>
            <w:noWrap/>
            <w:vAlign w:val="bottom"/>
            <w:hideMark/>
          </w:tcPr>
          <w:p w14:paraId="5E1F019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-38%</w:t>
            </w:r>
          </w:p>
        </w:tc>
      </w:tr>
      <w:tr w:rsidR="006A55AE" w:rsidRPr="00B613C3" w14:paraId="6D5E102A"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57D0B7C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7D27B2F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$35,000 to &lt;$50,000</w:t>
            </w:r>
          </w:p>
        </w:tc>
        <w:tc>
          <w:tcPr>
            <w:tcW w:w="396" w:type="pct"/>
            <w:tcBorders>
              <w:top w:val="nil"/>
              <w:left w:val="nil"/>
              <w:bottom w:val="single" w:sz="4" w:space="0" w:color="auto"/>
              <w:right w:val="single" w:sz="4" w:space="0" w:color="auto"/>
            </w:tcBorders>
            <w:shd w:val="clear" w:color="auto" w:fill="auto"/>
            <w:noWrap/>
            <w:vAlign w:val="bottom"/>
            <w:hideMark/>
          </w:tcPr>
          <w:p w14:paraId="7708E3B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1,829,414</w:t>
            </w:r>
          </w:p>
        </w:tc>
        <w:tc>
          <w:tcPr>
            <w:tcW w:w="396" w:type="pct"/>
            <w:tcBorders>
              <w:top w:val="nil"/>
              <w:left w:val="nil"/>
              <w:bottom w:val="single" w:sz="4" w:space="0" w:color="auto"/>
              <w:right w:val="single" w:sz="4" w:space="0" w:color="auto"/>
            </w:tcBorders>
            <w:shd w:val="clear" w:color="auto" w:fill="auto"/>
            <w:noWrap/>
            <w:vAlign w:val="bottom"/>
            <w:hideMark/>
          </w:tcPr>
          <w:p w14:paraId="2B1438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1,978,146</w:t>
            </w:r>
          </w:p>
        </w:tc>
        <w:tc>
          <w:tcPr>
            <w:tcW w:w="428" w:type="pct"/>
            <w:tcBorders>
              <w:top w:val="nil"/>
              <w:left w:val="nil"/>
              <w:bottom w:val="single" w:sz="4" w:space="0" w:color="auto"/>
              <w:right w:val="single" w:sz="4" w:space="0" w:color="auto"/>
            </w:tcBorders>
            <w:shd w:val="clear" w:color="auto" w:fill="auto"/>
            <w:noWrap/>
            <w:vAlign w:val="bottom"/>
            <w:hideMark/>
          </w:tcPr>
          <w:p w14:paraId="41CA29B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c>
          <w:tcPr>
            <w:tcW w:w="476" w:type="pct"/>
            <w:tcBorders>
              <w:top w:val="nil"/>
              <w:left w:val="nil"/>
              <w:bottom w:val="single" w:sz="4" w:space="0" w:color="auto"/>
              <w:right w:val="single" w:sz="4" w:space="0" w:color="auto"/>
            </w:tcBorders>
            <w:shd w:val="clear" w:color="auto" w:fill="auto"/>
            <w:noWrap/>
            <w:vAlign w:val="bottom"/>
            <w:hideMark/>
          </w:tcPr>
          <w:p w14:paraId="03AEA5E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88,439,385</w:t>
            </w:r>
          </w:p>
        </w:tc>
        <w:tc>
          <w:tcPr>
            <w:tcW w:w="476" w:type="pct"/>
            <w:tcBorders>
              <w:top w:val="nil"/>
              <w:left w:val="nil"/>
              <w:bottom w:val="single" w:sz="4" w:space="0" w:color="auto"/>
              <w:right w:val="single" w:sz="4" w:space="0" w:color="auto"/>
            </w:tcBorders>
            <w:shd w:val="clear" w:color="auto" w:fill="auto"/>
            <w:noWrap/>
            <w:vAlign w:val="bottom"/>
            <w:hideMark/>
          </w:tcPr>
          <w:p w14:paraId="5E1E40C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78,430,814</w:t>
            </w:r>
          </w:p>
        </w:tc>
        <w:tc>
          <w:tcPr>
            <w:tcW w:w="428" w:type="pct"/>
            <w:tcBorders>
              <w:top w:val="nil"/>
              <w:left w:val="nil"/>
              <w:bottom w:val="single" w:sz="4" w:space="0" w:color="auto"/>
              <w:right w:val="single" w:sz="4" w:space="0" w:color="auto"/>
            </w:tcBorders>
            <w:shd w:val="clear" w:color="auto" w:fill="auto"/>
            <w:noWrap/>
            <w:vAlign w:val="bottom"/>
            <w:hideMark/>
          </w:tcPr>
          <w:p w14:paraId="49A86AF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w:t>
            </w:r>
          </w:p>
        </w:tc>
        <w:tc>
          <w:tcPr>
            <w:tcW w:w="436" w:type="pct"/>
            <w:tcBorders>
              <w:top w:val="nil"/>
              <w:left w:val="nil"/>
              <w:bottom w:val="single" w:sz="4" w:space="0" w:color="auto"/>
              <w:right w:val="single" w:sz="4" w:space="0" w:color="auto"/>
            </w:tcBorders>
            <w:shd w:val="clear" w:color="auto" w:fill="auto"/>
            <w:noWrap/>
            <w:vAlign w:val="bottom"/>
            <w:hideMark/>
          </w:tcPr>
          <w:p w14:paraId="5D1D2B1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21,974,042</w:t>
            </w:r>
          </w:p>
        </w:tc>
        <w:tc>
          <w:tcPr>
            <w:tcW w:w="436" w:type="pct"/>
            <w:tcBorders>
              <w:top w:val="nil"/>
              <w:left w:val="nil"/>
              <w:bottom w:val="single" w:sz="4" w:space="0" w:color="auto"/>
              <w:right w:val="single" w:sz="4" w:space="0" w:color="auto"/>
            </w:tcBorders>
            <w:shd w:val="clear" w:color="auto" w:fill="auto"/>
            <w:noWrap/>
            <w:vAlign w:val="bottom"/>
            <w:hideMark/>
          </w:tcPr>
          <w:p w14:paraId="430A56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18,573,954</w:t>
            </w:r>
          </w:p>
        </w:tc>
        <w:tc>
          <w:tcPr>
            <w:tcW w:w="426" w:type="pct"/>
            <w:tcBorders>
              <w:top w:val="nil"/>
              <w:left w:val="nil"/>
              <w:bottom w:val="single" w:sz="4" w:space="0" w:color="auto"/>
              <w:right w:val="single" w:sz="4" w:space="0" w:color="auto"/>
            </w:tcBorders>
            <w:shd w:val="clear" w:color="auto" w:fill="auto"/>
            <w:noWrap/>
            <w:vAlign w:val="bottom"/>
            <w:hideMark/>
          </w:tcPr>
          <w:p w14:paraId="7EA3CF8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w:t>
            </w:r>
          </w:p>
        </w:tc>
      </w:tr>
      <w:tr w:rsidR="006A55AE" w:rsidRPr="00B613C3" w14:paraId="0266969C"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4C9F0116"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0AF97D24"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$50,000 to &lt;$75,000</w:t>
            </w:r>
          </w:p>
        </w:tc>
        <w:tc>
          <w:tcPr>
            <w:tcW w:w="396" w:type="pct"/>
            <w:tcBorders>
              <w:top w:val="nil"/>
              <w:left w:val="nil"/>
              <w:bottom w:val="single" w:sz="4" w:space="0" w:color="auto"/>
              <w:right w:val="single" w:sz="4" w:space="0" w:color="auto"/>
            </w:tcBorders>
            <w:shd w:val="clear" w:color="auto" w:fill="auto"/>
            <w:noWrap/>
            <w:vAlign w:val="bottom"/>
            <w:hideMark/>
          </w:tcPr>
          <w:p w14:paraId="204280E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984,837</w:t>
            </w:r>
          </w:p>
        </w:tc>
        <w:tc>
          <w:tcPr>
            <w:tcW w:w="396" w:type="pct"/>
            <w:tcBorders>
              <w:top w:val="nil"/>
              <w:left w:val="nil"/>
              <w:bottom w:val="single" w:sz="4" w:space="0" w:color="auto"/>
              <w:right w:val="single" w:sz="4" w:space="0" w:color="auto"/>
            </w:tcBorders>
            <w:shd w:val="clear" w:color="auto" w:fill="auto"/>
            <w:noWrap/>
            <w:vAlign w:val="bottom"/>
            <w:hideMark/>
          </w:tcPr>
          <w:p w14:paraId="3257176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1,860,065</w:t>
            </w:r>
          </w:p>
        </w:tc>
        <w:tc>
          <w:tcPr>
            <w:tcW w:w="428" w:type="pct"/>
            <w:tcBorders>
              <w:top w:val="nil"/>
              <w:left w:val="nil"/>
              <w:bottom w:val="single" w:sz="4" w:space="0" w:color="auto"/>
              <w:right w:val="single" w:sz="4" w:space="0" w:color="auto"/>
            </w:tcBorders>
            <w:shd w:val="clear" w:color="auto" w:fill="auto"/>
            <w:noWrap/>
            <w:vAlign w:val="bottom"/>
            <w:hideMark/>
          </w:tcPr>
          <w:p w14:paraId="522A62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89%</w:t>
            </w:r>
          </w:p>
        </w:tc>
        <w:tc>
          <w:tcPr>
            <w:tcW w:w="476" w:type="pct"/>
            <w:tcBorders>
              <w:top w:val="nil"/>
              <w:left w:val="nil"/>
              <w:bottom w:val="single" w:sz="4" w:space="0" w:color="auto"/>
              <w:right w:val="single" w:sz="4" w:space="0" w:color="auto"/>
            </w:tcBorders>
            <w:shd w:val="clear" w:color="auto" w:fill="auto"/>
            <w:noWrap/>
            <w:vAlign w:val="bottom"/>
            <w:hideMark/>
          </w:tcPr>
          <w:p w14:paraId="3F0BE18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68,510,768</w:t>
            </w:r>
          </w:p>
        </w:tc>
        <w:tc>
          <w:tcPr>
            <w:tcW w:w="476" w:type="pct"/>
            <w:tcBorders>
              <w:top w:val="nil"/>
              <w:left w:val="nil"/>
              <w:bottom w:val="single" w:sz="4" w:space="0" w:color="auto"/>
              <w:right w:val="single" w:sz="4" w:space="0" w:color="auto"/>
            </w:tcBorders>
            <w:shd w:val="clear" w:color="auto" w:fill="auto"/>
            <w:noWrap/>
            <w:vAlign w:val="bottom"/>
            <w:hideMark/>
          </w:tcPr>
          <w:p w14:paraId="45D8A3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93,716,911</w:t>
            </w:r>
          </w:p>
        </w:tc>
        <w:tc>
          <w:tcPr>
            <w:tcW w:w="428" w:type="pct"/>
            <w:tcBorders>
              <w:top w:val="nil"/>
              <w:left w:val="nil"/>
              <w:bottom w:val="single" w:sz="4" w:space="0" w:color="auto"/>
              <w:right w:val="single" w:sz="4" w:space="0" w:color="auto"/>
            </w:tcBorders>
            <w:shd w:val="clear" w:color="auto" w:fill="auto"/>
            <w:noWrap/>
            <w:vAlign w:val="bottom"/>
            <w:hideMark/>
          </w:tcPr>
          <w:p w14:paraId="22FDD34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36" w:type="pct"/>
            <w:tcBorders>
              <w:top w:val="nil"/>
              <w:left w:val="nil"/>
              <w:bottom w:val="single" w:sz="4" w:space="0" w:color="auto"/>
              <w:right w:val="single" w:sz="4" w:space="0" w:color="auto"/>
            </w:tcBorders>
            <w:shd w:val="clear" w:color="auto" w:fill="auto"/>
            <w:noWrap/>
            <w:vAlign w:val="bottom"/>
            <w:hideMark/>
          </w:tcPr>
          <w:p w14:paraId="7EA04D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17,350,990</w:t>
            </w:r>
          </w:p>
        </w:tc>
        <w:tc>
          <w:tcPr>
            <w:tcW w:w="436" w:type="pct"/>
            <w:tcBorders>
              <w:top w:val="nil"/>
              <w:left w:val="nil"/>
              <w:bottom w:val="single" w:sz="4" w:space="0" w:color="auto"/>
              <w:right w:val="single" w:sz="4" w:space="0" w:color="auto"/>
            </w:tcBorders>
            <w:shd w:val="clear" w:color="auto" w:fill="auto"/>
            <w:noWrap/>
            <w:vAlign w:val="bottom"/>
            <w:hideMark/>
          </w:tcPr>
          <w:p w14:paraId="66D28BB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21,953,876</w:t>
            </w:r>
          </w:p>
        </w:tc>
        <w:tc>
          <w:tcPr>
            <w:tcW w:w="426" w:type="pct"/>
            <w:tcBorders>
              <w:top w:val="nil"/>
              <w:left w:val="nil"/>
              <w:bottom w:val="single" w:sz="4" w:space="0" w:color="auto"/>
              <w:right w:val="single" w:sz="4" w:space="0" w:color="auto"/>
            </w:tcBorders>
            <w:shd w:val="clear" w:color="auto" w:fill="auto"/>
            <w:noWrap/>
            <w:vAlign w:val="bottom"/>
            <w:hideMark/>
          </w:tcPr>
          <w:p w14:paraId="3647FAA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r>
      <w:tr w:rsidR="006A55AE" w:rsidRPr="00B613C3" w14:paraId="76140BD2" w14:textId="77777777" w:rsidTr="00C66186">
        <w:trPr>
          <w:trHeight w:val="63"/>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34AC80E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8DA6B39"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&gt;=$75,000</w:t>
            </w:r>
          </w:p>
        </w:tc>
        <w:tc>
          <w:tcPr>
            <w:tcW w:w="396" w:type="pct"/>
            <w:tcBorders>
              <w:top w:val="nil"/>
              <w:left w:val="nil"/>
              <w:bottom w:val="single" w:sz="4" w:space="0" w:color="auto"/>
              <w:right w:val="single" w:sz="4" w:space="0" w:color="auto"/>
            </w:tcBorders>
            <w:shd w:val="clear" w:color="auto" w:fill="auto"/>
            <w:noWrap/>
            <w:vAlign w:val="bottom"/>
            <w:hideMark/>
          </w:tcPr>
          <w:p w14:paraId="4E504ED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338,116</w:t>
            </w:r>
          </w:p>
        </w:tc>
        <w:tc>
          <w:tcPr>
            <w:tcW w:w="396" w:type="pct"/>
            <w:tcBorders>
              <w:top w:val="nil"/>
              <w:left w:val="nil"/>
              <w:bottom w:val="single" w:sz="4" w:space="0" w:color="auto"/>
              <w:right w:val="single" w:sz="4" w:space="0" w:color="auto"/>
            </w:tcBorders>
            <w:shd w:val="clear" w:color="auto" w:fill="auto"/>
            <w:noWrap/>
            <w:vAlign w:val="bottom"/>
            <w:hideMark/>
          </w:tcPr>
          <w:p w14:paraId="79EE300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954,762</w:t>
            </w:r>
          </w:p>
        </w:tc>
        <w:tc>
          <w:tcPr>
            <w:tcW w:w="428" w:type="pct"/>
            <w:tcBorders>
              <w:top w:val="nil"/>
              <w:left w:val="nil"/>
              <w:bottom w:val="single" w:sz="4" w:space="0" w:color="auto"/>
              <w:right w:val="single" w:sz="4" w:space="0" w:color="auto"/>
            </w:tcBorders>
            <w:shd w:val="clear" w:color="auto" w:fill="auto"/>
            <w:noWrap/>
            <w:vAlign w:val="bottom"/>
            <w:hideMark/>
          </w:tcPr>
          <w:p w14:paraId="41B4674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w:t>
            </w:r>
          </w:p>
        </w:tc>
        <w:tc>
          <w:tcPr>
            <w:tcW w:w="476" w:type="pct"/>
            <w:tcBorders>
              <w:top w:val="nil"/>
              <w:left w:val="nil"/>
              <w:bottom w:val="single" w:sz="4" w:space="0" w:color="auto"/>
              <w:right w:val="single" w:sz="4" w:space="0" w:color="auto"/>
            </w:tcBorders>
            <w:shd w:val="clear" w:color="auto" w:fill="auto"/>
            <w:noWrap/>
            <w:vAlign w:val="bottom"/>
            <w:hideMark/>
          </w:tcPr>
          <w:p w14:paraId="40EB3BF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28,300,219</w:t>
            </w:r>
          </w:p>
        </w:tc>
        <w:tc>
          <w:tcPr>
            <w:tcW w:w="476" w:type="pct"/>
            <w:tcBorders>
              <w:top w:val="nil"/>
              <w:left w:val="nil"/>
              <w:bottom w:val="single" w:sz="4" w:space="0" w:color="auto"/>
              <w:right w:val="single" w:sz="4" w:space="0" w:color="auto"/>
            </w:tcBorders>
            <w:shd w:val="clear" w:color="auto" w:fill="auto"/>
            <w:noWrap/>
            <w:vAlign w:val="bottom"/>
            <w:hideMark/>
          </w:tcPr>
          <w:p w14:paraId="1B67D0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71,213,802</w:t>
            </w:r>
          </w:p>
        </w:tc>
        <w:tc>
          <w:tcPr>
            <w:tcW w:w="428" w:type="pct"/>
            <w:tcBorders>
              <w:top w:val="nil"/>
              <w:left w:val="nil"/>
              <w:bottom w:val="single" w:sz="4" w:space="0" w:color="auto"/>
              <w:right w:val="single" w:sz="4" w:space="0" w:color="auto"/>
            </w:tcBorders>
            <w:shd w:val="clear" w:color="auto" w:fill="auto"/>
            <w:noWrap/>
            <w:vAlign w:val="bottom"/>
            <w:hideMark/>
          </w:tcPr>
          <w:p w14:paraId="78BEC47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152%</w:t>
            </w:r>
          </w:p>
        </w:tc>
        <w:tc>
          <w:tcPr>
            <w:tcW w:w="436" w:type="pct"/>
            <w:tcBorders>
              <w:top w:val="nil"/>
              <w:left w:val="nil"/>
              <w:bottom w:val="single" w:sz="4" w:space="0" w:color="auto"/>
              <w:right w:val="single" w:sz="4" w:space="0" w:color="auto"/>
            </w:tcBorders>
            <w:shd w:val="clear" w:color="auto" w:fill="auto"/>
            <w:noWrap/>
            <w:vAlign w:val="bottom"/>
            <w:hideMark/>
          </w:tcPr>
          <w:p w14:paraId="4984B83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7,732,301</w:t>
            </w:r>
          </w:p>
        </w:tc>
        <w:tc>
          <w:tcPr>
            <w:tcW w:w="436" w:type="pct"/>
            <w:tcBorders>
              <w:top w:val="nil"/>
              <w:left w:val="nil"/>
              <w:bottom w:val="single" w:sz="4" w:space="0" w:color="auto"/>
              <w:right w:val="single" w:sz="4" w:space="0" w:color="auto"/>
            </w:tcBorders>
            <w:shd w:val="clear" w:color="auto" w:fill="auto"/>
            <w:noWrap/>
            <w:vAlign w:val="bottom"/>
            <w:hideMark/>
          </w:tcPr>
          <w:p w14:paraId="039CEB4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17,763,239</w:t>
            </w:r>
          </w:p>
        </w:tc>
        <w:tc>
          <w:tcPr>
            <w:tcW w:w="426" w:type="pct"/>
            <w:tcBorders>
              <w:top w:val="nil"/>
              <w:left w:val="nil"/>
              <w:bottom w:val="single" w:sz="4" w:space="0" w:color="auto"/>
              <w:right w:val="single" w:sz="4" w:space="0" w:color="auto"/>
            </w:tcBorders>
            <w:shd w:val="clear" w:color="auto" w:fill="auto"/>
            <w:noWrap/>
            <w:vAlign w:val="bottom"/>
            <w:hideMark/>
          </w:tcPr>
          <w:p w14:paraId="35FAEAF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3200C01C" w:rsidR="00C66186" w:rsidRDefault="00C66186" w:rsidP="00C66186">
      <w:pPr>
        <w:pStyle w:val="Caption"/>
        <w:keepNext/>
      </w:pPr>
      <w:bookmarkStart w:id="41" w:name="_Toc13490568"/>
      <w:bookmarkStart w:id="42" w:name="_Ref13564927"/>
      <w:r>
        <w:t>Table S</w:t>
      </w:r>
      <w:r w:rsidR="0083497B">
        <w:fldChar w:fldCharType="begin"/>
      </w:r>
      <w:r w:rsidR="0083497B">
        <w:instrText xml:space="preserve"> SEQ Table_S \* ARABIC </w:instrText>
      </w:r>
      <w:r w:rsidR="0083497B">
        <w:fldChar w:fldCharType="separate"/>
      </w:r>
      <w:r>
        <w:rPr>
          <w:noProof/>
        </w:rPr>
        <w:t>1</w:t>
      </w:r>
      <w:r w:rsidR="0083497B">
        <w:rPr>
          <w:noProof/>
        </w:rPr>
        <w:fldChar w:fldCharType="end"/>
      </w:r>
      <w:bookmarkEnd w:id="42"/>
      <w:r w:rsidR="006A05CF">
        <w:t xml:space="preserve">. </w:t>
      </w:r>
      <w:r w:rsidRPr="00305CDE">
        <w:t>Geographical and demographical characteristics by state</w:t>
      </w:r>
      <w:bookmarkEnd w:id="41"/>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467EB6D0" w:rsidR="00C66186" w:rsidRDefault="00C66186" w:rsidP="00C66186">
      <w:pPr>
        <w:pStyle w:val="Caption"/>
        <w:keepNext/>
      </w:pPr>
      <w:bookmarkStart w:id="43" w:name="_Toc13490560"/>
      <w:bookmarkStart w:id="44" w:name="_Toc13490565"/>
      <w:bookmarkStart w:id="45" w:name="_Ref13571967"/>
      <w:r>
        <w:lastRenderedPageBreak/>
        <w:t xml:space="preserve">Table </w:t>
      </w:r>
      <w:r w:rsidR="0083497B">
        <w:fldChar w:fldCharType="begin"/>
      </w:r>
      <w:r w:rsidR="0083497B">
        <w:instrText xml:space="preserve"> SEQ Table \* ARABIC </w:instrText>
      </w:r>
      <w:r w:rsidR="0083497B">
        <w:fldChar w:fldCharType="separate"/>
      </w:r>
      <w:r>
        <w:rPr>
          <w:noProof/>
        </w:rPr>
        <w:t>3</w:t>
      </w:r>
      <w:r w:rsidR="0083497B">
        <w:rPr>
          <w:noProof/>
        </w:rPr>
        <w:fldChar w:fldCharType="end"/>
      </w:r>
      <w:bookmarkEnd w:id="45"/>
      <w:r w:rsidR="006A05CF">
        <w:t>.</w:t>
      </w:r>
      <w:r>
        <w:t xml:space="preserve"> Incident cases</w:t>
      </w:r>
      <w:bookmarkEnd w:id="43"/>
      <w:bookmarkEnd w:id="44"/>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1F2CDF82" w:rsidR="00C66186" w:rsidRDefault="00C66186" w:rsidP="00C66186">
      <w:pPr>
        <w:pStyle w:val="Caption"/>
        <w:keepNext/>
      </w:pPr>
      <w:bookmarkStart w:id="46" w:name="_Toc13490561"/>
      <w:bookmarkStart w:id="47" w:name="_Toc13490566"/>
      <w:bookmarkStart w:id="48" w:name="_Ref13565249"/>
      <w:r>
        <w:t xml:space="preserve">Table </w:t>
      </w:r>
      <w:r w:rsidR="0083497B">
        <w:fldChar w:fldCharType="begin"/>
      </w:r>
      <w:r w:rsidR="0083497B">
        <w:instrText xml:space="preserve"> SEQ Table \* ARABIC </w:instrText>
      </w:r>
      <w:r w:rsidR="0083497B">
        <w:fldChar w:fldCharType="separate"/>
      </w:r>
      <w:r>
        <w:rPr>
          <w:noProof/>
        </w:rPr>
        <w:t>4</w:t>
      </w:r>
      <w:r w:rsidR="0083497B">
        <w:rPr>
          <w:noProof/>
        </w:rPr>
        <w:fldChar w:fldCharType="end"/>
      </w:r>
      <w:bookmarkEnd w:id="48"/>
      <w:r w:rsidR="006A05CF">
        <w:t>.</w:t>
      </w:r>
      <w:r>
        <w:t xml:space="preserve"> Air pollution concentrations</w:t>
      </w:r>
      <w:bookmarkEnd w:id="46"/>
      <w:bookmarkEnd w:id="47"/>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7874171" w:rsidR="00C66186" w:rsidRDefault="00C66186" w:rsidP="00C66186">
      <w:pPr>
        <w:pStyle w:val="Caption"/>
        <w:keepNext/>
      </w:pPr>
      <w:bookmarkStart w:id="49" w:name="_Toc13490569"/>
      <w:r>
        <w:lastRenderedPageBreak/>
        <w:t>Table S</w:t>
      </w:r>
      <w:r w:rsidR="0083497B">
        <w:fldChar w:fldCharType="begin"/>
      </w:r>
      <w:r w:rsidR="0083497B">
        <w:instrText xml:space="preserve"> SEQ Table_S \* ARABIC </w:instrText>
      </w:r>
      <w:r w:rsidR="0083497B">
        <w:fldChar w:fldCharType="separate"/>
      </w:r>
      <w:r>
        <w:rPr>
          <w:noProof/>
        </w:rPr>
        <w:t>2</w:t>
      </w:r>
      <w:r w:rsidR="0083497B">
        <w:rPr>
          <w:noProof/>
        </w:rPr>
        <w:fldChar w:fldCharType="end"/>
      </w:r>
      <w:r w:rsidR="006A05CF">
        <w:t>.</w:t>
      </w:r>
      <w:r>
        <w:t xml:space="preserve"> Air pollution concentrations by state</w:t>
      </w:r>
      <w:bookmarkEnd w:id="49"/>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342BFCA0" w:rsidR="00C66186" w:rsidRDefault="00C66186" w:rsidP="00C66186">
      <w:pPr>
        <w:pStyle w:val="Caption"/>
        <w:keepNext/>
      </w:pPr>
      <w:bookmarkStart w:id="50" w:name="_Toc13490562"/>
      <w:bookmarkStart w:id="51" w:name="_Toc13490567"/>
      <w:r>
        <w:t xml:space="preserve">Table </w:t>
      </w:r>
      <w:r w:rsidR="0083497B">
        <w:fldChar w:fldCharType="begin"/>
      </w:r>
      <w:r w:rsidR="0083497B">
        <w:instrText xml:space="preserve"> SEQ Table \* ARABIC </w:instrText>
      </w:r>
      <w:r w:rsidR="0083497B">
        <w:fldChar w:fldCharType="separate"/>
      </w:r>
      <w:r>
        <w:rPr>
          <w:noProof/>
        </w:rPr>
        <w:t>5</w:t>
      </w:r>
      <w:r w:rsidR="0083497B">
        <w:rPr>
          <w:noProof/>
        </w:rPr>
        <w:fldChar w:fldCharType="end"/>
      </w:r>
      <w:r w:rsidR="006A05CF">
        <w:t>.</w:t>
      </w:r>
      <w:r>
        <w:t xml:space="preserve"> Burden estimates</w:t>
      </w:r>
      <w:bookmarkEnd w:id="50"/>
      <w:bookmarkEnd w:id="51"/>
    </w:p>
    <w:tbl>
      <w:tblPr>
        <w:tblW w:w="5000" w:type="pct"/>
        <w:tblLook w:val="04A0" w:firstRow="1" w:lastRow="0" w:firstColumn="1" w:lastColumn="0" w:noHBand="0" w:noVBand="1"/>
      </w:tblPr>
      <w:tblGrid>
        <w:gridCol w:w="1535"/>
        <w:gridCol w:w="3237"/>
        <w:gridCol w:w="1331"/>
        <w:gridCol w:w="1331"/>
        <w:gridCol w:w="1736"/>
        <w:gridCol w:w="1107"/>
        <w:gridCol w:w="1107"/>
        <w:gridCol w:w="2286"/>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209,100</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379,400</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331,600</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247,100</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190,200</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136677D" w:rsidR="00C66186" w:rsidRDefault="00C66186" w:rsidP="00C66186">
      <w:pPr>
        <w:pStyle w:val="Caption"/>
        <w:keepNext/>
      </w:pPr>
      <w:bookmarkStart w:id="52" w:name="_Toc13490570"/>
      <w:bookmarkStart w:id="53" w:name="_Ref13574598"/>
      <w:r>
        <w:lastRenderedPageBreak/>
        <w:t>Table S</w:t>
      </w:r>
      <w:r w:rsidR="0083497B">
        <w:fldChar w:fldCharType="begin"/>
      </w:r>
      <w:r w:rsidR="0083497B">
        <w:instrText xml:space="preserve"> SEQ Table_S \* ARABIC </w:instrText>
      </w:r>
      <w:r w:rsidR="0083497B">
        <w:fldChar w:fldCharType="separate"/>
      </w:r>
      <w:r>
        <w:rPr>
          <w:noProof/>
        </w:rPr>
        <w:t>3</w:t>
      </w:r>
      <w:r w:rsidR="0083497B">
        <w:rPr>
          <w:noProof/>
        </w:rPr>
        <w:fldChar w:fldCharType="end"/>
      </w:r>
      <w:bookmarkEnd w:id="53"/>
      <w:r w:rsidR="006A05CF">
        <w:t>.</w:t>
      </w:r>
      <w:r>
        <w:t xml:space="preserve"> Incident cases by state</w:t>
      </w:r>
      <w:bookmarkEnd w:id="52"/>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5EFE407E" w:rsidR="00C66186" w:rsidRDefault="00C66186" w:rsidP="00C66186">
      <w:pPr>
        <w:pStyle w:val="Caption"/>
        <w:keepNext/>
      </w:pPr>
      <w:bookmarkStart w:id="54" w:name="_Toc13490571"/>
      <w:r>
        <w:lastRenderedPageBreak/>
        <w:t>Table S</w:t>
      </w:r>
      <w:r w:rsidR="0083497B">
        <w:fldChar w:fldCharType="begin"/>
      </w:r>
      <w:r w:rsidR="0083497B">
        <w:instrText xml:space="preserve"> SEQ Table_S \* ARABIC </w:instrText>
      </w:r>
      <w:r w:rsidR="0083497B">
        <w:fldChar w:fldCharType="separate"/>
      </w:r>
      <w:r>
        <w:rPr>
          <w:noProof/>
        </w:rPr>
        <w:t>4</w:t>
      </w:r>
      <w:r w:rsidR="0083497B">
        <w:rPr>
          <w:noProof/>
        </w:rPr>
        <w:fldChar w:fldCharType="end"/>
      </w:r>
      <w:r w:rsidR="006A05CF">
        <w:t>.</w:t>
      </w:r>
      <w:r>
        <w:t xml:space="preserve"> Burden estimates due to NO</w:t>
      </w:r>
      <w:r w:rsidRPr="00C66186">
        <w:rPr>
          <w:vertAlign w:val="subscript"/>
        </w:rPr>
        <w:t>2</w:t>
      </w:r>
      <w:r>
        <w:t xml:space="preserve"> by state</w:t>
      </w:r>
      <w:bookmarkEnd w:id="54"/>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37F6F491" w:rsidR="00C66186" w:rsidRDefault="00C66186" w:rsidP="00C66186">
      <w:pPr>
        <w:pStyle w:val="Caption"/>
        <w:keepNext/>
      </w:pPr>
      <w:bookmarkStart w:id="55" w:name="_Toc13490572"/>
      <w:r>
        <w:t>Table S</w:t>
      </w:r>
      <w:r w:rsidR="0083497B">
        <w:fldChar w:fldCharType="begin"/>
      </w:r>
      <w:r w:rsidR="0083497B">
        <w:instrText xml:space="preserve"> SEQ Table_S \* ARABIC </w:instrText>
      </w:r>
      <w:r w:rsidR="0083497B">
        <w:fldChar w:fldCharType="separate"/>
      </w:r>
      <w:r>
        <w:rPr>
          <w:noProof/>
        </w:rPr>
        <w:t>5</w:t>
      </w:r>
      <w:r w:rsidR="0083497B">
        <w:rPr>
          <w:noProof/>
        </w:rPr>
        <w:fldChar w:fldCharType="end"/>
      </w:r>
      <w:r w:rsidR="006A05CF">
        <w:t>.</w:t>
      </w:r>
      <w:r>
        <w:t xml:space="preserve"> Burden estimates due to PM</w:t>
      </w:r>
      <w:r w:rsidRPr="00C66186">
        <w:rPr>
          <w:vertAlign w:val="subscript"/>
        </w:rPr>
        <w:t>10</w:t>
      </w:r>
      <w:r>
        <w:t xml:space="preserve"> by state</w:t>
      </w:r>
      <w:bookmarkEnd w:id="55"/>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68362BAD" w:rsidR="00C66186" w:rsidRDefault="00C66186" w:rsidP="00C66186">
      <w:pPr>
        <w:pStyle w:val="Caption"/>
        <w:keepNext/>
      </w:pPr>
      <w:bookmarkStart w:id="56" w:name="_Toc13490573"/>
      <w:r>
        <w:lastRenderedPageBreak/>
        <w:t>Table S</w:t>
      </w:r>
      <w:r w:rsidR="0083497B">
        <w:fldChar w:fldCharType="begin"/>
      </w:r>
      <w:r w:rsidR="0083497B">
        <w:instrText xml:space="preserve"> SEQ Table_S \* ARABIC </w:instrText>
      </w:r>
      <w:r w:rsidR="0083497B">
        <w:fldChar w:fldCharType="separate"/>
      </w:r>
      <w:r>
        <w:rPr>
          <w:noProof/>
        </w:rPr>
        <w:t>6</w:t>
      </w:r>
      <w:r w:rsidR="0083497B">
        <w:rPr>
          <w:noProof/>
        </w:rPr>
        <w:fldChar w:fldCharType="end"/>
      </w:r>
      <w:r w:rsidR="006A05CF">
        <w:t>.</w:t>
      </w:r>
      <w:r>
        <w:t xml:space="preserve"> Burden estimates due to PM</w:t>
      </w:r>
      <w:r w:rsidRPr="00C66186">
        <w:rPr>
          <w:vertAlign w:val="subscript"/>
        </w:rPr>
        <w:t>2.5</w:t>
      </w:r>
      <w:r>
        <w:t xml:space="preserve"> by state</w:t>
      </w:r>
      <w:bookmarkEnd w:id="56"/>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93909AC" w14:textId="77777777" w:rsidR="007F2DBC" w:rsidRPr="007F2DBC" w:rsidRDefault="00B71F54" w:rsidP="007F2DBC">
      <w:pPr>
        <w:pStyle w:val="EndNoteBibliography"/>
        <w:ind w:left="720" w:hanging="720"/>
      </w:pPr>
      <w:r>
        <w:lastRenderedPageBreak/>
        <w:fldChar w:fldCharType="begin"/>
      </w:r>
      <w:r>
        <w:instrText xml:space="preserve"> ADDIN EN.REFLIST </w:instrText>
      </w:r>
      <w:r>
        <w:fldChar w:fldCharType="separate"/>
      </w:r>
      <w:r w:rsidR="007F2DBC" w:rsidRPr="007F2DB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F2DBC" w:rsidRPr="007F2DBC">
        <w:rPr>
          <w:i/>
        </w:rPr>
        <w:t>Am J Respir Crit Care Med, 188</w:t>
      </w:r>
      <w:r w:rsidR="007F2DBC" w:rsidRPr="007F2DBC">
        <w:t xml:space="preserve">, 309-318. </w:t>
      </w:r>
    </w:p>
    <w:p w14:paraId="76B29F93" w14:textId="77777777" w:rsidR="007F2DBC" w:rsidRPr="007F2DBC" w:rsidRDefault="007F2DBC" w:rsidP="007F2DBC">
      <w:pPr>
        <w:pStyle w:val="EndNoteBibliography"/>
        <w:ind w:left="720" w:hanging="720"/>
      </w:pPr>
      <w:r w:rsidRPr="007F2DBC">
        <w:t xml:space="preserve">Anderson, H., Favarato, G., &amp; Atkinson, R. W. (2013). Long-term exposure to air pollution and the incidence of asthma: meta-analysis of cohort studies. </w:t>
      </w:r>
      <w:r w:rsidRPr="007F2DBC">
        <w:rPr>
          <w:i/>
        </w:rPr>
        <w:t>Air Quality, Atmosphere &amp; Health, 6</w:t>
      </w:r>
      <w:r w:rsidRPr="007F2DBC">
        <w:t xml:space="preserve">(1), 47-56. </w:t>
      </w:r>
    </w:p>
    <w:p w14:paraId="29109DFB" w14:textId="77777777" w:rsidR="007F2DBC" w:rsidRPr="007F2DBC" w:rsidRDefault="007F2DBC" w:rsidP="007F2DBC">
      <w:pPr>
        <w:pStyle w:val="EndNoteBibliography"/>
        <w:ind w:left="720" w:hanging="720"/>
      </w:pPr>
      <w:r w:rsidRPr="007F2DBC">
        <w:t xml:space="preserve">Anderson, H. R., Favarato, G., &amp; Atkinson, R. W. (2013). Long-term exposure to air pollution and the incidence of asthma: meta-analysis of cohort studies. </w:t>
      </w:r>
      <w:r w:rsidRPr="007F2DBC">
        <w:rPr>
          <w:i/>
        </w:rPr>
        <w:t>Air Quality, Atmosphere &amp; Health, 6</w:t>
      </w:r>
      <w:r w:rsidRPr="007F2DBC">
        <w:t xml:space="preserve">(1), 47-56. </w:t>
      </w:r>
    </w:p>
    <w:p w14:paraId="3AF54358" w14:textId="77777777" w:rsidR="007F2DBC" w:rsidRPr="007F2DBC" w:rsidRDefault="007F2DBC" w:rsidP="007F2DBC">
      <w:pPr>
        <w:pStyle w:val="EndNoteBibliography"/>
        <w:ind w:left="720" w:hanging="720"/>
      </w:pPr>
      <w:r w:rsidRPr="007F2DBC">
        <w:t xml:space="preserve">Bechle, M. J., Millet, D. B., &amp; Marshall, J. D. (2015). National spatiotemporal exposure surface for NO2: monthly scaling of a satellite-derived land-use regression, 2000–2010. </w:t>
      </w:r>
      <w:r w:rsidRPr="007F2DBC">
        <w:rPr>
          <w:i/>
        </w:rPr>
        <w:t>Environmental science &amp; technology, 49</w:t>
      </w:r>
      <w:r w:rsidRPr="007F2DBC">
        <w:t xml:space="preserve">(20), 12297-12305. </w:t>
      </w:r>
    </w:p>
    <w:p w14:paraId="27D7FB37" w14:textId="77777777" w:rsidR="007F2DBC" w:rsidRPr="007F2DBC" w:rsidRDefault="007F2DBC" w:rsidP="007F2DBC">
      <w:pPr>
        <w:pStyle w:val="EndNoteBibliography"/>
        <w:ind w:left="720" w:hanging="720"/>
      </w:pPr>
      <w:r w:rsidRPr="007F2DBC">
        <w:t xml:space="preserve">Beelen, R., Hoek, G., Pebesma, E., Vienneau, D., de Hoogh, K., &amp; Briggs, D. J. (2009). Mapping of background air pollution at a fine spatial scale across the European Union. </w:t>
      </w:r>
      <w:r w:rsidRPr="007F2DBC">
        <w:rPr>
          <w:i/>
        </w:rPr>
        <w:t>Science of the Total Environment, 407</w:t>
      </w:r>
      <w:r w:rsidRPr="007F2DBC">
        <w:t xml:space="preserve">(6), 1852-1867. </w:t>
      </w:r>
    </w:p>
    <w:p w14:paraId="27E5A3E6" w14:textId="77777777" w:rsidR="007F2DBC" w:rsidRPr="007F2DBC" w:rsidRDefault="007F2DBC" w:rsidP="007F2DBC">
      <w:pPr>
        <w:pStyle w:val="EndNoteBibliography"/>
        <w:ind w:left="720" w:hanging="720"/>
      </w:pPr>
      <w:r w:rsidRPr="007F2DBC">
        <w:t>CDC. (2009). Centers for Disease Control and Prevention. Behavioral Risk Factor Surveillance System Survey Data. Atlanta, Georgia: U.S. Department of Health and Human Services, Centers for Disease Control and Prevention, 2019.</w:t>
      </w:r>
    </w:p>
    <w:p w14:paraId="5E9272E6" w14:textId="77777777" w:rsidR="007F2DBC" w:rsidRPr="007F2DBC" w:rsidRDefault="007F2DBC" w:rsidP="007F2DBC">
      <w:pPr>
        <w:pStyle w:val="EndNoteBibliography"/>
        <w:ind w:left="720" w:hanging="720"/>
      </w:pPr>
      <w:r w:rsidRPr="007F2DBC">
        <w:t xml:space="preserve">CDC. (2017). 500 Cities: Local Data for Better Health.   </w:t>
      </w:r>
    </w:p>
    <w:p w14:paraId="09C4AFD1" w14:textId="77777777" w:rsidR="007F2DBC" w:rsidRPr="007F2DBC" w:rsidRDefault="007F2DBC" w:rsidP="007F2DBC">
      <w:pPr>
        <w:pStyle w:val="EndNoteBibliography"/>
        <w:ind w:left="720" w:hanging="720"/>
      </w:pPr>
      <w:r w:rsidRPr="007F2DBC">
        <w:t xml:space="preserve">Clark, L. P., Millet, D. B., &amp; Marshall, J. D. (2017). Changes in transportation-related air pollution exposures by race-ethnicity and socioeconomic status: Outdoor nitrogen dioxide in the United States in 2000 and 2010. </w:t>
      </w:r>
      <w:r w:rsidRPr="007F2DBC">
        <w:rPr>
          <w:i/>
        </w:rPr>
        <w:t>Environmental health perspectives, 125</w:t>
      </w:r>
      <w:r w:rsidRPr="007F2DBC">
        <w:t>(9), 1--10. doi:10.1289/EHP959</w:t>
      </w:r>
    </w:p>
    <w:p w14:paraId="721CD43F" w14:textId="77777777" w:rsidR="007F2DBC" w:rsidRPr="007F2DBC" w:rsidRDefault="007F2DBC" w:rsidP="007F2DBC">
      <w:pPr>
        <w:pStyle w:val="EndNoteBibliography"/>
        <w:ind w:left="720" w:hanging="720"/>
      </w:pPr>
      <w:r w:rsidRPr="007F2DBC">
        <w:t xml:space="preserve">Corren, J. (2013). Asthma phenotypes and endotypes: an evolving paradigm for classification. </w:t>
      </w:r>
      <w:r w:rsidRPr="007F2DBC">
        <w:rPr>
          <w:i/>
        </w:rPr>
        <w:t>Discovery medicine, 15</w:t>
      </w:r>
      <w:r w:rsidRPr="007F2DBC">
        <w:t xml:space="preserve">(83), 243-249. </w:t>
      </w:r>
    </w:p>
    <w:p w14:paraId="0B7D602C" w14:textId="77777777" w:rsidR="007F2DBC" w:rsidRPr="007F2DBC" w:rsidRDefault="007F2DBC" w:rsidP="007F2DBC">
      <w:pPr>
        <w:pStyle w:val="EndNoteBibliography"/>
        <w:ind w:left="720" w:hanging="720"/>
      </w:pPr>
      <w:r w:rsidRPr="007F2DBC">
        <w:t xml:space="preserve">Garbe, P., Balluz, L. S., &amp; Chief, B. (2011). Behavioral Risk Factor Surveillance System Asthma Call-Back Survey History And Analysis Guidance. </w:t>
      </w:r>
    </w:p>
    <w:p w14:paraId="3FD6745F" w14:textId="77777777" w:rsidR="007F2DBC" w:rsidRPr="007F2DBC" w:rsidRDefault="007F2DBC" w:rsidP="007F2DBC">
      <w:pPr>
        <w:pStyle w:val="EndNoteBibliography"/>
        <w:ind w:left="720" w:hanging="720"/>
      </w:pPr>
      <w:r w:rsidRPr="007F2DBC">
        <w:t xml:space="preserve">Gowers, A. M., Cullinan, P., Ayres, J. G., Anderson, H. R., Strachan, D. P., Holgate, S. T., Mills, I. C., &amp; Maynard, R. L. (2012). Does outdoor air pollution induce new cases of asthma? Biological plausibility and evidence; a review. </w:t>
      </w:r>
      <w:r w:rsidRPr="007F2DBC">
        <w:rPr>
          <w:i/>
        </w:rPr>
        <w:t>Respirology, 17</w:t>
      </w:r>
      <w:r w:rsidRPr="007F2DBC">
        <w:t xml:space="preserve">(6), 887-898. </w:t>
      </w:r>
    </w:p>
    <w:p w14:paraId="7A0EEB49" w14:textId="77777777" w:rsidR="007F2DBC" w:rsidRPr="007F2DBC" w:rsidRDefault="007F2DBC" w:rsidP="007F2DBC">
      <w:pPr>
        <w:pStyle w:val="EndNoteBibliography"/>
        <w:ind w:left="720" w:hanging="720"/>
      </w:pPr>
      <w:r w:rsidRPr="007F2DBC">
        <w:t xml:space="preserve">Holgate, S. T. (2007). Epithelium dysfunction in asthma. </w:t>
      </w:r>
      <w:r w:rsidRPr="007F2DBC">
        <w:rPr>
          <w:i/>
        </w:rPr>
        <w:t>Journal of Allergy and Clinical Immunology, 120</w:t>
      </w:r>
      <w:r w:rsidRPr="007F2DBC">
        <w:t xml:space="preserve">(6), 1233-1244. </w:t>
      </w:r>
    </w:p>
    <w:p w14:paraId="36D24952" w14:textId="77777777" w:rsidR="007F2DBC" w:rsidRPr="007F2DBC" w:rsidRDefault="007F2DBC" w:rsidP="007F2DBC">
      <w:pPr>
        <w:pStyle w:val="EndNoteBibliography"/>
        <w:ind w:left="720" w:hanging="720"/>
      </w:pPr>
      <w:r w:rsidRPr="007F2DBC">
        <w:t xml:space="preserve">Holgate, S. T., Davies, D. E., Lackie, P. M., Wilson, S. J., Puddicombe, S. M., &amp; Lordan, J. L. (2000). Epithelial-mesenchymal interactions in the pathogenesis of asthma. </w:t>
      </w:r>
      <w:r w:rsidRPr="007F2DBC">
        <w:rPr>
          <w:i/>
        </w:rPr>
        <w:t>Journal of Allergy and Clinical Immunology, 105</w:t>
      </w:r>
      <w:r w:rsidRPr="007F2DBC">
        <w:t xml:space="preserve">(2), 193-204. </w:t>
      </w:r>
    </w:p>
    <w:p w14:paraId="3CC8D741" w14:textId="77777777" w:rsidR="007F2DBC" w:rsidRPr="007F2DBC" w:rsidRDefault="007F2DBC" w:rsidP="007F2DBC">
      <w:pPr>
        <w:pStyle w:val="EndNoteBibliography"/>
        <w:ind w:left="720" w:hanging="720"/>
      </w:pPr>
      <w:r w:rsidRPr="007F2DBC">
        <w:t xml:space="preserve">Hystad, P., Setton, E., Cervantes, A., Poplawski, K., Deschenes, S., Brauer, M., van Donkelaar, A., Lamsal, L., Martin, R., &amp; Jerrett, M. (2011). Creating national air pollution models for population exposure assessment in Canada. </w:t>
      </w:r>
      <w:r w:rsidRPr="007F2DBC">
        <w:rPr>
          <w:i/>
        </w:rPr>
        <w:t>Environmental health perspectives, 119</w:t>
      </w:r>
      <w:r w:rsidRPr="007F2DBC">
        <w:t xml:space="preserve">(8), 1123-1129. </w:t>
      </w:r>
    </w:p>
    <w:p w14:paraId="15B9BDCC" w14:textId="77777777" w:rsidR="007F2DBC" w:rsidRPr="007F2DBC" w:rsidRDefault="007F2DBC" w:rsidP="007F2DBC">
      <w:pPr>
        <w:pStyle w:val="EndNoteBibliography"/>
        <w:ind w:left="720" w:hanging="720"/>
      </w:pPr>
      <w:r w:rsidRPr="007F2DBC">
        <w:t xml:space="preserve">Khreis, H., Kelly, C., Tate, J., Parslow, R., Lucas, K., &amp; Nieuwenhuijsen, M. (2017). Exposure to traffic-related air pollution and risk of development of childhood asthma: a systematic review and meta-analysis. </w:t>
      </w:r>
      <w:r w:rsidRPr="007F2DBC">
        <w:rPr>
          <w:i/>
        </w:rPr>
        <w:t>Environment international, 100</w:t>
      </w:r>
      <w:r w:rsidRPr="007F2DBC">
        <w:t xml:space="preserve">, 1-31. </w:t>
      </w:r>
    </w:p>
    <w:p w14:paraId="4398D7B1" w14:textId="77777777" w:rsidR="007F2DBC" w:rsidRPr="007F2DBC" w:rsidRDefault="007F2DBC" w:rsidP="007F2DBC">
      <w:pPr>
        <w:pStyle w:val="EndNoteBibliography"/>
        <w:ind w:left="720" w:hanging="720"/>
      </w:pPr>
      <w:r w:rsidRPr="007F2DBC">
        <w:t xml:space="preserve">Khreis, H., &amp; Nieuwenhuijsen, M. (2017). Traffic-related air pollution and childhood asthma: recent advances and remaining gaps in the exposure assessment methods. </w:t>
      </w:r>
      <w:r w:rsidRPr="007F2DBC">
        <w:rPr>
          <w:i/>
        </w:rPr>
        <w:t>International journal of environmental research and public health, 14</w:t>
      </w:r>
      <w:r w:rsidRPr="007F2DBC">
        <w:t xml:space="preserve">(3), 312. </w:t>
      </w:r>
    </w:p>
    <w:p w14:paraId="56D49852" w14:textId="77777777" w:rsidR="007F2DBC" w:rsidRPr="007F2DBC" w:rsidRDefault="007F2DBC" w:rsidP="007F2DBC">
      <w:pPr>
        <w:pStyle w:val="EndNoteBibliography"/>
        <w:ind w:left="720" w:hanging="720"/>
      </w:pPr>
      <w:r w:rsidRPr="007F2DBC">
        <w:t xml:space="preserve">Kim, S.-Y., Bechle, M., Hankey, S., Sheppard, L., AA, S., &amp; Marshall, J. A. (In prep). parsimonious approach for estimating ambient concentrations of criteria pollutants in the contiguous U.S. </w:t>
      </w:r>
      <w:r w:rsidRPr="007F2DBC">
        <w:rPr>
          <w:i/>
        </w:rPr>
        <w:t>In prep</w:t>
      </w:r>
      <w:r w:rsidRPr="007F2DBC">
        <w:t xml:space="preserve">. </w:t>
      </w:r>
    </w:p>
    <w:p w14:paraId="390ED07A" w14:textId="77777777" w:rsidR="007F2DBC" w:rsidRPr="007F2DBC" w:rsidRDefault="007F2DBC" w:rsidP="007F2DBC">
      <w:pPr>
        <w:pStyle w:val="EndNoteBibliography"/>
        <w:ind w:left="720" w:hanging="720"/>
      </w:pPr>
      <w:r w:rsidRPr="007F2DBC">
        <w:t xml:space="preserve">Korn, E. L., &amp; Graubard, B. I. (2011). </w:t>
      </w:r>
      <w:r w:rsidRPr="007F2DBC">
        <w:rPr>
          <w:i/>
        </w:rPr>
        <w:t>Analysis of health surveys</w:t>
      </w:r>
      <w:r w:rsidRPr="007F2DBC">
        <w:t xml:space="preserve"> (Vol. 323): John Wiley &amp; Sons.</w:t>
      </w:r>
    </w:p>
    <w:p w14:paraId="634D6ABD" w14:textId="77777777" w:rsidR="007F2DBC" w:rsidRPr="007F2DBC" w:rsidRDefault="007F2DBC" w:rsidP="007F2DBC">
      <w:pPr>
        <w:pStyle w:val="EndNoteBibliography"/>
        <w:ind w:left="720" w:hanging="720"/>
      </w:pPr>
      <w:r w:rsidRPr="007F2DBC">
        <w:t xml:space="preserve">Künzli, N., Perez, L., Lurmann, F., Hricko, A., Penfold, B., &amp; McConnell, R. (2008). An attributable risk model for exposures assumed to cause both chronic disease and its exacerbations. </w:t>
      </w:r>
      <w:r w:rsidRPr="007F2DBC">
        <w:rPr>
          <w:i/>
        </w:rPr>
        <w:t>Epidemiology, 19</w:t>
      </w:r>
      <w:r w:rsidRPr="007F2DBC">
        <w:t xml:space="preserve">(2), 179-185. </w:t>
      </w:r>
    </w:p>
    <w:p w14:paraId="17104FE9" w14:textId="77777777" w:rsidR="007F2DBC" w:rsidRPr="007F2DBC" w:rsidRDefault="007F2DBC" w:rsidP="007F2DBC">
      <w:pPr>
        <w:pStyle w:val="EndNoteBibliography"/>
        <w:ind w:left="720" w:hanging="720"/>
      </w:pPr>
      <w:r w:rsidRPr="007F2DBC">
        <w:t xml:space="preserve">Manson, S., Schroeder, J., Van Riper, D., &amp; Ruggles, S. (2018). </w:t>
      </w:r>
      <w:r w:rsidRPr="007F2DBC">
        <w:rPr>
          <w:i/>
        </w:rPr>
        <w:t>IPUMS National Historical Geographic Information System: Version 13.0 [Database]. Minneapolis: University of Minnesota.</w:t>
      </w:r>
      <w:r w:rsidRPr="007F2DBC">
        <w:t xml:space="preserve"> </w:t>
      </w:r>
    </w:p>
    <w:p w14:paraId="06DF4420" w14:textId="77777777" w:rsidR="007F2DBC" w:rsidRPr="007F2DBC" w:rsidRDefault="007F2DBC" w:rsidP="007F2DBC">
      <w:pPr>
        <w:pStyle w:val="EndNoteBibliography"/>
        <w:ind w:left="720" w:hanging="720"/>
      </w:pPr>
      <w:r w:rsidRPr="007F2DBC">
        <w:t xml:space="preserve">Martin, J. G., &amp; Jo, T. (2008). Genetic differences in airway smooth muscle function. </w:t>
      </w:r>
      <w:r w:rsidRPr="007F2DBC">
        <w:rPr>
          <w:i/>
        </w:rPr>
        <w:t>Proceedings of the American Thoracic Society, 5</w:t>
      </w:r>
      <w:r w:rsidRPr="007F2DBC">
        <w:t xml:space="preserve">(1), 73-79. </w:t>
      </w:r>
    </w:p>
    <w:p w14:paraId="7E986BB1" w14:textId="77777777" w:rsidR="007F2DBC" w:rsidRPr="007F2DBC" w:rsidRDefault="007F2DBC" w:rsidP="007F2DBC">
      <w:pPr>
        <w:pStyle w:val="EndNoteBibliography"/>
        <w:ind w:left="720" w:hanging="720"/>
      </w:pPr>
      <w:r w:rsidRPr="007F2DBC">
        <w:t xml:space="preserve">Martinez, F. D. (2007). Genes, environments, development and asthma: a reappraisal. </w:t>
      </w:r>
      <w:r w:rsidRPr="007F2DBC">
        <w:rPr>
          <w:i/>
        </w:rPr>
        <w:t>European Respiratory Journal, 29</w:t>
      </w:r>
      <w:r w:rsidRPr="007F2DBC">
        <w:t xml:space="preserve">(1), 179-184. </w:t>
      </w:r>
    </w:p>
    <w:p w14:paraId="76AA272D" w14:textId="77777777" w:rsidR="007F2DBC" w:rsidRPr="007F2DBC" w:rsidRDefault="007F2DBC" w:rsidP="007F2DBC">
      <w:pPr>
        <w:pStyle w:val="EndNoteBibliography"/>
        <w:ind w:left="720" w:hanging="720"/>
      </w:pPr>
      <w:r w:rsidRPr="007F2DBC">
        <w:t xml:space="preserve">Mauad, T., Bel, E. H., &amp; Sterk, P. J. (2007). Asthma therapy and airway remodeling. </w:t>
      </w:r>
      <w:r w:rsidRPr="007F2DBC">
        <w:rPr>
          <w:i/>
        </w:rPr>
        <w:t>Journal of Allergy and Clinical Immunology, 120</w:t>
      </w:r>
      <w:r w:rsidRPr="007F2DBC">
        <w:t xml:space="preserve">(5), 997-1009. </w:t>
      </w:r>
    </w:p>
    <w:p w14:paraId="3DF7578F" w14:textId="77777777" w:rsidR="007F2DBC" w:rsidRPr="007F2DBC" w:rsidRDefault="007F2DBC" w:rsidP="007F2DBC">
      <w:pPr>
        <w:pStyle w:val="EndNoteBibliography"/>
        <w:ind w:left="720" w:hanging="720"/>
      </w:pPr>
      <w:r w:rsidRPr="007F2DBC">
        <w:t xml:space="preserve">Nadeem, A., Masood, A., &amp; Siddiqui, N. (2008). Oxidant—antioxidant imbalance in asthma: scientific evidence, epidemiological data and possible therapeutic options. </w:t>
      </w:r>
      <w:r w:rsidRPr="007F2DBC">
        <w:rPr>
          <w:i/>
        </w:rPr>
        <w:t>Therapeutic advances in respiratory disease, 2</w:t>
      </w:r>
      <w:r w:rsidRPr="007F2DBC">
        <w:t xml:space="preserve">(4), 215-235. </w:t>
      </w:r>
    </w:p>
    <w:p w14:paraId="3849948C" w14:textId="77777777" w:rsidR="007F2DBC" w:rsidRPr="007F2DBC" w:rsidRDefault="007F2DBC" w:rsidP="007F2DBC">
      <w:pPr>
        <w:pStyle w:val="EndNoteBibliography"/>
        <w:ind w:left="720" w:hanging="720"/>
      </w:pPr>
      <w:r w:rsidRPr="007F2DBC">
        <w:t xml:space="preserve">National Heart Lung and Blood Institute. (2007). National Asthma Education and Prevention Program. Expert panel report 3: guidelines for the diagnosis and management of asthma: full report 2007. </w:t>
      </w:r>
    </w:p>
    <w:p w14:paraId="515C04B9" w14:textId="77777777" w:rsidR="007F2DBC" w:rsidRPr="007F2DBC" w:rsidRDefault="007F2DBC" w:rsidP="007F2DBC">
      <w:pPr>
        <w:pStyle w:val="EndNoteBibliography"/>
        <w:ind w:left="720" w:hanging="720"/>
      </w:pPr>
      <w:r w:rsidRPr="007F2DBC">
        <w:t xml:space="preserve">Novotny, E. V., Bechle, M. J., Millet, D. B., &amp; Marshall, J. D. (2011). National satellite-based land-use regression: NO2 in the United States. </w:t>
      </w:r>
      <w:r w:rsidRPr="007F2DBC">
        <w:rPr>
          <w:i/>
        </w:rPr>
        <w:t>Environmental science &amp; technology, 45</w:t>
      </w:r>
      <w:r w:rsidRPr="007F2DBC">
        <w:t xml:space="preserve">(10), 4407-4414. </w:t>
      </w:r>
    </w:p>
    <w:p w14:paraId="56C89B25" w14:textId="77777777" w:rsidR="007F2DBC" w:rsidRPr="007F2DBC" w:rsidRDefault="007F2DBC" w:rsidP="007F2DBC">
      <w:pPr>
        <w:pStyle w:val="EndNoteBibliography"/>
        <w:ind w:left="720" w:hanging="720"/>
      </w:pPr>
      <w:r w:rsidRPr="007F2DBC">
        <w:lastRenderedPageBreak/>
        <w:t xml:space="preserve">Ober, C., &amp; Yao, T. C. (2011). The genetics of asthma and allergic disease: a 21st century perspective. </w:t>
      </w:r>
      <w:r w:rsidRPr="007F2DBC">
        <w:rPr>
          <w:i/>
        </w:rPr>
        <w:t>Immunological reviews, 242</w:t>
      </w:r>
      <w:r w:rsidRPr="007F2DBC">
        <w:t xml:space="preserve">(1), 10-30. </w:t>
      </w:r>
    </w:p>
    <w:p w14:paraId="079CAD96" w14:textId="77777777" w:rsidR="007F2DBC" w:rsidRPr="007F2DBC" w:rsidRDefault="007F2DBC" w:rsidP="007F2DBC">
      <w:pPr>
        <w:pStyle w:val="EndNoteBibliography"/>
        <w:ind w:left="720" w:hanging="720"/>
      </w:pPr>
      <w:r w:rsidRPr="007F2DBC">
        <w:t xml:space="preserve">Perez, L., Declercq, C., Iñiguez, C., Aguilera, I., Badaloni, C., Ballester, F., Bouland, C., Chanel, O., Cirarda, F. B., &amp; Forastiere, F. (2013). Chronic burden of near-roadway traffic pollution in 10 European cities (APHEKOM network). </w:t>
      </w:r>
      <w:r w:rsidRPr="007F2DBC">
        <w:rPr>
          <w:i/>
        </w:rPr>
        <w:t>European Respiratory Journal</w:t>
      </w:r>
      <w:r w:rsidRPr="007F2DBC">
        <w:t xml:space="preserve">, erj00311-02012. </w:t>
      </w:r>
    </w:p>
    <w:p w14:paraId="2658556A" w14:textId="77777777" w:rsidR="007F2DBC" w:rsidRPr="007F2DBC" w:rsidRDefault="007F2DBC" w:rsidP="007F2DBC">
      <w:pPr>
        <w:pStyle w:val="EndNoteBibliography"/>
        <w:ind w:left="720" w:hanging="720"/>
      </w:pPr>
      <w:r w:rsidRPr="007F2DBC">
        <w:t xml:space="preserve">Perez, L., Künzli, N., Avol, E., Hricko, A. M., Lurmann, F., Nicholas, E., Gilliland, F., Peters, J., &amp; McConnell, R. (2009). Global goods movement and the local burden of childhood asthma in southern California. </w:t>
      </w:r>
      <w:r w:rsidRPr="007F2DBC">
        <w:rPr>
          <w:i/>
        </w:rPr>
        <w:t>American Journal of Public Health, 99</w:t>
      </w:r>
      <w:r w:rsidRPr="007F2DBC">
        <w:t xml:space="preserve">(S3), S622-S628. </w:t>
      </w:r>
    </w:p>
    <w:p w14:paraId="503B36C0" w14:textId="77777777" w:rsidR="007F2DBC" w:rsidRPr="007F2DBC" w:rsidRDefault="007F2DBC" w:rsidP="007F2DBC">
      <w:pPr>
        <w:pStyle w:val="EndNoteBibliography"/>
        <w:ind w:left="720" w:hanging="720"/>
      </w:pPr>
      <w:r w:rsidRPr="007F2DBC">
        <w:t xml:space="preserve">Perez, L., Lurmann, F., Wilson, J., Pastor, M., Brandt, S. J., Künzli, N., &amp; McConnell, R. (2012). Near-roadway pollution and childhood asthma: implications for developing “win–win” compact urban development and clean vehicle strategies. </w:t>
      </w:r>
      <w:r w:rsidRPr="007F2DBC">
        <w:rPr>
          <w:i/>
        </w:rPr>
        <w:t>Environmental health perspectives, 120</w:t>
      </w:r>
      <w:r w:rsidRPr="007F2DBC">
        <w:t xml:space="preserve">(11), 1619-1626. </w:t>
      </w:r>
    </w:p>
    <w:p w14:paraId="10A61442" w14:textId="191388E1" w:rsidR="007F2DBC" w:rsidRPr="007F2DBC" w:rsidRDefault="007F2DBC" w:rsidP="007F2DBC">
      <w:pPr>
        <w:pStyle w:val="EndNoteBibliography"/>
        <w:ind w:left="720" w:hanging="720"/>
      </w:pPr>
      <w:r w:rsidRPr="007F2DBC">
        <w:t xml:space="preserve">R Core Team. (2018). R: A Language and Environment for Statistical Computing: R Foundation for Statistical Computing. Retrieved from </w:t>
      </w:r>
      <w:hyperlink r:id="rId18" w:history="1">
        <w:r w:rsidRPr="007F2DBC">
          <w:rPr>
            <w:rStyle w:val="Hyperlink"/>
          </w:rPr>
          <w:t>https://www.R-project.org/</w:t>
        </w:r>
      </w:hyperlink>
    </w:p>
    <w:p w14:paraId="581145F6" w14:textId="77777777" w:rsidR="007F2DBC" w:rsidRPr="007F2DBC" w:rsidRDefault="007F2DBC" w:rsidP="007F2DBC">
      <w:pPr>
        <w:pStyle w:val="EndNoteBibliography"/>
        <w:ind w:left="720" w:hanging="720"/>
      </w:pPr>
      <w:r w:rsidRPr="007F2DB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F2DBC">
        <w:rPr>
          <w:i/>
        </w:rPr>
        <w:t>The Lancet Respiratory Medicine, 5</w:t>
      </w:r>
      <w:r w:rsidRPr="007F2DBC">
        <w:t xml:space="preserve">(9), 691-706. </w:t>
      </w:r>
    </w:p>
    <w:p w14:paraId="3A463588" w14:textId="77777777" w:rsidR="007F2DBC" w:rsidRPr="007F2DBC" w:rsidRDefault="007F2DBC" w:rsidP="007F2DBC">
      <w:pPr>
        <w:pStyle w:val="EndNoteBibliography"/>
        <w:ind w:left="720" w:hanging="720"/>
      </w:pPr>
      <w:r w:rsidRPr="007F2DBC">
        <w:t xml:space="preserve">Tgavalekos, N. T., Musch, G., Harris, R., Melo, M. V., Winkler, T., Schroeder, T., Callahan, R., Lutchen, K., &amp; Venegas, J. (2007). Relationship between airway narrowing, patchy ventilation and lung mechanics in asthmatics. </w:t>
      </w:r>
      <w:r w:rsidRPr="007F2DBC">
        <w:rPr>
          <w:i/>
        </w:rPr>
        <w:t>European Respiratory Journal, 29</w:t>
      </w:r>
      <w:r w:rsidRPr="007F2DBC">
        <w:t xml:space="preserve">(6), 1174-1181. </w:t>
      </w:r>
    </w:p>
    <w:p w14:paraId="6CFD4FBE" w14:textId="77777777" w:rsidR="007F2DBC" w:rsidRPr="007F2DBC" w:rsidRDefault="007F2DBC" w:rsidP="007F2DBC">
      <w:pPr>
        <w:pStyle w:val="EndNoteBibliography"/>
        <w:ind w:left="720" w:hanging="720"/>
      </w:pPr>
      <w:r w:rsidRPr="007F2DBC">
        <w:t xml:space="preserve">Vienneau, D., De Hoogh, K., Bechle, M. J., Beelen, R., Van Donkelaar, A., Martin, R. V., Millet, D. B., Hoek, G., &amp; Marshall, J. D. (2013). Western European land use regression incorporating satellite-and ground-based measurements of NO2 and PM10. </w:t>
      </w:r>
      <w:r w:rsidRPr="007F2DBC">
        <w:rPr>
          <w:i/>
        </w:rPr>
        <w:t>Environmental science &amp; technology, 47</w:t>
      </w:r>
      <w:r w:rsidRPr="007F2DBC">
        <w:t xml:space="preserve">(23), 13555-13564. </w:t>
      </w:r>
    </w:p>
    <w:p w14:paraId="26979C30" w14:textId="77777777" w:rsidR="007F2DBC" w:rsidRPr="007F2DBC" w:rsidRDefault="007F2DBC" w:rsidP="007F2DBC">
      <w:pPr>
        <w:pStyle w:val="EndNoteBibliography"/>
        <w:ind w:left="720" w:hanging="720"/>
      </w:pPr>
      <w:r w:rsidRPr="007F2DBC">
        <w:t xml:space="preserve">Wenzel, S. E. (2012). Asthma phenotypes: the evolution from clinical to molecular approaches. </w:t>
      </w:r>
      <w:r w:rsidRPr="007F2DBC">
        <w:rPr>
          <w:i/>
        </w:rPr>
        <w:t>Nature medicine, 18</w:t>
      </w:r>
      <w:r w:rsidRPr="007F2DBC">
        <w:t xml:space="preserve">(5), 716. </w:t>
      </w:r>
    </w:p>
    <w:p w14:paraId="36D8A1D9" w14:textId="77777777" w:rsidR="007F2DBC" w:rsidRPr="007F2DBC" w:rsidRDefault="007F2DBC" w:rsidP="007F2DBC">
      <w:pPr>
        <w:pStyle w:val="EndNoteBibliography"/>
        <w:ind w:left="720" w:hanging="720"/>
      </w:pPr>
      <w:r w:rsidRPr="007F2DBC">
        <w:t xml:space="preserve">Wenzel, S. E., Barnes, P. J., Bleecker, E. R., Bousquet, J., Busse, W., Dahlén, S.-E., Holgate, S. T., Meyers, D. A., Rabe, K. F., &amp; Antczak, A. (2009). A randomized, double-blind, placebo-controlled study of tumor necrosis factor-α blockade in severe persistent asthma. </w:t>
      </w:r>
      <w:r w:rsidRPr="007F2DBC">
        <w:rPr>
          <w:i/>
        </w:rPr>
        <w:t>American journal of respiratory and critical care medicine, 179</w:t>
      </w:r>
      <w:r w:rsidRPr="007F2DBC">
        <w:t xml:space="preserve">(7), 549-558. </w:t>
      </w:r>
    </w:p>
    <w:p w14:paraId="555DDD96" w14:textId="0AB39586" w:rsidR="007F2DBC" w:rsidRPr="007F2DBC" w:rsidRDefault="007F2DBC" w:rsidP="007F2DBC">
      <w:pPr>
        <w:pStyle w:val="EndNoteBibliography"/>
        <w:ind w:left="720" w:hanging="720"/>
      </w:pPr>
      <w:r w:rsidRPr="007F2DBC">
        <w:t xml:space="preserve">WHO. (2005). </w:t>
      </w:r>
      <w:r w:rsidRPr="007F2DBC">
        <w:rPr>
          <w:i/>
        </w:rPr>
        <w:t>Air Quality Guidlines Global Update 2005</w:t>
      </w:r>
      <w:r w:rsidRPr="007F2DBC">
        <w:t xml:space="preserve">. Retrieved from </w:t>
      </w:r>
      <w:hyperlink r:id="rId19" w:history="1">
        <w:r w:rsidRPr="007F2DBC">
          <w:rPr>
            <w:rStyle w:val="Hyperlink"/>
          </w:rPr>
          <w:t>www.euro.who.int</w:t>
        </w:r>
      </w:hyperlink>
    </w:p>
    <w:p w14:paraId="123D1B6E" w14:textId="77777777" w:rsidR="007F2DBC" w:rsidRPr="007F2DBC" w:rsidRDefault="007F2DBC" w:rsidP="007F2DBC">
      <w:pPr>
        <w:pStyle w:val="EndNoteBibliography"/>
        <w:ind w:left="720" w:hanging="720"/>
      </w:pPr>
      <w:r w:rsidRPr="007F2DBC">
        <w:t xml:space="preserve">Winer, R. A., Qin, X., Harrington, T., Moorman, J., &amp; Zahran, H. (2012). Asthma incidence among children and adults: findings from the Behavioral Risk Factor Surveillance system asthma call-back survey—United States, 2006–2008. </w:t>
      </w:r>
      <w:r w:rsidRPr="007F2DBC">
        <w:rPr>
          <w:i/>
        </w:rPr>
        <w:t>Journal of Asthma, 49</w:t>
      </w:r>
      <w:r w:rsidRPr="007F2DBC">
        <w:t xml:space="preserve">(1), 16-22. </w:t>
      </w:r>
    </w:p>
    <w:p w14:paraId="6359C00A" w14:textId="3E295B70" w:rsidR="008E29F5" w:rsidRPr="00D47991" w:rsidRDefault="00B71F54" w:rsidP="007F2DB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Alotaibi, Raed" w:date="2019-06-12T12:32:00Z" w:initials="AR">
    <w:p w14:paraId="14D54301" w14:textId="77777777" w:rsidR="009665F9" w:rsidRDefault="009665F9">
      <w:pPr>
        <w:pStyle w:val="CommentText"/>
      </w:pPr>
      <w:r>
        <w:rPr>
          <w:rStyle w:val="CommentReference"/>
        </w:rPr>
        <w:annotationRef/>
      </w:r>
      <w:r>
        <w:t>Needs rewording.</w:t>
      </w:r>
    </w:p>
    <w:p w14:paraId="6D58B083" w14:textId="787397B2" w:rsidR="009665F9" w:rsidRDefault="009665F9">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9665F9" w:rsidRDefault="009665F9">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9665F9" w:rsidRDefault="009665F9">
      <w:pPr>
        <w:pStyle w:val="CommentText"/>
      </w:pPr>
      <w:r>
        <w:rPr>
          <w:rStyle w:val="CommentReference"/>
        </w:rPr>
        <w:annotationRef/>
      </w:r>
      <w:r>
        <w:t>Needs rewording</w:t>
      </w:r>
    </w:p>
  </w:comment>
  <w:comment w:id="25" w:author="Alotaibi, Raed" w:date="2019-07-09T10:58:00Z" w:initials="AR">
    <w:p w14:paraId="73A04260" w14:textId="58198792" w:rsidR="009665F9" w:rsidRDefault="009665F9">
      <w:pPr>
        <w:pStyle w:val="CommentText"/>
      </w:pPr>
      <w:r>
        <w:rPr>
          <w:rStyle w:val="CommentReference"/>
        </w:rPr>
        <w:annotationRef/>
      </w:r>
      <w:r>
        <w:t>Should move to R coding section</w:t>
      </w:r>
    </w:p>
    <w:p w14:paraId="6672E160" w14:textId="77777777" w:rsidR="009665F9" w:rsidRDefault="009665F9">
      <w:pPr>
        <w:pStyle w:val="CommentText"/>
      </w:pPr>
    </w:p>
  </w:comment>
  <w:comment w:id="26" w:author="Alotaibi, Raed" w:date="2019-06-12T13:29:00Z" w:initials="AR">
    <w:p w14:paraId="7E94592B" w14:textId="534F6334" w:rsidR="009665F9" w:rsidRDefault="009665F9">
      <w:pPr>
        <w:pStyle w:val="CommentText"/>
      </w:pPr>
      <w:r>
        <w:rPr>
          <w:rStyle w:val="CommentReference"/>
        </w:rPr>
        <w:annotationRef/>
      </w:r>
      <w:r>
        <w:t>Change to describe that air pollution concentrations were used as a surrogate of exposure.</w:t>
      </w:r>
    </w:p>
  </w:comment>
  <w:comment w:id="27" w:author="Raed Alotaibi" w:date="2019-06-25T15:39:00Z" w:initials="RA">
    <w:p w14:paraId="60CAF3C0" w14:textId="44865E95" w:rsidR="009665F9" w:rsidRDefault="009665F9">
      <w:pPr>
        <w:pStyle w:val="CommentText"/>
      </w:pPr>
      <w:r>
        <w:rPr>
          <w:rStyle w:val="CommentReference"/>
        </w:rPr>
        <w:annotationRef/>
      </w:r>
      <w:r>
        <w:t xml:space="preserve">LUR modeling as a means of exposure has been described above. Re-write to indicate the data sets we will be using. </w:t>
      </w:r>
    </w:p>
  </w:comment>
  <w:comment w:id="28" w:author="Raed Alotaibi" w:date="2019-07-05T12:40:00Z" w:initials="RA">
    <w:p w14:paraId="57E4A859" w14:textId="77777777" w:rsidR="009665F9" w:rsidRDefault="009665F9">
      <w:pPr>
        <w:pStyle w:val="CommentText"/>
      </w:pPr>
      <w:r>
        <w:rPr>
          <w:rStyle w:val="CommentReference"/>
        </w:rPr>
        <w:annotationRef/>
      </w:r>
      <w:r>
        <w:t>Add new diagram</w:t>
      </w:r>
    </w:p>
    <w:p w14:paraId="4B517AEF" w14:textId="0BCD23D7" w:rsidR="009665F9" w:rsidRDefault="009665F9">
      <w:pPr>
        <w:pStyle w:val="CommentText"/>
      </w:pPr>
    </w:p>
  </w:comment>
  <w:comment w:id="30" w:author="Alotaibi, Raed" w:date="2019-07-09T11:09:00Z" w:initials="AR">
    <w:p w14:paraId="7D5DBBCF" w14:textId="740A8D4B" w:rsidR="009665F9" w:rsidRDefault="009665F9">
      <w:pPr>
        <w:pStyle w:val="CommentText"/>
      </w:pPr>
      <w:r>
        <w:rPr>
          <w:rStyle w:val="CommentReference"/>
        </w:rPr>
        <w:annotationRef/>
      </w:r>
      <w:r>
        <w:t>The reason for the G is perhaps to convert the identifier form numeric to character format to prevent loss of left hand zeros when saving the data sets in multiple formats live CSV or others. (from my experience).</w:t>
      </w:r>
    </w:p>
    <w:p w14:paraId="53DB6CEE" w14:textId="74F3E059" w:rsidR="009665F9" w:rsidRDefault="009665F9">
      <w:pPr>
        <w:pStyle w:val="CommentText"/>
      </w:pPr>
    </w:p>
    <w:p w14:paraId="4AF2B5DC" w14:textId="3F457F24" w:rsidR="009665F9" w:rsidRDefault="009665F9">
      <w:pPr>
        <w:pStyle w:val="CommentText"/>
      </w:pPr>
      <w:r>
        <w:t>Althought the “G” letter does not play a role in the geographical identification of the census block identifier, it converts the code from a numerical to a character format preventing unwanted loss of left hand zeros when saving the data (from my experience)</w:t>
      </w:r>
    </w:p>
  </w:comment>
  <w:comment w:id="29" w:author="Alotaibi, Raed" w:date="2019-07-09T11:09:00Z" w:initials="AR">
    <w:p w14:paraId="46D2951F" w14:textId="0078DC99" w:rsidR="009665F9" w:rsidRDefault="009665F9">
      <w:pPr>
        <w:pStyle w:val="CommentText"/>
      </w:pPr>
      <w:r>
        <w:rPr>
          <w:rStyle w:val="CommentReference"/>
        </w:rPr>
        <w:annotationRef/>
      </w:r>
      <w:r>
        <w:t>Re-phrase, and add a true example for the census county identifier.</w:t>
      </w:r>
    </w:p>
  </w:comment>
  <w:comment w:id="33" w:author="Raed Alotaibi" w:date="2019-07-03T15:43:00Z" w:initials="RA">
    <w:p w14:paraId="75652A73" w14:textId="77777777" w:rsidR="009665F9" w:rsidRDefault="009665F9">
      <w:pPr>
        <w:pStyle w:val="CommentText"/>
      </w:pPr>
      <w:r>
        <w:rPr>
          <w:rStyle w:val="CommentReference"/>
        </w:rPr>
        <w:annotationRef/>
      </w:r>
      <w:r>
        <w:t>Move this to the methods section::</w:t>
      </w:r>
    </w:p>
    <w:p w14:paraId="3B14BA02" w14:textId="4FA7D917" w:rsidR="009665F9" w:rsidRDefault="009665F9">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6672E160" w15:done="0"/>
  <w15:commentEx w15:paraId="7E94592B" w15:done="0"/>
  <w15:commentEx w15:paraId="60CAF3C0" w15:done="0"/>
  <w15:commentEx w15:paraId="4B517AEF" w15:done="0"/>
  <w15:commentEx w15:paraId="4AF2B5DC" w15:done="0"/>
  <w15:commentEx w15:paraId="46D2951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A777F7" w14:textId="77777777" w:rsidR="00F25813" w:rsidRDefault="00F25813" w:rsidP="00762786">
      <w:r>
        <w:separator/>
      </w:r>
    </w:p>
  </w:endnote>
  <w:endnote w:type="continuationSeparator" w:id="0">
    <w:p w14:paraId="2073F594" w14:textId="77777777" w:rsidR="00F25813" w:rsidRDefault="00F25813"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28084B43" w:rsidR="009665F9" w:rsidRDefault="009665F9"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6955">
          <w:rPr>
            <w:noProof/>
          </w:rPr>
          <w:t>22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9665F9" w:rsidRDefault="009665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78E37" w14:textId="77777777" w:rsidR="00F25813" w:rsidRDefault="00F25813" w:rsidP="00762786">
      <w:r>
        <w:separator/>
      </w:r>
    </w:p>
  </w:footnote>
  <w:footnote w:type="continuationSeparator" w:id="0">
    <w:p w14:paraId="219572BE" w14:textId="77777777" w:rsidR="00F25813" w:rsidRDefault="00F25813"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9665F9" w:rsidRDefault="009665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9665F9" w:rsidRDefault="009665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15C6DC4"/>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Mq0FAIzq2BE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1&lt;/item&gt;&lt;item&gt;4&lt;/item&gt;&lt;item&gt;39&lt;/item&gt;&lt;item&gt;61&lt;/item&gt;&lt;item&gt;66&lt;/item&gt;&lt;item&gt;87&lt;/item&gt;&lt;item&gt;96&lt;/item&gt;&lt;item&gt;108&lt;/item&gt;&lt;item&gt;116&lt;/item&gt;&lt;item&gt;123&lt;/item&gt;&lt;item&gt;136&lt;/item&gt;&lt;item&gt;138&lt;/item&gt;&lt;item&gt;145&lt;/item&gt;&lt;item&gt;154&lt;/item&gt;&lt;item&gt;161&lt;/item&gt;&lt;item&gt;167&lt;/item&gt;&lt;item&gt;170&lt;/item&gt;&lt;item&gt;173&lt;/item&gt;&lt;item&gt;415&lt;/item&gt;&lt;item&gt;417&lt;/item&gt;&lt;item&gt;420&lt;/item&gt;&lt;item&gt;421&lt;/item&gt;&lt;item&gt;425&lt;/item&gt;&lt;item&gt;426&lt;/item&gt;&lt;item&gt;430&lt;/item&gt;&lt;item&gt;431&lt;/item&gt;&lt;item&gt;432&lt;/item&gt;&lt;item&gt;434&lt;/item&gt;&lt;item&gt;435&lt;/item&gt;&lt;item&gt;436&lt;/item&gt;&lt;item&gt;437&lt;/item&gt;&lt;item&gt;438&lt;/item&gt;&lt;item&gt;439&lt;/item&gt;&lt;item&gt;440&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E6E4D"/>
    <w:rsid w:val="000F1D9B"/>
    <w:rsid w:val="000F4F98"/>
    <w:rsid w:val="00107C60"/>
    <w:rsid w:val="00111D98"/>
    <w:rsid w:val="00112077"/>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469CA"/>
    <w:rsid w:val="00251721"/>
    <w:rsid w:val="002605DC"/>
    <w:rsid w:val="00265B7B"/>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63AA"/>
    <w:rsid w:val="00370F62"/>
    <w:rsid w:val="00376A2D"/>
    <w:rsid w:val="00383825"/>
    <w:rsid w:val="003848BB"/>
    <w:rsid w:val="00384A05"/>
    <w:rsid w:val="00385C7C"/>
    <w:rsid w:val="00387BF4"/>
    <w:rsid w:val="00392EC0"/>
    <w:rsid w:val="003965ED"/>
    <w:rsid w:val="003A5121"/>
    <w:rsid w:val="003A577F"/>
    <w:rsid w:val="003A5903"/>
    <w:rsid w:val="003B6920"/>
    <w:rsid w:val="003B7F59"/>
    <w:rsid w:val="003C2EA2"/>
    <w:rsid w:val="003C4B3F"/>
    <w:rsid w:val="003D15E1"/>
    <w:rsid w:val="003D2586"/>
    <w:rsid w:val="003D3307"/>
    <w:rsid w:val="003D3D14"/>
    <w:rsid w:val="003E065B"/>
    <w:rsid w:val="0040095C"/>
    <w:rsid w:val="00406A03"/>
    <w:rsid w:val="0041083F"/>
    <w:rsid w:val="00416978"/>
    <w:rsid w:val="004174F4"/>
    <w:rsid w:val="00420582"/>
    <w:rsid w:val="004212C6"/>
    <w:rsid w:val="0042138C"/>
    <w:rsid w:val="00431D54"/>
    <w:rsid w:val="004344C4"/>
    <w:rsid w:val="004356D5"/>
    <w:rsid w:val="00444D03"/>
    <w:rsid w:val="00445F56"/>
    <w:rsid w:val="004561CC"/>
    <w:rsid w:val="0046369F"/>
    <w:rsid w:val="00480F05"/>
    <w:rsid w:val="004A07C4"/>
    <w:rsid w:val="004A7B5C"/>
    <w:rsid w:val="004B0627"/>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3843"/>
    <w:rsid w:val="005542DE"/>
    <w:rsid w:val="00555498"/>
    <w:rsid w:val="005679BB"/>
    <w:rsid w:val="00573B69"/>
    <w:rsid w:val="005761B0"/>
    <w:rsid w:val="00576700"/>
    <w:rsid w:val="0058218F"/>
    <w:rsid w:val="00587BB7"/>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1EC1"/>
    <w:rsid w:val="006654AB"/>
    <w:rsid w:val="0067468E"/>
    <w:rsid w:val="00674B9B"/>
    <w:rsid w:val="00674FBB"/>
    <w:rsid w:val="00690488"/>
    <w:rsid w:val="00692BF7"/>
    <w:rsid w:val="006A05CF"/>
    <w:rsid w:val="006A55AE"/>
    <w:rsid w:val="006B571A"/>
    <w:rsid w:val="006C5E0D"/>
    <w:rsid w:val="006D00C2"/>
    <w:rsid w:val="006D0641"/>
    <w:rsid w:val="006E4573"/>
    <w:rsid w:val="006F1E88"/>
    <w:rsid w:val="006F4447"/>
    <w:rsid w:val="006F690D"/>
    <w:rsid w:val="00705A78"/>
    <w:rsid w:val="007067F4"/>
    <w:rsid w:val="00713F61"/>
    <w:rsid w:val="00716093"/>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C6F33"/>
    <w:rsid w:val="007D2BED"/>
    <w:rsid w:val="007E12E0"/>
    <w:rsid w:val="007E5CDE"/>
    <w:rsid w:val="007F2DBC"/>
    <w:rsid w:val="007F40DC"/>
    <w:rsid w:val="008005C4"/>
    <w:rsid w:val="008074FF"/>
    <w:rsid w:val="0081062F"/>
    <w:rsid w:val="00815AC2"/>
    <w:rsid w:val="00816C31"/>
    <w:rsid w:val="00816C73"/>
    <w:rsid w:val="008229DC"/>
    <w:rsid w:val="00833689"/>
    <w:rsid w:val="0083497B"/>
    <w:rsid w:val="00844A9D"/>
    <w:rsid w:val="00844EFC"/>
    <w:rsid w:val="00864DFC"/>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665F9"/>
    <w:rsid w:val="00975915"/>
    <w:rsid w:val="009759FD"/>
    <w:rsid w:val="00983851"/>
    <w:rsid w:val="0099713D"/>
    <w:rsid w:val="009A17D9"/>
    <w:rsid w:val="009B4A19"/>
    <w:rsid w:val="009B4D74"/>
    <w:rsid w:val="009C05A0"/>
    <w:rsid w:val="009C28FB"/>
    <w:rsid w:val="009C6A0E"/>
    <w:rsid w:val="009E2E2B"/>
    <w:rsid w:val="009E7709"/>
    <w:rsid w:val="00A00D56"/>
    <w:rsid w:val="00A0547D"/>
    <w:rsid w:val="00A137C9"/>
    <w:rsid w:val="00A24764"/>
    <w:rsid w:val="00A27869"/>
    <w:rsid w:val="00A335A2"/>
    <w:rsid w:val="00A36B43"/>
    <w:rsid w:val="00A37204"/>
    <w:rsid w:val="00A5639A"/>
    <w:rsid w:val="00A72D76"/>
    <w:rsid w:val="00A73626"/>
    <w:rsid w:val="00A74928"/>
    <w:rsid w:val="00A8392E"/>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37930"/>
    <w:rsid w:val="00B44F70"/>
    <w:rsid w:val="00B6121A"/>
    <w:rsid w:val="00B613C3"/>
    <w:rsid w:val="00B632FF"/>
    <w:rsid w:val="00B64EDF"/>
    <w:rsid w:val="00B67CC9"/>
    <w:rsid w:val="00B71F54"/>
    <w:rsid w:val="00B72BED"/>
    <w:rsid w:val="00B76457"/>
    <w:rsid w:val="00B8742E"/>
    <w:rsid w:val="00B9010C"/>
    <w:rsid w:val="00B93E0C"/>
    <w:rsid w:val="00B94DFC"/>
    <w:rsid w:val="00B977AC"/>
    <w:rsid w:val="00B97F56"/>
    <w:rsid w:val="00BA0DC5"/>
    <w:rsid w:val="00BB0692"/>
    <w:rsid w:val="00BB1608"/>
    <w:rsid w:val="00BB67E2"/>
    <w:rsid w:val="00BE2443"/>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156F2"/>
    <w:rsid w:val="00D27FAD"/>
    <w:rsid w:val="00D35264"/>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D6B75"/>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955"/>
    <w:rsid w:val="00E66E72"/>
    <w:rsid w:val="00E80D59"/>
    <w:rsid w:val="00E8581B"/>
    <w:rsid w:val="00E86779"/>
    <w:rsid w:val="00E8730D"/>
    <w:rsid w:val="00E87C3B"/>
    <w:rsid w:val="00E93464"/>
    <w:rsid w:val="00E9650B"/>
    <w:rsid w:val="00EA3052"/>
    <w:rsid w:val="00EB07C6"/>
    <w:rsid w:val="00EB339A"/>
    <w:rsid w:val="00EB6D07"/>
    <w:rsid w:val="00ED244E"/>
    <w:rsid w:val="00EE490E"/>
    <w:rsid w:val="00EE751D"/>
    <w:rsid w:val="00EF3A3D"/>
    <w:rsid w:val="00EF5FCD"/>
    <w:rsid w:val="00EF659D"/>
    <w:rsid w:val="00EF74D4"/>
    <w:rsid w:val="00F0136F"/>
    <w:rsid w:val="00F0579F"/>
    <w:rsid w:val="00F112D1"/>
    <w:rsid w:val="00F11FB7"/>
    <w:rsid w:val="00F14EC1"/>
    <w:rsid w:val="00F245D6"/>
    <w:rsid w:val="00F25813"/>
    <w:rsid w:val="00F35D57"/>
    <w:rsid w:val="00F360EB"/>
    <w:rsid w:val="00F415C0"/>
    <w:rsid w:val="00F51A91"/>
    <w:rsid w:val="00F725EB"/>
    <w:rsid w:val="00F93596"/>
    <w:rsid w:val="00FA0509"/>
    <w:rsid w:val="00FA1F27"/>
    <w:rsid w:val="00FA391A"/>
    <w:rsid w:val="00FA5066"/>
    <w:rsid w:val="00FA6B64"/>
    <w:rsid w:val="00FB2EF6"/>
    <w:rsid w:val="00FB6D47"/>
    <w:rsid w:val="00FB7F64"/>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60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https://www.R-project.org/"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arteehdata.org/l/s/TRAP-burden-of-childhood-asthma"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www.euro.who.in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D0E23-0D36-4307-8F67-B4DD07650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549</TotalTime>
  <Pages>32</Pages>
  <Words>16860</Words>
  <Characters>96106</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16</cp:revision>
  <cp:lastPrinted>2018-02-12T21:22:00Z</cp:lastPrinted>
  <dcterms:created xsi:type="dcterms:W3CDTF">2019-07-07T22:33:00Z</dcterms:created>
  <dcterms:modified xsi:type="dcterms:W3CDTF">2019-07-09T19:48:00Z</dcterms:modified>
</cp:coreProperties>
</file>