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NAS-AI Analysis Module Design Specification</w:t>
      </w:r>
    </w:p>
    <w:p>
      <w:r>
        <w:t>Draft Version 1.0</w:t>
        <w:br/>
      </w:r>
    </w:p>
    <w:p>
      <w:pPr>
        <w:pStyle w:val="Heading2"/>
      </w:pPr>
      <w:r>
        <w:t>1. Purpose</w:t>
      </w:r>
    </w:p>
    <w:p>
      <w:r>
        <w:t>The Analysis module is the investigation hub for NAS-AI. It supports FIX decoding, comparisons, lifecycle analysis, historical investigations, and future AI-assisted root cause analysis.</w:t>
      </w:r>
    </w:p>
    <w:p>
      <w:pPr>
        <w:pStyle w:val="Heading2"/>
      </w:pPr>
      <w:r>
        <w:t>2. Design Philosophy</w:t>
      </w:r>
    </w:p>
    <w:p>
      <w:r>
        <w:t>Investigation-centric; workspace-driven; preserve analyst context; progressive disclosure; AI augments the analyst rather than replacing judgement.</w:t>
      </w:r>
    </w:p>
    <w:p>
      <w:pPr>
        <w:pStyle w:val="Heading2"/>
      </w:pPr>
      <w:r>
        <w:t>3. UI Architecture</w:t>
      </w:r>
    </w:p>
    <w:p>
      <w:r>
        <w:t>Control Panel, Context / Selection, Working Windows, Reporting, and Investigation Workspace.</w:t>
      </w:r>
    </w:p>
    <w:p>
      <w:pPr>
        <w:pStyle w:val="Heading2"/>
      </w:pPr>
      <w:r>
        <w:t>4. Investigation Workspace</w:t>
      </w:r>
    </w:p>
    <w:p>
      <w:r>
        <w:t>Central object of the UI. Messages are collected into a workspace which determines Single, Pair Compare, or Multi-Message investigation mode. Current capacity: 10 messages.</w:t>
      </w:r>
    </w:p>
    <w:p>
      <w:pPr>
        <w:pStyle w:val="Heading2"/>
      </w:pPr>
      <w:r>
        <w:t>5. Analysis Modes</w:t>
      </w:r>
    </w:p>
    <w:p>
      <w:r>
        <w:t>Single Message, Pair Compare, Multi-Message Sequence. Future: automatic mode detection from workspace contents.</w:t>
      </w:r>
    </w:p>
    <w:p>
      <w:pPr>
        <w:pStyle w:val="Heading2"/>
      </w:pPr>
      <w:r>
        <w:t>6. Saved Analyses</w:t>
      </w:r>
    </w:p>
    <w:p>
      <w:r>
        <w:t>Persist sessions, save notes, decoded messages, metadata and decoded tags. Support reopening, editing notes and deletion.</w:t>
      </w:r>
    </w:p>
    <w:p>
      <w:pPr>
        <w:pStyle w:val="Heading2"/>
      </w:pPr>
      <w:r>
        <w:t>7. FIX Lifecycle</w:t>
      </w:r>
    </w:p>
    <w:p>
      <w:r>
        <w:t>Typical flow: New → Partial Fill → Filled. Also supports Cancel, Replace, Reject, Expired and related execution states.</w:t>
      </w:r>
    </w:p>
    <w:p>
      <w:pPr>
        <w:pStyle w:val="Heading2"/>
      </w:pPr>
      <w:r>
        <w:t>8. Status Colours</w:t>
      </w:r>
    </w:p>
    <w:p>
      <w:r>
        <w:t>Green = New/Filled; Amber = Partial Fill; Blue = Cancelled/Replaced; Red = Rejected; Grey = Unknown. Derived primarily from ExecType (150) and OrdStatus (39).</w:t>
      </w:r>
    </w:p>
    <w:p>
      <w:pPr>
        <w:pStyle w:val="Heading2"/>
      </w:pPr>
      <w:r>
        <w:t>9. Message Flags</w:t>
      </w:r>
    </w:p>
    <w:p>
      <w:r>
        <w:t>Future flags: Missing Required Tag, Unknown Enum, Invalid Enum, Dictionary Mismatch, Business Rule Violation, Lifecycle Regression, Duplicate Message, Cross-session Match, Sequence Gap.</w:t>
      </w:r>
    </w:p>
    <w:p>
      <w:pPr>
        <w:pStyle w:val="Heading2"/>
      </w:pPr>
      <w:r>
        <w:t>10. Comparison Logic</w:t>
      </w:r>
    </w:p>
    <w:p>
      <w:r>
        <w:t>Normalize FIX fields, compare business-relevant changes, suppress noise, highlight meaningful differences.</w:t>
      </w:r>
    </w:p>
    <w:p>
      <w:pPr>
        <w:pStyle w:val="Heading2"/>
      </w:pPr>
      <w:r>
        <w:t>11. Sequence Analysis</w:t>
      </w:r>
    </w:p>
    <w:p>
      <w:r>
        <w:t>Validate message ordering, lifecycle progression, timestamps, execution flow and anomalies.</w:t>
      </w:r>
    </w:p>
    <w:p>
      <w:pPr>
        <w:pStyle w:val="Heading2"/>
      </w:pPr>
      <w:r>
        <w:t>12. Cross-session Analysis</w:t>
      </w:r>
    </w:p>
    <w:p>
      <w:r>
        <w:t>Find related historical messages using identifiers and business context.</w:t>
      </w:r>
    </w:p>
    <w:p>
      <w:pPr>
        <w:pStyle w:val="Heading2"/>
      </w:pPr>
      <w:r>
        <w:t>13. AI Integration</w:t>
      </w:r>
    </w:p>
    <w:p>
      <w:r>
        <w:t>Future AI assistance for explanations, RCA, lifecycle summaries, anomaly detection and workspace-aware investigations.</w:t>
      </w:r>
    </w:p>
    <w:p>
      <w:pPr>
        <w:pStyle w:val="Heading2"/>
      </w:pPr>
      <w:r>
        <w:t>14. Future Roadmap</w:t>
      </w:r>
    </w:p>
    <w:p>
      <w:r>
        <w:t>Timeline view, drag-and-drop workspace, tag inspector, AI chat, Knowledge Graph integration, bookmarks and case management.</w:t>
      </w:r>
    </w:p>
    <w:p>
      <w:pPr>
        <w:pStyle w:val="Heading2"/>
      </w:pPr>
      <w:r>
        <w:t>15. Technical Architecture</w:t>
      </w:r>
    </w:p>
    <w:p>
      <w:r>
        <w:t>Separate Control, Context, Working Windows, Reporting and Investigation Workspace. The workspace becomes the source of truth for UI behaviour.</w:t>
      </w:r>
    </w:p>
    <w:p>
      <w:pPr>
        <w:pStyle w:val="Heading2"/>
      </w:pPr>
      <w:r>
        <w:t>16. Design Decisions</w:t>
      </w:r>
    </w:p>
    <w:p>
      <w:r>
        <w:t>Maintain an architectural decision log documenting major UI and workflow choices and the rationale behind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