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Response to the Handling Editor</w:t>
      </w:r>
    </w:p>
    <w:p>
      <w:pPr>
        <w:jc w:val="center"/>
      </w:pPr>
      <w:r>
        <w:rPr>
          <w:i/>
        </w:rPr>
        <w:t>Manuscript: Extending BlockSim with Energy and Carbon Footprint Modeling for Sustainable Blockchain Evaluation</w:t>
      </w:r>
    </w:p>
    <w:p>
      <w:r>
        <w:rPr>
          <w:b w:val="0"/>
          <w:i w:val="0"/>
        </w:rPr>
        <w:t>Dear Professor Pareschi,</w:t>
      </w:r>
    </w:p>
    <w:p>
      <w:r>
        <w:rPr>
          <w:b w:val="0"/>
          <w:i w:val="0"/>
        </w:rPr>
        <w:t>Thank you for your careful editorial assessment and for confirming that the scientific contribution and substantive revisions have been satisfactorily addressed. We have revised the manuscript comprehensively to resolve all remaining numerical, methodological-presentation, consistency, figure, and editorial issues. No new experiments or unsupported scientific claims have been introduced. All changes in the revised manuscript have been marked in red (RGB 255,0,0 / #FF0000) to facilitate editorial verification. A detailed point-by-point response is provided below; section and figure numbers refer to the revised clean manuscript (Manuscript_Final_Editor_Revision_Red.docx).</w:t>
      </w:r>
    </w:p>
    <w:p>
      <w:r>
        <w:rPr>
          <w:b/>
          <w:i w:val="0"/>
        </w:rPr>
        <w:t>Overarching reconciliation of the response letters.</w:t>
      </w:r>
    </w:p>
    <w:p>
      <w:r>
        <w:rPr>
          <w:b w:val="0"/>
          <w:i w:val="0"/>
        </w:rPr>
        <w:t>You noted that the response to Reviewer 1 (Bitcoin/Ethereum and "historical Ethereum-like PoW" framing removed) conflicts with the response to Reviewer 2 (Figures 1-3 kept unchanged). Following your instruction, we resolved the conflict in favour of Reviewer 1: the residual cryptocurrency framing has been removed, Figures 1-3 have been eliminated, the remaining figures generalised to PoW/PoS scenarios and renumbered, and this response report now reflects the final manuscript exactly (superseding the earlier reviewer letters where they diverge).</w:t>
      </w:r>
    </w:p>
    <w:p>
      <w:pPr>
        <w:pStyle w:val="Heading2"/>
      </w:pPr>
      <w:r>
        <w:t>Comment 1 - Remove residual Bitcoin/Ethereum and "historical Ethereum-like PoW" framing; generalise to PoW/PoS.</w:t>
      </w:r>
    </w:p>
    <w:p>
      <w:r>
        <w:rPr>
          <w:b/>
          <w:i w:val="0"/>
        </w:rPr>
        <w:t>Editor's comment:</w:t>
      </w:r>
    </w:p>
    <w:p>
      <w:pPr>
        <w:ind w:left="480"/>
      </w:pPr>
      <w:r>
        <w:rPr>
          <w:i/>
        </w:rPr>
        <w:t>Bitcoin/Ethereum still appeared in the Scope Statement, figure labels, and Results §A ("the Ethereum-labeled curve is a historical Ethereum-like PoW configuration").</w:t>
      </w:r>
    </w:p>
    <w:p>
      <w:r>
        <w:rPr>
          <w:b/>
          <w:i w:val="0"/>
        </w:rPr>
        <w:t>Response and exact action taken:</w:t>
      </w:r>
    </w:p>
    <w:p>
      <w:r>
        <w:t>Action taken:</w:t>
      </w:r>
    </w:p>
    <w:p>
      <w:r>
        <w:t>• The sentence identifying the "Ethereum-labelled curve" as a "historical Ethereum-like PoW configuration" was deleted from Results §A (Energy Consumption Analysis) together with the fixed-power scenario paragraphs that carried the Bitcoin/Ethereum labels.</w:t>
      </w:r>
    </w:p>
    <w:p>
      <w:r>
        <w:t>• The carbon figure (now Figure 4) was regenerated with generic legend labels "PoW scenario" and "PoS scenario" in place of "PoW BTC"/"PoS ETH".</w:t>
      </w:r>
    </w:p>
    <w:p>
      <w:r>
        <w:t>• All figure labels containing Bitcoin/Ethereum/BTC/ETH were removed with the deleted Figures 1-3 (which were the only figures carrying such labels).</w:t>
      </w:r>
    </w:p>
    <w:p>
      <w:r>
        <w:t>• A whole-manuscript search reduced Ethereum from 11 to 3 occurrences and Bitcoin from 8 to 6; every retained occurrence is a literature/historical reference (intro mention of Bitcoin's inception; the De Vries Merge citation in the Sybil-resistance subsection and the PoS results literature check; and reference titles). BTC/ETH: 0 occurrences. "Ethereum-like"/"historical Ethereum-like": 0.</w:t>
      </w:r>
    </w:p>
    <w:p>
      <w:r>
        <w:t>Location: Scope/Abstract; Results §A and §B; Figure 4; reference list. The Scope-Statement phrase "reference configurations (Bitcoin and Ethereum)" and the word "validate" were already absent from this manuscript version (0 occurrences), so no change was required there; this is documented in the audit report.</w:t>
      </w:r>
    </w:p>
    <w:p>
      <w:r>
        <w:rPr>
          <w:b w:val="0"/>
          <w:i/>
        </w:rPr>
        <w:t>Marked in red in the manuscript: Yes (all inserted/replacement text; deletions removed from the clean copy and recorded in the change log).</w:t>
      </w:r>
    </w:p>
    <w:p>
      <w:pPr>
        <w:pStyle w:val="Heading2"/>
      </w:pPr>
      <w:r>
        <w:t>Comment 2 - Replace overstated "validate" language with scenario-based/sanity-check wording.</w:t>
      </w:r>
    </w:p>
    <w:p>
      <w:r>
        <w:rPr>
          <w:b/>
          <w:i w:val="0"/>
        </w:rPr>
        <w:t>Editor's comment:</w:t>
      </w:r>
    </w:p>
    <w:p>
      <w:pPr>
        <w:ind w:left="480"/>
      </w:pPr>
      <w:r>
        <w:rPr>
          <w:i/>
        </w:rPr>
        <w:t>The Scope Statement previously used "We validate the framework...".</w:t>
      </w:r>
    </w:p>
    <w:p>
      <w:r>
        <w:rPr>
          <w:b/>
          <w:i w:val="0"/>
        </w:rPr>
        <w:t>Response and exact action taken:</w:t>
      </w:r>
    </w:p>
    <w:p>
      <w:r>
        <w:t>Action taken: The current manuscript version already contains no occurrence of "validate" (verified: 0 occurrences). The framework is described as a "scenario-based evaluation tool for preliminary what-if analysis rather than a precise real-world energy estimator" (Abstract), and the sanity checks are reported as an "analytical sanity check" reproducing E = P·T (Results §A). The three remaining occurrences of "validation" are the standard terms "internal/external/construct validity" and "block validation", not claims of empirical validation. No weakening of accurately supported statements was made. Location: Abstract; Results §A; Threats to Validity.</w:t>
      </w:r>
    </w:p>
    <w:p>
      <w:r>
        <w:rPr>
          <w:b w:val="0"/>
          <w:i/>
        </w:rPr>
        <w:t>Marked in red in the manuscript: Yes (all inserted/replacement text; deletions removed from the clean copy and recorded in the change log).</w:t>
      </w:r>
    </w:p>
    <w:p>
      <w:pPr>
        <w:pStyle w:val="Heading2"/>
      </w:pPr>
      <w:r>
        <w:t>Comment 3 - Reconcile the inconsistent 1000-miner energy values (6092.25 / 6919 / 6934.13 kWh; 83.84 / 79.79 kWh).</w:t>
      </w:r>
    </w:p>
    <w:p>
      <w:r>
        <w:rPr>
          <w:b/>
          <w:i w:val="0"/>
        </w:rPr>
        <w:t>Editor's comment:</w:t>
      </w:r>
    </w:p>
    <w:p>
      <w:pPr>
        <w:ind w:left="480"/>
      </w:pPr>
      <w:r>
        <w:rPr>
          <w:i/>
        </w:rPr>
        <w:t>The 1000-miner high-throughput total appeared as 6092.25 kWh (Fig. 1), 6919 kWh (Fig. 3), and 6934.13 kWh (text); the baseline as 83.84 kWh (text/Fig. 1) vs 79.79 kWh (Fig. 3).</w:t>
      </w:r>
    </w:p>
    <w:p>
      <w:r>
        <w:rPr>
          <w:b/>
          <w:i w:val="0"/>
        </w:rPr>
        <w:t>Response and exact action taken:</w:t>
      </w:r>
    </w:p>
    <w:p>
      <w:r>
        <w:t>Response: We audited the source of every value. The three high-throughput values and the two baseline values are single-seed, event-based realisations of the naive fixed-power simulation over a 10,000 s horizon, sampled at block timestamps: 6092.25 kWh is the Ethereum-1000 end-point of the multi-series Figure 1; 6919 kWh is the Ethereum-1000 end-point of the pairwise Figure 3; 6934.13 kWh is the corresponding EnergyLog total quoted in the text; 83.84 kWh and 79.79 kWh are the matching Bitcoin-1000 end-points of Figures 1 and 3. They disagree because each is a separate stochastic run (differing block counts/timestamps), none averaged, and they are reported over a 10,000 s horizon that is inconsistent with the 24 h horizon of the economic model.</w:t>
      </w:r>
    </w:p>
    <w:p>
      <w:r>
        <w:t>Action taken: Per your preferred option, the fixed-power miner-count results were removed rather than reconciled to one arbitrary value: they were the sole source of the inconsistency, they are redundant now that the economic PoW model carries the energy-versus-scale story, and they contradict the economic model. Consequently 6092.25, 6919, 6934.13, 83.84, and 79.79 kWh no longer appear anywhere in the manuscript (verified: 0 occurrences each), and the same applies to the fixed-power carbon totals (1.75/37.31/154.28/3085.69 kg). The energy results now reported are the economic-model values, which are mutually consistent across text, table, and figures and verified against the released CSV outputs: PoW network energy ≈ 467.5 GWh/24 h (95% CI ± 17.1 GWh), invariant across 50-1000 miners; 155.8 → 779.1 GWh for 20,000 → 100,000 USD/coin.</w:t>
      </w:r>
    </w:p>
    <w:p>
      <w:r>
        <w:t>Location: Results §A (Energy) and §B (Carbon); Figures 1-4; Discussion §A.</w:t>
      </w:r>
    </w:p>
    <w:p>
      <w:r>
        <w:rPr>
          <w:b w:val="0"/>
          <w:i/>
        </w:rPr>
        <w:t>Marked in red in the manuscript: Yes (all inserted/replacement text; deletions removed from the clean copy and recorded in the change log).</w:t>
      </w:r>
    </w:p>
    <w:p>
      <w:pPr>
        <w:pStyle w:val="Heading2"/>
      </w:pPr>
      <w:r>
        <w:t>Comment 4 - Wall off (or remove) the fixed-power/miner-count model; do not compare across 10,000 s vs 24 h horizons.</w:t>
      </w:r>
    </w:p>
    <w:p>
      <w:r>
        <w:rPr>
          <w:b/>
          <w:i w:val="0"/>
        </w:rPr>
        <w:t>Editor's comment:</w:t>
      </w:r>
    </w:p>
    <w:p>
      <w:pPr>
        <w:ind w:left="480"/>
      </w:pPr>
      <w:r>
        <w:rPr>
          <w:i/>
        </w:rPr>
        <w:t>Results §A stated network energy is "essentially invariant across 50-1000 miners" yet reported fixed-power totals that scale with miner count, at a different horizon.</w:t>
      </w:r>
    </w:p>
    <w:p>
      <w:r>
        <w:rPr>
          <w:b/>
          <w:i w:val="0"/>
        </w:rPr>
        <w:t>Response and exact action taken:</w:t>
      </w:r>
    </w:p>
    <w:p>
      <w:r>
        <w:t>Action taken: The fixed-power/miner-count presentation was removed from the Results. Results §A now reports only the economic PoW model (invariant to miner count), the validator-count PoS model, and communication energy, all on a single 24 h horizon. The naive fixed-power picture is retained only as an explicitly labelled conceptual contrast in Discussion §A ("a naïve fixed-power baseline ... not a network-level estimate") and as a clearly-flagged "fixed-power contrast baseline" row in the new Table 1. A model-comparison table is included in the audit report. All results are now reported at the common 24 h horizon, eliminating the 10,000 s vs 24 h comparison. Location: Results §A; Discussion §A; Table 1.</w:t>
      </w:r>
    </w:p>
    <w:p>
      <w:r>
        <w:rPr>
          <w:b w:val="0"/>
          <w:i/>
        </w:rPr>
        <w:t>Marked in red in the manuscript: Yes (all inserted/replacement text; deletions removed from the clean copy and recorded in the change log).</w:t>
      </w:r>
    </w:p>
    <w:p>
      <w:pPr>
        <w:pStyle w:val="Heading2"/>
      </w:pPr>
      <w:r>
        <w:t>Comment 5 - Eliminate Figures 2 and 3 and simplify/replace Figure 1.</w:t>
      </w:r>
    </w:p>
    <w:p>
      <w:r>
        <w:rPr>
          <w:b/>
          <w:i w:val="0"/>
        </w:rPr>
        <w:t>Editor's comment:</w:t>
      </w:r>
    </w:p>
    <w:p>
      <w:pPr>
        <w:ind w:left="480"/>
      </w:pPr>
      <w:r>
        <w:rPr>
          <w:i/>
        </w:rPr>
        <w:t>Figures 1-3 used linear axes that compress the smaller series and side-by-side panels on different y-scales.</w:t>
      </w:r>
    </w:p>
    <w:p>
      <w:r>
        <w:rPr>
          <w:b/>
          <w:i w:val="0"/>
        </w:rPr>
        <w:t>Response and exact action taken:</w:t>
      </w:r>
    </w:p>
    <w:p>
      <w:r>
        <w:t>Action taken: Figures 1, 2 and 3 (the misleading crypto-labelled, linear, event-based overlays) were deleted in full - images, caption boxes, in-text references, and the two duplicated "step density" paragraphs that only discussed them. Figure 1 was removed rather than replaced, because the energy-versus-scale relationship is now carried by the economic-PoW and PoS figures. The four remaining figures were renumbered 4→1, 5→2, 6→3, 7→4; all use log axes or error-bar panels appropriate to their magnitude ranges. Every in-text figure reference and each caption number was updated and manually verified (references now point only to Figures 1-4; no reference to Figures 5-7 remains). Location: Results §A, §B; Figures 1-4.</w:t>
      </w:r>
    </w:p>
    <w:p>
      <w:r>
        <w:rPr>
          <w:b w:val="0"/>
          <w:i/>
        </w:rPr>
        <w:t>Marked in red in the manuscript: Yes (all inserted/replacement text; deletions removed from the clean copy and recorded in the change log).</w:t>
      </w:r>
    </w:p>
    <w:p>
      <w:pPr>
        <w:pStyle w:val="Heading2"/>
      </w:pPr>
      <w:r>
        <w:t>Comment 6 - Add a consolidated experimental-parameters table.</w:t>
      </w:r>
    </w:p>
    <w:p>
      <w:r>
        <w:rPr>
          <w:b/>
          <w:i w:val="0"/>
        </w:rPr>
        <w:t>Editor's comment:</w:t>
      </w:r>
    </w:p>
    <w:p>
      <w:pPr>
        <w:ind w:left="480"/>
      </w:pPr>
      <w:r>
        <w:rPr>
          <w:i/>
        </w:rPr>
        <w:t>Parameters (κ, C_elec, coin-price range, per-miner wattage, block intervals, γ values, validator power, peer degree, block size, network sizes, seed count, horizon) were scattered through the prose.</w:t>
      </w:r>
    </w:p>
    <w:p>
      <w:r>
        <w:rPr>
          <w:b/>
          <w:i w:val="0"/>
        </w:rPr>
        <w:t>Response and exact action taken:</w:t>
      </w:r>
    </w:p>
    <w:p>
      <w:r>
        <w:t>Action taken: A new Table 1 (Consolidated experimental parameters) was added at the start of the Experimental Setup, with columns Parameter, Symbol, Value/range, Unit, Model/scenario, Type (deterministic input / swept / stochastic), and Source/justification. It separates economic-PoW, fixed-power-baseline, PoS, communication, and carbon parameters, marks author-selected values as assumptions, and cites externally sourced values ([6],[11],[13],[14]). Every value was verified against the released code, CSVs, and equations. Because the table is new, all of its content is red. Location: Experimental Setup, Table 1.</w:t>
      </w:r>
    </w:p>
    <w:p>
      <w:r>
        <w:rPr>
          <w:b w:val="0"/>
          <w:i/>
        </w:rPr>
        <w:t>Marked in red in the manuscript: Yes (all inserted/replacement text; deletions removed from the clean copy and recorded in the change log).</w:t>
      </w:r>
    </w:p>
    <w:p>
      <w:pPr>
        <w:pStyle w:val="Heading2"/>
      </w:pPr>
      <w:r>
        <w:t>Comment 7 - Specify the source of randomness behind the 30-seed confidence intervals.</w:t>
      </w:r>
    </w:p>
    <w:p>
      <w:r>
        <w:rPr>
          <w:b/>
          <w:i w:val="0"/>
        </w:rPr>
        <w:t>Editor's comment:</w:t>
      </w:r>
    </w:p>
    <w:p>
      <w:pPr>
        <w:ind w:left="480"/>
      </w:pPr>
      <w:r>
        <w:rPr>
          <w:i/>
        </w:rPr>
        <w:t>The economic-PoW and PoS quantities are deterministic (fixed-power configurations reproduce E = P·T exactly), so the inputs varying across seeds must be stated.</w:t>
      </w:r>
    </w:p>
    <w:p>
      <w:r>
        <w:rPr>
          <w:b/>
          <w:i w:val="0"/>
        </w:rPr>
        <w:t>Response and exact action taken:</w:t>
      </w:r>
    </w:p>
    <w:p>
      <w:r>
        <w:t>Action taken: A new subsection "E. Randomness, Replications, and Confidence-Interval Construction" was added to the Experimental Setup. It states that the energy equations are deterministic and that the 30-seed intervals arise from verified scenario-level stochasticity: for PoW, a Poisson draw of the block count and Gaussian jitter on coin price (±5%) and transaction fees (±40%), with Dirichlet hashpower shares; for PoS, Gaussian jitter on per-validator power (±10%) and uptime (±1%). Purely deterministic quantities (the E = P·T sanity check) are reported as exact values without confidence intervals. These sources are all present in the released code (Models/Energy/scenarios.py). Location: Experimental Setup §E; Results §A.</w:t>
      </w:r>
    </w:p>
    <w:p>
      <w:r>
        <w:rPr>
          <w:b w:val="0"/>
          <w:i/>
        </w:rPr>
        <w:t>Marked in red in the manuscript: Yes (all inserted/replacement text; deletions removed from the clean copy and recorded in the change log).</w:t>
      </w:r>
    </w:p>
    <w:p>
      <w:pPr>
        <w:pStyle w:val="Heading2"/>
      </w:pPr>
      <w:r>
        <w:t>Comment 8 - Reconcile Threats to Validity with the new γ-sensitivity analysis.</w:t>
      </w:r>
    </w:p>
    <w:p>
      <w:r>
        <w:rPr>
          <w:b/>
          <w:i w:val="0"/>
        </w:rPr>
        <w:t>Editor's comment:</w:t>
      </w:r>
    </w:p>
    <w:p>
      <w:pPr>
        <w:ind w:left="480"/>
      </w:pPr>
      <w:r>
        <w:rPr>
          <w:i/>
        </w:rPr>
        <w:t>The Threats to Validity paragraph still described a fixed emission factor as a limitation, contradicting the three-scenario γ analysis.</w:t>
      </w:r>
    </w:p>
    <w:p>
      <w:r>
        <w:rPr>
          <w:b/>
          <w:i w:val="0"/>
        </w:rPr>
        <w:t>Response and exact action taken:</w:t>
      </w:r>
    </w:p>
    <w:p>
      <w:r>
        <w:t>Action taken: That paragraph was rewritten to state that the analysis evaluates three discrete emission-factor scenarios which nonetheless do not capture the full temporal/geographical variability of grid carbon intensity or real-time/marginal emissions, so carbon estimates are scenario-based comparisons rather than location-specific measurements. This is now consistent with the matching statement in "Additional limitations" (item three). Location: Threats to Validity.</w:t>
      </w:r>
    </w:p>
    <w:p>
      <w:r>
        <w:rPr>
          <w:b w:val="0"/>
          <w:i/>
        </w:rPr>
        <w:t>Marked in red in the manuscript: Yes (all inserted/replacement text; deletions removed from the clean copy and recorded in the change log).</w:t>
      </w:r>
    </w:p>
    <w:p>
      <w:pPr>
        <w:pStyle w:val="Heading2"/>
      </w:pPr>
      <w:r>
        <w:t>Comment 9 - Remove duplicated/obsolete/placeholder text.</w:t>
      </w:r>
    </w:p>
    <w:p>
      <w:r>
        <w:rPr>
          <w:b/>
          <w:i w:val="0"/>
        </w:rPr>
        <w:t>Editor's comment:</w:t>
      </w:r>
    </w:p>
    <w:p>
      <w:pPr>
        <w:ind w:left="480"/>
      </w:pPr>
      <w:r>
        <w:rPr>
          <w:i/>
        </w:rPr>
        <w:t>Items flagged: two near-identical "step density" paragraphs; the APC funding placeholder; the truncated Generative-AI-disclosure sentence; "[21][21]" in the reference list; and "PoW. PoW" in the keywords.</w:t>
      </w:r>
    </w:p>
    <w:p>
      <w:r>
        <w:rPr>
          <w:b/>
          <w:i w:val="0"/>
        </w:rPr>
        <w:t>Response and exact action taken:</w:t>
      </w:r>
    </w:p>
    <w:p>
      <w:r>
        <w:t>Action taken:</w:t>
      </w:r>
    </w:p>
    <w:p>
      <w:r>
        <w:t>• Step density: both duplicated paragraphs were removed (they discussed only the deleted event-based Figure 1); 0 occurrences remain.</w:t>
      </w:r>
    </w:p>
    <w:p>
      <w:r>
        <w:t>• APC placeholder ("Raed S. Rasheed will pay the total of APC..."): already absent from this manuscript version (0 occurrences); documented in the audit.</w:t>
      </w:r>
    </w:p>
    <w:p>
      <w:r>
        <w:t>• Reference 21: the manually-typed "[21]" prefix was removed so Word's automatic numbering is not duplicated; a stray "]" prefix on reference 15 was also removed.</w:t>
      </w:r>
    </w:p>
    <w:p>
      <w:r>
        <w:t>• Keywords: "PoW. PoW" corrected to "PoW, PoS" with a consistent comma separator.</w:t>
      </w:r>
    </w:p>
    <w:p>
      <w:r>
        <w:t>• Generative-AI disclosure: no Generative-AI disclosure section exists in this manuscript version, so there was no truncated sentence to repair; this is flagged in the audit report as requiring author confirmation if the target journal mandates such a statement.</w:t>
      </w:r>
    </w:p>
    <w:p>
      <w:r>
        <w:t>Location: Results §A; Introduction; Keywords; Reference list.</w:t>
      </w:r>
    </w:p>
    <w:p>
      <w:r>
        <w:rPr>
          <w:b w:val="0"/>
          <w:i/>
        </w:rPr>
        <w:t>Marked in red in the manuscript: Yes (all inserted/replacement text; deletions removed from the clean copy and recorded in the change log).</w:t>
      </w:r>
    </w:p>
    <w:p>
      <w:pPr>
        <w:pStyle w:val="Heading2"/>
      </w:pPr>
      <w:r>
        <w:t>Closing</w:t>
      </w:r>
    </w:p>
    <w:p>
      <w:r>
        <w:rPr>
          <w:b w:val="0"/>
          <w:i w:val="0"/>
        </w:rPr>
        <w:t>All changes made in the revised manuscript have been marked in red to facilitate editorial verification. Unchanged text has been retained in its original formatting, while deleted material has been removed from the clean manuscript and documented in the accompanying change log (Revision_Change_Log.xlsx) and internal audit (Final_Consistency_Numerical_and_Red_Text_Audit.docx). We are happy to make any further adjustments you require.</w:t>
      </w:r>
    </w:p>
    <w:p>
      <w:r>
        <w:rPr>
          <w:b w:val="0"/>
          <w:i w:val="0"/>
        </w:rPr>
      </w:r>
    </w:p>
    <w:p>
      <w:r>
        <w:rPr>
          <w:b w:val="0"/>
          <w:i w:val="0"/>
        </w:rPr>
        <w:t>Kind regards,</w:t>
      </w:r>
    </w:p>
    <w:p>
      <w:r>
        <w:rPr>
          <w:b w:val="0"/>
          <w:i w:val="0"/>
        </w:rPr>
        <w:t>Raed S. Rasheed and Aiman A. AbuSamra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