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to Reviewers (Conservative Revision)</w:t>
      </w:r>
    </w:p>
    <w:p>
      <w:r>
        <w:rPr>
          <w:b/>
        </w:rPr>
        <w:t>Manuscript:</w:t>
      </w:r>
      <w:r>
        <w:t xml:space="preserve"> Extending BlockSim with Energy and Carbon Footprint Modeling for Sustainable Blockchain Evaluation</w:t>
      </w:r>
    </w:p>
    <w:p>
      <w:r>
        <w:rPr>
          <w:b/>
        </w:rPr>
        <w:t>Authors:</w:t>
      </w:r>
      <w:r>
        <w:t xml:space="preserve"> Raed S. Rasheed, Aiman A. AbuSamra</w:t>
      </w:r>
    </w:p>
    <w:p>
      <w:r>
        <w:t>We thank both reviewers. In line with a conservative revision, we retained the</w:t>
      </w:r>
    </w:p>
    <w:p>
      <w:r>
        <w:t>original manuscript structure, headings, numbering, figure style, and reference</w:t>
      </w:r>
    </w:p>
    <w:p>
      <w:r>
        <w:t xml:space="preserve">style, and </w:t>
      </w:r>
      <w:r>
        <w:rPr>
          <w:b/>
        </w:rPr>
        <w:t>added the reviewer-requested content as targeted insertions</w:t>
      </w:r>
      <w:r>
        <w:t>. In</w:t>
      </w:r>
    </w:p>
    <w:p>
      <w:r>
        <w:t xml:space="preserve">the revised DOCX, </w:t>
      </w:r>
      <w:r>
        <w:rPr>
          <w:b/>
        </w:rPr>
        <w:t>all new or changed text is shown in red</w:t>
      </w:r>
      <w:r>
        <w:t xml:space="preserve"> for easy</w:t>
      </w:r>
    </w:p>
    <w:p>
      <w:r>
        <w:t>identification. Below we respond point by point; locations refer to the existing</w:t>
      </w:r>
    </w:p>
    <w:p>
      <w:r>
        <w:t>section names (no sections were renumbered). Reported numbers are scenario-based</w:t>
      </w:r>
    </w:p>
    <w:p>
      <w:r>
        <w:t>model outputs produced by the released experiment scripts.</w:t>
      </w:r>
    </w:p>
    <w:p>
      <w:pPr>
        <w:pStyle w:val="Heading1"/>
      </w:pPr>
      <w:r>
        <w:t>Reviewer 1</w:t>
      </w:r>
    </w:p>
    <w:p>
      <w:r>
        <w:rPr>
          <w:b/>
        </w:rPr>
        <w:t>R1.1 — PoW energy is economically driven (price/reward).</w:t>
      </w:r>
    </w:p>
    <w:p>
      <w:r>
        <w:t>Response: Agreed. Revision made: added a red clarification in the Introduction</w:t>
      </w:r>
    </w:p>
    <w:p>
      <w:r>
        <w:t>and a new red subsection "D. Proof-of-Work Economic Energy Model" in the Energy</w:t>
      </w:r>
    </w:p>
    <w:p>
      <w:r>
        <w:t>Consumption Modeling section, where the expected reward R=(B+F)·P and the</w:t>
      </w:r>
    </w:p>
    <w:p>
      <w:r>
        <w:t>economic budget E_budget=κ·R/C_elec make coin price, subsidy, fees, and</w:t>
      </w:r>
    </w:p>
    <w:p>
      <w:r>
        <w:t>electricity price explicit; Results §A reports that the network total is</w:t>
      </w:r>
    </w:p>
    <w:p>
      <w:r>
        <w:t>invariant to miner count and scales with coin price. Location: Introduction;</w:t>
      </w:r>
    </w:p>
    <w:p>
      <w:r>
        <w:t>Energy Modeling §D; Results §A; Figures 4.</w:t>
      </w:r>
    </w:p>
    <w:p>
      <w:r>
        <w:rPr>
          <w:b/>
        </w:rPr>
        <w:t>R1.2 — Ethereum is no longer PoW; cite De Vries 2022.</w:t>
      </w:r>
    </w:p>
    <w:p>
      <w:r>
        <w:t>Response: Corrected. Revision made: red statements that Ethereum moved to PoS at</w:t>
      </w:r>
    </w:p>
    <w:p>
      <w:r>
        <w:t>The Merge (Sept 2022) appear in the Introduction, Experimental Setup §B, Results</w:t>
      </w:r>
    </w:p>
    <w:p>
      <w:r>
        <w:t>§A, and Threats to Validity; reference [21] (De Vries, Patterns, DOI</w:t>
      </w:r>
    </w:p>
    <w:p>
      <w:r>
        <w:t>10.1016/j.patter.2022.100633) added. Location: Introduction; §B; Results;</w:t>
      </w:r>
    </w:p>
    <w:p>
      <w:r>
        <w:t>References [21].</w:t>
      </w:r>
    </w:p>
    <w:p>
      <w:r>
        <w:rPr>
          <w:b/>
        </w:rPr>
        <w:t>R1.3 — Model PoW and PoS as two distinct models.</w:t>
      </w:r>
    </w:p>
    <w:p>
      <w:r>
        <w:t>Response: Done. Revision made: red subsection "D. Proof-of-Work Economic Energy</w:t>
      </w:r>
    </w:p>
    <w:p>
      <w:r>
        <w:t>Model" and red subsection "E. Proof-of-Stake Validator Energy Model"</w:t>
      </w:r>
    </w:p>
    <w:p>
      <w:r>
        <w:t>(E_PoS=Σ(P_v·T·u_v)/1000+E_comm) added; PoS results and Figure 5 added. Cites</w:t>
      </w:r>
    </w:p>
    <w:p>
      <w:r>
        <w:t>Sedlmeir [16] and Platt et al. [19]. Location: Energy Modeling §D, §E; Results</w:t>
      </w:r>
    </w:p>
    <w:p>
      <w:r>
        <w:t>§A; Figure 5.</w:t>
      </w:r>
    </w:p>
    <w:p>
      <w:r>
        <w:rPr>
          <w:b/>
        </w:rPr>
        <w:t>R1.4 — Permissionlessness, Sybil resistance, freeness; cite Platt/Platt/McBurney 2024.</w:t>
      </w:r>
    </w:p>
    <w:p>
      <w:r>
        <w:t>Response: Added. Revision made: new red subsection "Energy, Permissionlessness,</w:t>
      </w:r>
    </w:p>
    <w:p>
      <w:r>
        <w:t>and Sybil Resistance" in Background, discussing PoW vs PoS, freeness/cost, and</w:t>
      </w:r>
    </w:p>
    <w:p>
      <w:r>
        <w:t>the Sybil-attack vulnerability trilemma, citing [16], [4], [19], [20], [8].</w:t>
      </w:r>
    </w:p>
    <w:p>
      <w:r>
        <w:t>Location: Background &amp; Related Work.</w:t>
      </w:r>
    </w:p>
    <w:p>
      <w:pPr>
        <w:pStyle w:val="Heading1"/>
      </w:pPr>
      <w:r>
        <w:t>Reviewer 2</w:t>
      </w:r>
    </w:p>
    <w:p>
      <w:r>
        <w:rPr>
          <w:b/>
        </w:rPr>
        <w:t>R2.1 — Position as preliminary scenario-based tool, not precise estimator.</w:t>
      </w:r>
    </w:p>
    <w:p>
      <w:r>
        <w:t>Response: Done. Revision made: red statements in the Abstract, Results §A, and</w:t>
      </w:r>
    </w:p>
    <w:p>
      <w:r>
        <w:t>Threats to Validity that absolute values are scenario-based model outputs, not</w:t>
      </w:r>
    </w:p>
    <w:p>
      <w:r>
        <w:t>real-world measurements. Location: Abstract; Results; Threats.</w:t>
      </w:r>
    </w:p>
    <w:p>
      <w:r>
        <w:rPr>
          <w:b/>
        </w:rPr>
        <w:t>R2.2 — γ sensitivity.</w:t>
      </w:r>
    </w:p>
    <w:p>
      <w:r>
        <w:t>Response: Added. Revision made: red paragraph in Carbon Footprint Modeling §A</w:t>
      </w:r>
    </w:p>
    <w:p>
      <w:r>
        <w:t>defining low/average/high γ; red γ-sensitivity results paragraph and Figure 7</w:t>
      </w:r>
    </w:p>
    <w:p>
      <w:r>
        <w:t>in Carbon Footprint Analysis. Location: Carbon Modeling §A; Carbon Analysis;</w:t>
      </w:r>
    </w:p>
    <w:p>
      <w:r>
        <w:t>Figure 7.</w:t>
      </w:r>
    </w:p>
    <w:p>
      <w:r>
        <w:rPr>
          <w:b/>
        </w:rPr>
        <w:t>R2.3 — Mining difficulty / hashrate dynamics.</w:t>
      </w:r>
    </w:p>
    <w:p>
      <w:r>
        <w:t>Response: Added as parameters/hooks. Revision made: red text in Energy Modeling</w:t>
      </w:r>
    </w:p>
    <w:p>
      <w:r>
        <w:t>§D introduces H_block=D·2^32, ε_hash, and difficulty/hashrate dependence; the</w:t>
      </w:r>
    </w:p>
    <w:p>
      <w:r>
        <w:t>code exposes difficulty, network hashrate, and an optional retargeting routine.</w:t>
      </w:r>
    </w:p>
    <w:p>
      <w:r>
        <w:t>Location: Energy Modeling §D.</w:t>
      </w:r>
    </w:p>
    <w:p>
      <w:r>
        <w:rPr>
          <w:b/>
        </w:rPr>
        <w:t>R2.4 — Seeds, replications, standard deviation, 95% CI.</w:t>
      </w:r>
    </w:p>
    <w:p>
      <w:r>
        <w:t>Response: Done. Revision made: red replacement in Experimental Setup §D — 30</w:t>
      </w:r>
    </w:p>
    <w:p>
      <w:r>
        <w:t>independent seeds (base+i), mean, standard deviation, and 95% confidence</w:t>
      </w:r>
    </w:p>
    <w:p>
      <w:r>
        <w:t>interval; CIs shown in Figures 4–7 and Results §A. Location: §D; Results;</w:t>
      </w:r>
    </w:p>
    <w:p>
      <w:r>
        <w:t>Figures 4–7.</w:t>
      </w:r>
    </w:p>
    <w:p>
      <w:r>
        <w:rPr>
          <w:b/>
        </w:rPr>
        <w:t>R2.5 — Inconsistent values across text/figures/tables.</w:t>
      </w:r>
    </w:p>
    <w:p>
      <w:r>
        <w:t>Response: Addressed. Revision made: added numbers are generated from a single</w:t>
      </w:r>
    </w:p>
    <w:p>
      <w:r>
        <w:t>pipeline (CSV → text/figures) and are mutually consistent; the previously</w:t>
      </w:r>
    </w:p>
    <w:p>
      <w:r>
        <w:t>inconsistent Ethereum-vs-Bitcoin framing is relabelled as a historical</w:t>
      </w:r>
    </w:p>
    <w:p>
      <w:r>
        <w:t>Ethereum-like PoW configuration. Location: Results; Carbon Analysis.</w:t>
      </w:r>
    </w:p>
    <w:p>
      <w:r>
        <w:rPr>
          <w:b/>
        </w:rPr>
        <w:t>R2.6 — Improve criticized figures, keep style.</w:t>
      </w:r>
    </w:p>
    <w:p>
      <w:r>
        <w:t>Response: Done. Revision made: original Figures 1–3 are retained; the uncited old carbon-comparison plots (former Figures 4–6) were removed, and</w:t>
      </w:r>
    </w:p>
    <w:p>
      <w:r>
        <w:t>four improved figures with error bars and appropriate log/separate axes were</w:t>
      </w:r>
    </w:p>
    <w:p>
      <w:r>
        <w:t>added as Figures 4–7 (energy vs miners, PoS vs</w:t>
      </w:r>
    </w:p>
    <w:p>
      <w:r>
        <w:t>validators, computation vs communication, carbon vs γ), avoiding the compressed</w:t>
      </w:r>
    </w:p>
    <w:p>
      <w:r>
        <w:t>single-axis comparison the reviewer flagged. Location: Results; Carbon Analysis.</w:t>
      </w:r>
    </w:p>
    <w:p>
      <w:r>
        <w:rPr>
          <w:b/>
        </w:rPr>
        <w:t>R2.7 — Communication-energy model defined but not analyzed.</w:t>
      </w:r>
    </w:p>
    <w:p>
      <w:r>
        <w:t>Response: Fixed. Revision made: red pointer in Energy Modeling §B and a red</w:t>
      </w:r>
    </w:p>
    <w:p>
      <w:r>
        <w:t>communication-energy analysis in Results §A (transaction rate / block size /</w:t>
      </w:r>
    </w:p>
    <w:p>
      <w:r>
        <w:t>peer degree), with Figure 6, reported separately from consensus energy.</w:t>
      </w:r>
    </w:p>
    <w:p>
      <w:r>
        <w:t>Location: Energy Modeling §B; Results §A; Figure 6.</w:t>
      </w:r>
    </w:p>
    <w:p>
      <w:r>
        <w:rPr>
          <w:b/>
        </w:rPr>
        <w:t>R2.8 — Remove/qualify "validated".</w:t>
      </w:r>
    </w:p>
    <w:p>
      <w:r>
        <w:t>Response: The word "validated" does not appear in the manuscript. Revision made:</w:t>
      </w:r>
    </w:p>
    <w:p>
      <w:r>
        <w:t>we use "analytical sanity check (E = P × T)" and "evaluated through controlled</w:t>
      </w:r>
    </w:p>
    <w:p>
      <w:r>
        <w:t>scenario-based simulations"; no validation against field data is claimed.</w:t>
      </w:r>
    </w:p>
    <w:p>
      <w:r>
        <w:t>Location: Results §A; Threats to Validity.</w:t>
      </w:r>
    </w:p>
    <w:p>
      <w:pPr>
        <w:pStyle w:val="Heading1"/>
      </w:pPr>
      <w:r>
        <w:t>New references added</w:t>
      </w:r>
    </w:p>
    <w:p>
      <w:r>
        <w:t>[19] Platt et al. 2021 (QRS-C, DOI 10.1109/QRS-C55045.2021.00168);</w:t>
      </w:r>
    </w:p>
    <w:p>
      <w:r>
        <w:t>[20] Platt, Platt &amp; McBurney 2024 (DOI 10.1080/17445760.2024.2352740);</w:t>
      </w:r>
    </w:p>
    <w:p>
      <w:r>
        <w:t>[21] De Vries 2022/2023, Patterns (DOI 10.1016/j.patter.2022.100633).</w:t>
      </w:r>
    </w:p>
    <w:p>
      <w:r>
        <w:t>Sedlmeir et al. 2020 was already cited as [16].</w:t>
      </w:r>
    </w:p>
    <w:p>
      <w:r>
        <w:t>We believe these targeted additions address every comment while preserving the</w:t>
      </w:r>
    </w:p>
    <w:p>
      <w:r>
        <w:t>original manuscript. We thank the reviewers for their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