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FINAL PRE-SUBMISSION QC REPORT</w:t>
      </w:r>
    </w:p>
    <w:p>
      <w:r>
        <w:rPr>
          <w:b w:val="0"/>
        </w:rPr>
        <w:t>Manuscript: Extending BlockSim with Energy and Carbon Footprint Modeling for Sustainable Blockchain Evaluation. Final journal-acceptance QC pass on the already-revised manuscript (targeted corrections only; no rewrite).</w:t>
      </w:r>
    </w:p>
    <w:p>
      <w:pPr>
        <w:pStyle w:val="Heading1"/>
      </w:pPr>
      <w:r>
        <w:t>1. Issues corrected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6"/>
              </w:rPr>
              <w:t>What was done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6"/>
              </w:rPr>
              <w:t>Verified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Figures 2 and 3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The editor's ORIGINAL misleading Figures 1-3 (Bitcoin/Ethereum, linear-compressed overlays carrying the 6919/6092 kWh conflicts) were already removed and the survivors renumbered. Confirmed with the author to KEEP the current Figures 1-4 (PoW-vs-miners, PoS-vs-validators, computation-vs-communication, carbon-vs-grid) - these are the reviewer-requested figures. Cross-references and captions verified: only Figures 1-4 are referenced; no reference to any deleted figure remains.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Figure 1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The old misleading Figure 1 was replaced by the current Figure 1 (PoW energy vs miners; economic model; error bars; log per-miner panel) - a clear, non-compressed figure. No further change needed per author confirmation.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Invented parameters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Every stochastic parameter in Table 1 was traced to Models/Energy/scenarios.py: coin-price jitter (price_jitter=0.05), fee jitter (fee_jitter=0.40), Poisson block count (_poisson), Dirichlet shares (_dirichlet_ones), validator power jitter (power_jitter=0.10), uptime jitter (uptime_jitter=0.01), gossip rate (msg_rate=5). Table wording changed to Gaussian sigma notation with the exact source file/symbol for each row; the 2500 W per-miner value is labelled 'illustrative'. No invented parameters remain.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Numerical values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Re-audited against results/data/*.csv: 467.5 GWh (467,478,070.9), +/-17.1 GWh (17,132,817.6), 155.8/779.1 GWh (price sweep), 2387 kWh (2386.8), 239 kWh (238.8), 196,846x (reproducibility_summary), E=P.T max rel err 0.00. All match to the stated precision.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Confidence intervals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The only CI attached to a value is '(95% CI +/-17.1 GWh)' on PoW network energy - a stochastic quantity (price/fee/block-count jitter). Deterministic E=P.T is reported exactly with no CI. No meaningless CIs remain.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AI-style writing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Shortened and de-duplicated the newly added paragraphs (Randomness subsection; economic-PoW continuation; Discussion). Removed repeated 'invariant/1-over-N' statements; preserved scientific meaning and the authors' voice.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Experimental Setup length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Sections B, C and E condensed; Table 1 retained. Explanatory prose reduced without losing any parameter.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6"/>
              </w:rPr>
              <w:t>8a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References - mechanical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Removed stray trailing ' .' after two DOIs (WETSEB 2019; Springer 978-3-662-53357-4_8); changed 'Website:https://...' to 'Available: https://...' for the IPCC citation; earlier removed the duplicated '[21]' prefix and a stray ']' prefix.</w:t>
            </w:r>
          </w:p>
        </w:tc>
        <w:tc>
          <w:tcPr>
            <w:tcW w:type="dxa" w:w="2556"/>
          </w:tcPr>
          <w:p>
            <w:r/>
            <w:r>
              <w:rPr>
                <w:sz w:val="16"/>
              </w:rPr>
              <w:t>Yes</w:t>
            </w:r>
          </w:p>
        </w:tc>
      </w:tr>
    </w:tbl>
    <w:p>
      <w:pPr>
        <w:pStyle w:val="Heading1"/>
      </w:pPr>
      <w:r>
        <w:t>2. Remaining issues / values requiring author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6"/>
              </w:rPr>
              <w:t>Why not auto-fixed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6"/>
              </w:rPr>
              <w:t>Ref [3] Stoll et al.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Journal cited as 'Nature Climate Change, vol. 9, no. 10, pp. 798-800' but the DOI 10.1016/j.joule.2019.05.012 is a Joule DOI.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Correcting journal/volume/pages requires authoritative bibliographic data; not fabricated.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6"/>
              </w:rPr>
              <w:t>Ref [7] Schwartz et al. (JABS)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Cited as 'IEEE Trans. Network and Service Management, vol. 17, 2020' but DOI 10.1109/TNSE.2023.3282916 is IEEE Trans. Network Science and Engineering (2023).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Journal/year mismatch; author must confirm the intended source.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6"/>
              </w:rPr>
              <w:t>Ref [8] Gervais et al.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Author initial given as 'C. Gervais'; the CCS 2016 paper's first author is Arthur Gervais.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Initial correction left to author to avoid altering a citation without confirmation.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6"/>
              </w:rPr>
              <w:t>Generative-AI disclosure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No such section exists in the supplied manuscript.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Add the factual statement only if the target journal requires one; must not be fabricated.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6"/>
              </w:rPr>
              <w:t>APC / publication charges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No APC statement in the body (previously-removed placeholder).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Complete the journal's dedicated funding/APC field if applicable.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6"/>
              </w:rPr>
              <w:t>Fixed-power contrast value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Table 1 lists the per-miner fixed-power baseline as 2500 W (illustrative).</w:t>
            </w:r>
          </w:p>
        </w:tc>
        <w:tc>
          <w:tcPr>
            <w:tcW w:type="dxa" w:w="3408"/>
          </w:tcPr>
          <w:p>
            <w:r/>
            <w:r>
              <w:rPr>
                <w:sz w:val="16"/>
              </w:rPr>
              <w:t>Author may confirm/adjust; not used for any network-level estimate.</w:t>
            </w:r>
          </w:p>
        </w:tc>
      </w:tr>
    </w:tbl>
    <w:p>
      <w:pPr>
        <w:pStyle w:val="Heading1"/>
      </w:pPr>
      <w:r>
        <w:t>3. Response-letter consistency (editor item)</w:t>
      </w:r>
    </w:p>
    <w:p>
      <w:r>
        <w:rPr>
          <w:b w:val="0"/>
        </w:rPr>
        <w:t>The current response deliverable (Response_to_Handling_Editor.docx) matches the final manuscript exactly on values, figure numbering (Figures 1-4), and actions. The earlier per-reviewer response letters (previous round) describe a superseded figure numbering (old Fig 1-6 including a 'PoW vs PoS orders' figure) and the mutually inconsistent 'Figures 1-3 kept unchanged' vs 'crypto framing removed' commitments; these are explicitly reconciled and superseded by the editor-mediated response and the final figure set, as the handling editor instructed. No statement in the current response letter conflicts with the clean manuscript.</w:t>
      </w:r>
    </w:p>
    <w:p>
      <w:pPr>
        <w:pStyle w:val="Heading1"/>
      </w:pPr>
      <w:r>
        <w:t>4. Formatting integrity</w:t>
      </w:r>
    </w:p>
    <w:p>
      <w:r>
        <w:rPr>
          <w:b w:val="0"/>
        </w:rPr>
        <w:t>- All inserted/corrected/replacement manuscript text is red (RGB 255,0,0 / #FF0000); unchanged text is black; deleted text absent from the clean copy.</w:t>
      </w:r>
    </w:p>
    <w:p>
      <w:r>
        <w:rPr>
          <w:b w:val="0"/>
        </w:rPr>
        <w:t>- Consolidated Table 1: 196/196 text runs red (fully new table). Figure captions 1-4: figure-number runs red.</w:t>
      </w:r>
    </w:p>
    <w:p>
      <w:r>
        <w:rPr>
          <w:b w:val="0"/>
        </w:rPr>
        <w:t>- Tracked version: accepting all changes reproduces the clean copy's body text IDENTICALLY; all insertion runs are red.</w:t>
      </w:r>
    </w:p>
    <w:p>
      <w:r>
        <w:rPr>
          <w:b w:val="0"/>
        </w:rPr>
        <w:t>- Both .docx pass ECMA-376 (Office Open XML) schema validation with no errors and reopen without repair warnings.</w:t>
      </w:r>
    </w:p>
    <w:p>
      <w:pPr>
        <w:pStyle w:val="Heading1"/>
      </w:pPr>
      <w:r>
        <w:t>5. Final recommendation</w:t>
      </w:r>
    </w:p>
    <w:p>
      <w:r>
        <w:rPr>
          <w:b/>
        </w:rPr>
        <w:t>Ready after author confirmation of listed items only.</w:t>
      </w:r>
    </w:p>
    <w:p>
      <w:r>
        <w:rPr>
          <w:b w:val="0"/>
        </w:rPr>
        <w:t>All figure, numerical, parameter-provenance, confidence-interval, and red-formatting checks pass and the manuscript is internally consistent. The only open items are the three reference-metadata mismatches (Refs [3], [7], [8]) and the journal-policy items (Generative-AI disclosure, APC field), none of which can be resolved without author/journal input and none of which affect the scientific content.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