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Final Consistency, Numerical, Methodological, and Red-Text Audit</w:t>
      </w:r>
    </w:p>
    <w:p>
      <w:r>
        <w:rPr>
          <w:b w:val="0"/>
          <w:i/>
        </w:rPr>
        <w:t>Manuscript: Extending BlockSim with Energy and Carbon Footprint Modeling for Sustainable Blockchain Evaluation. Audit of Manuscript_Final_Editor_Revision_Red.docx against the handling editor's instructions and the released code/data.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• Every editor request was actioned in the clean red manuscript and verified programmatically.</w:t>
      </w:r>
    </w:p>
    <w:p>
      <w:r>
        <w:rPr>
          <w:b w:val="0"/>
          <w:i w:val="0"/>
        </w:rPr>
        <w:t>• No numerical inconsistency remains: the three conflicting 1000-miner values and the two baseline values were traced to single-seed fixed-power realisations and removed with the fixed-power presentation; all reported energy/carbon numbers are the economic/PoS/communication values and match the released CSV outputs exactly.</w:t>
      </w:r>
    </w:p>
    <w:p>
      <w:r>
        <w:rPr>
          <w:b w:val="0"/>
          <w:i w:val="0"/>
        </w:rPr>
        <w:t>• All inserted, corrected, and replacement manuscript text is red (RGB 255,0,0 / #FF0000); unchanged text is black; deleted text is absent from the clean copy. 224/224 insertion runs in the tracked version are red; accepting all tracked changes reproduces the clean copy's body text identically.</w:t>
      </w:r>
    </w:p>
    <w:p>
      <w:r>
        <w:rPr>
          <w:b w:val="0"/>
          <w:i w:val="0"/>
        </w:rPr>
        <w:t>• Both .docx files reopen and pass Office-Open-XML (ECMA-376) schema validation with no errors and no repair warnings.</w:t>
      </w:r>
    </w:p>
    <w:p>
      <w:r>
        <w:rPr>
          <w:b w:val="0"/>
          <w:i w:val="0"/>
        </w:rPr>
        <w:t>• Author-confirmation items only: three reference-metadata mismatches (Refs [3], [7], [8], §7b), the Generative-AI disclosure (no such section in the supplied version), and the journal APC field. None affect the scientific content.</w:t>
      </w:r>
    </w:p>
    <w:p>
      <w:r>
        <w:rPr>
          <w:b/>
          <w:i w:val="0"/>
        </w:rPr>
        <w:t>Overall assessment: Ready after author confirmation of the listed reference-metadata and journal-policy items only. All figure, numerical, parameter-provenance, confidence-interval, and red-formatting checks pass.</w:t>
      </w:r>
    </w:p>
    <w:p>
      <w:pPr>
        <w:pStyle w:val="Heading1"/>
      </w:pPr>
      <w:r>
        <w:t>2. Editor-request compliance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432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Editor requirement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6"/>
              </w:rPr>
              <w:t>Action / manuscript location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Red verified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Remaining risk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Remove Bitcoin/Ethereum &amp; historical-PoW framing; generalise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Deleted Ethereum-labelled sentence &amp; fixed-power paras; carbon figure relabelled generic; refs retained (Results §A/§B; Fig 4)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Bound the 'validate' language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No 'validate' present (0); scenario/sanity-check wording retained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N/A (already absent)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Reconcile 1000-miner values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Traced all five values to single-seed fixed-power runs; removed; economic values now consistent (Results §A/§B)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 (new text)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Wall off / remove fixed-power model; fix horizons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Fixed-power removed from Results; contrast-only in Discussion §A &amp; Table 1; single 24 h horizon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Delete Figs 2-3; simplify/replace Fig 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Figs 1-3 deleted (image+caption+refs); Figs 4-7→1-4; refs verified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 (captions/refs)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Add consolidated parameter table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New Table 1 (27 rows) in Experimental Setup; all-red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 (whole table)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Specify randomness behind 30-seed CIs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New §E Randomness; deterministic vs stochastic separated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Reconcile Threats to Validity with γ analysis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Rewrote fixed-emission-factor paragraph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9a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Remove duplicated step-density paragraphs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Both removed (0 remain)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N/A (deletion)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9b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Remove APC placeholder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Absent in this version (0)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9c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Repair Generative-AI disclosure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Author confirmation required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No such section in supplied version; flag if journal requires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Low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9d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Fix [21][21] duplicate marker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Removed manual '[21]' prefix (Word auto-numbers); stray ']' on ref 15 removed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N/A (deletion)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9e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Fix 'PoW. PoW' keyword duplication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Completed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Corrected to 'PoW, PoS'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None</w:t>
            </w:r>
          </w:p>
        </w:tc>
      </w:tr>
    </w:tbl>
    <w:p>
      <w:pPr>
        <w:pStyle w:val="Heading1"/>
      </w:pPr>
      <w:r>
        <w:t>3. Numerical reconciliation audit</w:t>
      </w:r>
    </w:p>
    <w:p>
      <w:r>
        <w:rPr>
          <w:b w:val="0"/>
          <w:i w:val="0"/>
        </w:rPr>
        <w:t>Rounding policy: energy reported to one decimal in GWh (PoW) or whole kWh (PoS); carbon to whole kg or t as labelled; all derived from 30-seed means. Source of truth: results/data/*.csv produced by experiments/*.py.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Conflicting values (origin)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Verified reason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Final adopted value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Source file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PoW 1000-miner, high-throughput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6092.25 kWh (Fig 1) / 6919 kWh (Fig 3) / 6934.13 kWh (text)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Single-seed fixed-power event-based runs over 10,000 s; different seeds→different block counts; none averaged; wrong horizon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Removed (redundant &amp; inconsistent); economic PoW ≈467.5 GWh/24 h invariant to N used instead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(fixed-power xlsx runs, removed)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PoW 1000-miner, baseline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83.84 kWh (text/Fig 1) / 79.79 kWh (Fig 3)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Same: Bitcoin-1000 end-points of two different single-seed runs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Removed with fixed-power presentation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(fixed-power xlsx runs, removed)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PoW network energy (economic)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30-seed mean, verified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467,478,070.9 kWh ≈ 467.5 GWh/24 h (95% CI ±17.1 GWh)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pow_miner_scaling_summary.csv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PoW energy vs price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30-seed means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155.8 / 467.5 / 779.1 GWh at 20k/60k/100k USD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pow_price_sensitivity_summary.csv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PoS 1000-validator (standard)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30-seed mean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2386.8 kWh/24 h (≈2387); 238.8 (≈239) at 100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pos_validator_scaling_summary.csv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PoW/PoS ratio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500-miner PoW / 1000-val PoS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≈196,846×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reproducibility_summary.csv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Communication (deg 8, 1 MB)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30-seed means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15.0 kWh/day (1 tx/s) → 1455 kWh/day (100 tx/s); ratio ≈3×10⁻⁶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communication_energy_summary.csv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Carbon PoW vs γ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E×γ on 467.5 GWh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23,374 t (γ=0.05) → 383,332 t (γ=0.82)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carbon_gamma_sensitivity_summary.csv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Carbon PoS vs γ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E×γ on ≈2375 kWh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119 → 1947 kg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carbon_gamma_sensitivity_summary.csv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Fixed-power sanity check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Deterministic E=P·T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max relative error 0.00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validation_fixed_power.csv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High</w:t>
            </w:r>
          </w:p>
        </w:tc>
      </w:tr>
    </w:tbl>
    <w:p>
      <w:pPr>
        <w:pStyle w:val="Heading1"/>
      </w:pPr>
      <w:r>
        <w:t>4. Model-consistency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6"/>
              </w:rPr>
              <w:t>Equation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6"/>
              </w:rPr>
              <w:t>Depends on miner/validator count?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Horizon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Output unit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Stochastic?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Economic PoW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 = κ·(B+F)·P / C_elec per block × #blocks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No (total invariant; per-miner ~1/N)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24 h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kWh (GWh)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Yes (block count, price, fee jitter)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Fixed-power baseline (contrast only)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 = N·P_miner·T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Yes (linear in N)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kWh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No (deterministic)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Validator PoS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 = Σ(P_v·T·u_v/1000) + E_comm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Yes (linear in V)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24 h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kWh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Yes (power/uptime jitter)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Communication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 = Σ(e_fixed + e_byte·size)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With messages/nodes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24 h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kWh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Yes (via block count)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Carbon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 = E·γ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Inherits energy model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24 h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kgCO₂e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Inherits</w:t>
            </w:r>
          </w:p>
        </w:tc>
      </w:tr>
    </w:tbl>
    <w:p>
      <w:r>
        <w:rPr>
          <w:b w:val="0"/>
          <w:i w:val="0"/>
        </w:rPr>
        <w:t>Manuscript separation: Results §A reports only the economic PoW and PoS models; the fixed-power baseline appears solely as an explicitly labelled conceptual contrast in Discussion §A and as a flagged row in Table 1. No paragraph moves between models without an explicit transition.</w:t>
      </w:r>
    </w:p>
    <w:p>
      <w:pPr>
        <w:pStyle w:val="Heading1"/>
      </w:pPr>
      <w:r>
        <w:t>5. Randomness and confidence-interval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</w:tcPr>
          <w:p>
            <w:r/>
            <w:r>
              <w:rPr>
                <w:b/>
                <w:sz w:val="16"/>
              </w:rPr>
              <w:t>Output 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Deterministic/Stochastic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6"/>
              </w:rPr>
              <w:t>Source of variation across seeds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CI retained?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Economic PoW network energy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Stochastic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Poisson block count; ±5% price; ±40% fee; Dirichlet shares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scenarios.run_pow_scenario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PoS total energy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Stochastic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±10% per-validator power; ±1% uptime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scenarios.run_pos_scenario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Communication energy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Stochastic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Block count (Poisson) via PoW run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run_communication_energy_analysis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Carbon (PoW/PoS)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Stochastic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Inherits energy stochasticity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run_carbon_gamma_sensitivity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Fixed-power E=P·T sanity check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Deterministic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None (fixed inputs)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No (exact value; max rel err 0.00)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validation_fixed_power.csv</w:t>
            </w:r>
          </w:p>
        </w:tc>
      </w:tr>
    </w:tbl>
    <w:p>
      <w:pPr>
        <w:pStyle w:val="Heading1"/>
      </w:pPr>
      <w:r>
        <w:t>6. Figure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Old #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Disposition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New #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1 (multi-series BTC/ETH, linear)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Deleted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Misleading linear compression + crypto labels; energy-vs-scale now via new Fig 1/2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2 (50-miner BTC/ETH pair)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Deleted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Editor-requested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3 (1000-miner BTC/ETH pair)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Deleted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Editor-requested; carried 6919/79.79 kWh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4 (PoW energy vs miners)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Retained, renumbered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Fig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Generic; error bars; log per-miner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5 (PoS energy vs validators)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Retained, renumbered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Fig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Generic; 3 hardware classes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6 (computation vs communication)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Retained, renumbered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Fig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Generic; log-log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7 (carbon vs γ)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Regenerated + renumbered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Fig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Legend relabelled 'PoW/PoS scenario' (was 'PoW BTC/PoS ETH'); log axis</w:t>
            </w:r>
          </w:p>
        </w:tc>
      </w:tr>
    </w:tbl>
    <w:p>
      <w:r>
        <w:rPr>
          <w:b w:val="0"/>
          <w:i w:val="0"/>
        </w:rPr>
        <w:t>Caption numbers were updated in-place and coloured red; in-text references now cite only Figures 1-4 (verified: 0 references to Figures 5-7 and 0 to deleted Figs 1-3 as event-based plots). No List-of-Figures section exists in the manuscript, so none required updating. Exception (red rule 10): red was NOT used inside figure artwork; only the revised captions and associated discussion are red, to keep the figures publication-ready.</w:t>
      </w:r>
    </w:p>
    <w:p>
      <w:pPr>
        <w:pStyle w:val="Heading1"/>
      </w:pPr>
      <w:r>
        <w:t>7. Parameter audit</w:t>
      </w:r>
    </w:p>
    <w:p>
      <w:r>
        <w:rPr>
          <w:b w:val="0"/>
          <w:i w:val="0"/>
        </w:rPr>
        <w:t>Every value in Table 1 was cross-checked against Models/Energy/scenarios.py, energy_models.py, the experiment scripts, and the CSV outputs. Representative checks: κ=0.80, C_elec∈{0.03,0.05,0.10}, coin price∈{20k,60k,100k}, block interval 600 s, efficiency 21.5 J/TH, validator power {10,100,500} W, uptime {0.90,0.99,1.00}, peer degree {4,8,16}, block size {0.5,1,2} MB, tx size 512 B, γ∈{0.05,0.475,0.82}, horizon 86,400 s, 30 seeds (20260101-20260130). Author-selected values are labelled assumptions; externally sourced values cite [6],[11],[13],[14].</w:t>
      </w:r>
    </w:p>
    <w:p>
      <w:r>
        <w:rPr>
          <w:b w:val="0"/>
          <w:i w:val="0"/>
        </w:rPr>
        <w:t>Stochastic-parameter provenance (no invented values). Every seed-varying quantity is implemented in Models/Energy/scenarios.py and is now cited in the table with σ notation: coin-price jitter price_jitter=0.05 (σ=5%); fee jitter fee_jitter=0.40 (σ=40%); Poisson block count _poisson; Dirichlet hashpower shares _dirichlet_ones; validator power_jitter=0.10 (σ=10%); uptime_jitter=0.01 (σ=1%); gossip msg_rate_per_validator_hz=5. The 2500 W per-miner fixed-power value is labelled 'illustrative' and is not used for any network-level estimate.</w:t>
      </w:r>
    </w:p>
    <w:p>
      <w:pPr>
        <w:pStyle w:val="Heading1"/>
      </w:pPr>
      <w:r>
        <w:t>7b. Reference audit (QC item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168"/>
          </w:tcPr>
          <w:p>
            <w:r/>
            <w:r>
              <w:rPr>
                <w:b/>
                <w:sz w:val="16"/>
              </w:rPr>
              <w:t>Reference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[10] Lund (WETSEB); [17] Croman (Springer)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Stray ' .' (space+period) after the DOI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Removed - now bare DOI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[14] IPCC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'Website:https://…' run-on prefix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Changed to 'Available: https://…' (IEEE)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[21] de Vries (Patterns)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Manually typed '[21]' duplicating Word auto-number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Prefix removed (earlier)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[15] Sedlmeir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Stray ']' prefix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Removed (earlier)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[3] Stoll (Carbon Footprint of Bitcoin)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Journal 'Nature Climate Change, 9(10):798-800' inconsistent with Joule DOI 10.1016/j.joule.2019.05.012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FLAGGED for author confirmation (not fabricated)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[7] Schwartz (JABS)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'IEEE Trans. Network and Service Management, 2020' vs DOI 10.1109/TNSE.2023.3282916 (Trans. Network Science &amp; Eng., 2023)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FLAGGED for author confirmation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[8] Gervais (CCS 2016)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Author initial 'C.'; CCS'16 first author is Arthur (A.) Gervais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FLAGGED for author confirmation</w:t>
            </w:r>
          </w:p>
        </w:tc>
      </w:tr>
    </w:tbl>
    <w:p>
      <w:pPr>
        <w:pStyle w:val="Heading1"/>
      </w:pPr>
      <w:r>
        <w:t>8. Editorial-cleanup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168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Before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After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Duplicated step-density paragraphs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Both removed (discussed deleted Fig 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APC placeholder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Already absent in supplied version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Generative-AI disclosure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absent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absent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Flagged for author confirmation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'[21][21]' duplicate marker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manual [21] + auto [21]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auto [21] only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Manual prefix removed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Stray ']' on reference 15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Removed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'PoW. PoW' keyword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Corrected to 'PoW, PoS'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Fixed-power numbers 6934.13/83.84 kWh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 each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Removed with fixed-power presentation</w:t>
            </w:r>
          </w:p>
        </w:tc>
      </w:tr>
    </w:tbl>
    <w:p>
      <w:pPr>
        <w:pStyle w:val="Heading1"/>
      </w:pPr>
      <w:r>
        <w:t>9. Red-text verification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Change ID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Editor item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6"/>
              </w:rPr>
              <w:t>Original → Revised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Red confirmed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9e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Keywords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'PoW. PoW' → 'PoW, PoS'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Exp Setup §B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fixed-power Model 1/2 framing → economic PoW/PoS description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Exp Setup §C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2500 W/miner fixed-power → economic-model description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C04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1/4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intro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miner-count-scaling narrative → consensus-driver description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C05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3/4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§A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fixed-power totals (3.93→83.84; 346.7→6934.13) → removed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N/A (deleted)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C06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1/3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§A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economic PoW lead + Ethereum-labelled sentence removed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C07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§A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Figure 5/6/7 refs → Figure 2/3/4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9a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§A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two step-density paragraphs → removed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N/A (deleted)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C09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§A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'Figure 1 shows…' &amp; 'Figures 2-3…' → removed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N/A (deleted)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3/4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Results §B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fixed-power carbon totals → removed; γ lead added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 / N/A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Exp Setup §E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new Randomness/CI subsection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Exp Setup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new Table 1 (all cells)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Discussion §A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two-PoW-scenario text → walled-off contrast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C14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Threats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fixed-emission-factor limitation → γ-scenario reconciliation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C15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1/4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Discussion &amp; Conclusion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'network size' scaling claims → economic/hardware-driver claims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C16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9d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'[21] ' and '] ' prefixes removed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N/A (deleted)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C17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5/1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Figure captions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Fig 4-7 → Fig 1-4 (number red)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C18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Figure 4 artwork</w:t>
            </w:r>
          </w:p>
        </w:tc>
        <w:tc>
          <w:tcPr>
            <w:tcW w:type="dxa" w:w="4608"/>
          </w:tcPr>
          <w:p>
            <w:r/>
            <w:r>
              <w:rPr>
                <w:sz w:val="16"/>
              </w:rPr>
              <w:t>'PoW BTC/PoS ETH' → 'PoW/PoS scenario' (regenerated)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N/A (artwork, see exception)</w:t>
            </w:r>
          </w:p>
        </w:tc>
      </w:tr>
    </w:tbl>
    <w:p>
      <w:pPr>
        <w:pStyle w:val="Heading1"/>
      </w:pPr>
      <w:r>
        <w:t>10. Residual-term / final QC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168"/>
          </w:tcPr>
          <w:p>
            <w:r/>
            <w:r>
              <w:rPr>
                <w:b/>
                <w:sz w:val="16"/>
              </w:rPr>
              <w:t>Term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Before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After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6"/>
              </w:rPr>
              <w:t>Retained locations &amp; justification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Bitcoin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Intro (Bitcoin's inception, historical) + 5 reference titles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Ethereum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Sybil subsection (Merge, De Vries [21]); PoS results literature check; ref 21 title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BTC / ETH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Ethereum-like / historical Ethereum-like PoW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 / 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 / 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Removed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validate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validation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'internal/external/construct validity' &amp; 'block validation' (not overclaims)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reference configurations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[21][21]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0*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*rendered as auto[21]+manual[21]; manual prefix removed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PoW. PoW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Corrected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APC / placeholder / TODO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step density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Removed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6092.25 / 6919 / 6934.13 / 79.79 / 83.84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0/0/2/0/2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Fixed-power values removed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Figure 5 / 6 / 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3/3/3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Renumbered to 2/3/4</w:t>
            </w:r>
          </w:p>
        </w:tc>
      </w:tr>
    </w:tbl>
    <w:p>
      <w:pPr>
        <w:pStyle w:val="Heading1"/>
      </w:pPr>
      <w:r>
        <w:t>11. Remaining author decisions</w:t>
      </w:r>
    </w:p>
    <w:p>
      <w:r>
        <w:rPr>
          <w:b w:val="0"/>
          <w:i w:val="0"/>
        </w:rPr>
        <w:t>1. Generative-AI disclosure: the supplied manuscript contains no Generative-AI disclosure section. If the target journal requires one, the authors must supply the factual statement (tool, task, responsibility); it was not fabricated. Manuscript location: Declarations block (to be added if required).</w:t>
      </w:r>
    </w:p>
    <w:p>
      <w:r>
        <w:rPr>
          <w:b w:val="0"/>
          <w:i w:val="0"/>
        </w:rPr>
        <w:t>2. Publication charges (APC): no APC statement is present. If the journal has a dedicated funding/APC field, the authors should complete it there rather than in the scientific body.</w:t>
      </w:r>
    </w:p>
    <w:p>
      <w:r>
        <w:rPr>
          <w:b w:val="0"/>
          <w:i w:val="0"/>
        </w:rPr>
        <w:t>3. The fixed-power 'per-miner power' contrast value in Table 1 is shown as 2500 W (illustrative, from the previous §C text). Authors may confirm or adjust this illustrative figure; it is not used for any network-level estimate.</w:t>
      </w:r>
    </w:p>
    <w:p>
      <w:r>
        <w:rPr>
          <w:b w:val="0"/>
          <w:i w:val="0"/>
        </w:rPr>
        <w:t>4. Reference metadata mismatches flagged in §7b: Ref [3] journal vs Joule DOI; Ref [7] journal/year vs TNSE DOI; Ref [8] author initial. These require authoritative bibliographic confirmation and were not auto-corrected to avoid fabricating citation data.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