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Empty.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27"/>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w:t>
      </w:r>
      <w:r>
        <w:rPr>
          <w:color w:val="FF0000"/>
        </w:rPr>
        <w:t xml:space="preserve">The protocol specification includes mechanisms for miner registration, explicit and silent leaving, inactivity handling, and a proposed collaborative reward-distribution mechanism designed to improve fairness, together with a preliminary security analysis covering</w:t>
      </w:r>
      <w:r>
        <w:t xml:space="preserve">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w:t>
      </w:r>
      <w:r>
        <w:rPr>
          <w:color w:val="FF0000"/>
        </w:rPr>
        <w:t xml:space="preserve">shortens the approximate time to obtain six main-chain confirmations at larger network sizes</w:t>
      </w:r>
      <w:r>
        <w:t xml:space="preserve">,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
      </w:r>
      <w:r>
        <w:rPr>
          <w:color w:val="FF0000"/>
        </w:rPr>
        <w:t xml:space="preserve">The thesis contributes a structured comparative literature review of blockchain consensus mechanisms</w:t>
      </w:r>
      <w:r>
        <w:t xml:space="preserve">,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w:t>
      </w:r>
      <w:r>
        <w:rPr>
          <w:color w:val="FF0000"/>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w:t>
      </w:r>
      <w:r>
        <w:rPr>
          <w:color w:val="FF0000"/>
        </w:rPr>
        <w:t xml:space="preserve">وبذلك </w:t>
      </w:r>
      <w:r>
        <w:rPr>
          <w:color w:val="FF0000"/>
        </w:rPr>
        <w:t xml:space="preserve">لا يحسب معدنان أمينان القيمة نفسها لمدخل التجزئة خلال الجولة</w:t>
      </w:r>
      <w:r>
        <w:rPr>
          <w:color w:val="FF0000"/>
        </w:rPr>
        <w:t xml:space="preserve"/>
      </w:r>
      <w:r>
        <w:rPr>
          <w:color w:val="FF0000"/>
        </w:rPr>
        <w:t xml:space="preserve">،</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w:t>
      </w:r>
      <w:r>
        <w:rPr>
          <w:color w:val="FF0000"/>
        </w:rPr>
        <w:t xml:space="preserve">وآلية مقترحة لتوزيع المكافآت مصممة لتحسين العدالة، إضافة إلى تحليل أمني أولي يغطي</w:t>
      </w:r>
      <w:r>
        <w:rPr>
          <w:rtl/>
        </w:rPr>
        <w:t xml:space="preserve">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w:t>
      </w:r>
      <w:r>
        <w:rPr>
          <w:color w:val="FF0000"/>
        </w:rPr>
        <w:t xml:space="preserve">ويقصر الزمن التقريبي للحصول على ست تأكيدات على السلسلة الرئيسة في الشبكات الكبيرة</w:t>
      </w:r>
      <w:r>
        <w:rPr>
          <w:rtl/>
        </w:rPr>
        <w:t xml:space="preserve">، </w:t>
      </w:r>
      <w:r>
        <w:rPr>
          <w:color w:val="FF0000"/>
        </w:rPr>
        <w:t xml:space="preserve">ويخفض استهلاك الطاقة الكلي بنحو 98 إلى 99 بالمئة</w:t>
      </w:r>
      <w:r>
        <w:rPr>
          <w:rtl/>
        </w:rPr>
        <w:t xml:space="preserve">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
      </w:r>
      <w:r>
        <w:rPr>
          <w:color w:val="FF0000"/>
        </w:rPr>
        <w:t xml:space="preserve">وتمثل هذه الأرقام أدلة إثبات صحة المفهوم لتجريد البحث التعاوني</w:t>
      </w:r>
      <w:r>
        <w:rPr>
          <w:color w:val="FF0000"/>
        </w:rPr>
        <w:t xml:space="preserve"> في ظل افتراضات المحاكاة، لا قياسات لتنفيذ موزع كامل. ويبقى القيد الرئيس هو </w:t>
      </w:r>
      <w:r>
        <w:rPr>
          <w:color w:val="FF0000"/>
        </w:rPr>
        <w:t xml:space="preserve">ارتفاع معدل الكتل المتقادمة عند أعداد المعدنين الكبيرة</w:t>
      </w:r>
      <w:r>
        <w:rPr>
          <w:color w:val="FF0000"/>
        </w:rPr>
        <w:t xml:space="preserve">،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w:t>
      </w:r>
      <w:r>
        <w:rPr>
          <w:color w:val="FF0000"/>
        </w:rPr>
        <w:t xml:space="preserve">بمراجعة أدبية مقارنة منظمة لآليات التوافق</w:t>
      </w:r>
      <w:r>
        <w:rPr>
          <w:rtl/>
        </w:rPr>
        <w:t xml:space="preserve"> في البلوك تشين، وبالتصميم الكامل لبروتوكول PoCol، وبإطار تقييم واع بالاستدامة مبني على BlockSim، </w:t>
      </w:r>
      <w:r>
        <w:rPr>
          <w:color w:val="FF0000"/>
        </w:rPr>
        <w:t xml:space="preserve"/>
      </w:r>
      <w:r>
        <w:rPr>
          <w:color w:val="FF0000"/>
        </w:rPr>
        <w:t xml:space="preserve">وبأدلة إثبات صحة المفهوم قائمة على المحاكاة</w:t>
      </w:r>
      <w:r>
        <w:rPr>
          <w:color w:val="FF0000"/>
        </w:rPr>
        <w:t xml:space="preserve"> على أن التعدين التعاوني يمكن أن يجعل خوارزميات التوافق من فئة إثبات العمل أكثر كفاءة </w:t>
      </w:r>
      <w:r>
        <w:rPr>
          <w:color w:val="FF0000"/>
        </w:rPr>
        <w:t xml:space="preserve">في استهلاك الطاقة إلى حد كبير في </w:t>
      </w:r>
      <w:r>
        <w:rPr>
          <w:color w:val="FF0000"/>
        </w:rPr>
        <w:t xml:space="preserve">ظل افتراضات المحاكاة المعتمدة</w:t>
      </w:r>
      <w:r>
        <w:rPr>
          <w:color w:val="FF0000"/>
        </w:rPr>
        <w:t xml:space="preserve"/>
      </w:r>
      <w:r>
        <w:rPr>
          <w:color w:val="FF0000"/>
        </w:rPr>
        <w:t xml:space="preserve">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3AD5D197" w14:textId="77777777" w:rsidR="00C33DAB" w:rsidRPr="006C7BCF" w:rsidRDefault="00000000">
      <w:r>
        <w:rPr>
          <w:color w:val="FF0000"/>
        </w:rPr>
        <w:t xml:space="preserve">First and foremost, all praise and thanks are due to Allah, the Most Gracious and Most Merciful, for granting me the strength, patience, and perseverance to complete this work.</w:t>
      </w:r>
    </w:p>
    <w:p w14:paraId="7899AEDA" w14:textId="77777777" w:rsidR="00C33DAB" w:rsidRPr="006C7BCF" w:rsidRDefault="00000000">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1D7A519D" w14:textId="77777777" w:rsidR="00C33DAB" w:rsidRPr="006C7BCF" w:rsidRDefault="00000000">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53781C5" w14:textId="77777777" w:rsidR="00C33DAB" w:rsidRPr="006C7BCF" w:rsidRDefault="00000000">
      <w:r>
        <w:rPr>
          <w:color w:val="FF0000"/>
        </w:rPr>
        <w:t xml:space="preserve">Finally, I owe special thanks to my family for their patience, unconditional support, and constant encouragement, without which this thesis could not have been completed.</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XIV</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18</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23</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24</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25</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26</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27</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52</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60</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61</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63</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64</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72</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74</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74</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81</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81</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82</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83</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84</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84</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85</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86</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87</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88</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90</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91</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91</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92</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94</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94</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95</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95</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97</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98</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98</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99</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100</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102</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103</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104</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106</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107</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107</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108</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108</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approximate confirmation time</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109</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110</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111</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111</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114</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114</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115</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115</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116</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116</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116</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117</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119</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120</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121</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122</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122</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123</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126</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 xml:space="preserve">Table 3.2. Data extraction framework used in this survey .......................................................... </w:t>
      </w:r>
      <w:r>
        <w:rPr>
          <w:color w:val="FF0000"/>
        </w:rPr>
        <w:t xml:space="preserve">26</w:t>
      </w:r>
    </w:p>
    <w:p w14:paraId="0E1C8B06" w14:textId="3302F5C3" w:rsidR="00550ECC" w:rsidRPr="006C7BCF" w:rsidRDefault="00000000" w:rsidP="00B16B7F">
      <w:pPr>
        <w:spacing w:after="0" w:line="240" w:lineRule="auto"/>
        <w:rPr>
          <w:sz w:val="32"/>
          <w:szCs w:val="32"/>
        </w:rPr>
      </w:pPr>
      <w:r>
        <w:rPr>
          <w:szCs w:val="32"/>
        </w:rPr>
        <w:t xml:space="preserve">Table 3.3. Qualitative coding rubric for the security comparison table ...................................... </w:t>
      </w:r>
      <w:r>
        <w:rPr>
          <w:color w:val="FF0000"/>
        </w:rPr>
        <w:t xml:space="preserve">27</w:t>
      </w:r>
    </w:p>
    <w:p w14:paraId="780E0FBC" w14:textId="1F2FCF94" w:rsidR="00550ECC" w:rsidRPr="006C7BCF" w:rsidRDefault="00000000" w:rsidP="00B16B7F">
      <w:pPr>
        <w:spacing w:after="0" w:line="240" w:lineRule="auto"/>
        <w:rPr>
          <w:sz w:val="32"/>
          <w:szCs w:val="32"/>
        </w:rPr>
      </w:pPr>
      <w:r>
        <w:rPr>
          <w:szCs w:val="32"/>
        </w:rPr>
        <w:t xml:space="preserve">Table 3.4. Qualitative coding rubric for the comparative summary table ................................... </w:t>
      </w:r>
      <w:r>
        <w:rPr>
          <w:color w:val="FF0000"/>
        </w:rPr>
        <w:t xml:space="preserve">28</w:t>
      </w:r>
    </w:p>
    <w:p w14:paraId="4E7EA618" w14:textId="0F60D5E8" w:rsidR="00550ECC" w:rsidRPr="006C7BCF" w:rsidRDefault="00000000" w:rsidP="00B16B7F">
      <w:pPr>
        <w:spacing w:after="0" w:line="240" w:lineRule="auto"/>
        <w:rPr>
          <w:sz w:val="32"/>
          <w:szCs w:val="32"/>
        </w:rPr>
      </w:pPr>
      <w:r>
        <w:rPr>
          <w:szCs w:val="32"/>
        </w:rPr>
        <w:t xml:space="preserve">Table 3.5. Historical overview of the principal blockchain consensus algorithms ..................... </w:t>
      </w:r>
      <w:r>
        <w:rPr>
          <w:color w:val="FF0000"/>
        </w:rPr>
        <w:t xml:space="preserve">30</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46</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48</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101</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103</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108</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w:t>
      </w:r>
      <w:r>
        <w:rPr>
          <w:color w:val="FF0000"/>
        </w:rPr>
        <w:t xml:space="preserve">75</w:t>
      </w:r>
    </w:p>
    <w:p w14:paraId="46CF9E07" w14:textId="778B1822" w:rsidR="00550ECC" w:rsidRPr="006C7BCF" w:rsidRDefault="00000000" w:rsidP="00B16B7F">
      <w:pPr>
        <w:spacing w:after="0" w:line="240" w:lineRule="auto"/>
      </w:pPr>
      <w:r>
        <w:t xml:space="preserve">Figure 5.2. PoCol consensus genesis round ................................................................................ </w:t>
      </w:r>
      <w:r>
        <w:rPr>
          <w:color w:val="FF0000"/>
        </w:rPr>
        <w:t xml:space="preserve">78</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86</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90</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109</w:t>
      </w:r>
    </w:p>
    <w:p w14:paraId="499B3138" w14:textId="06832BC1" w:rsidR="00550ECC" w:rsidRPr="006C7BCF" w:rsidRDefault="00000000" w:rsidP="00B16B7F">
      <w:pPr>
        <w:spacing w:after="0" w:line="240" w:lineRule="auto"/>
      </w:pPr>
      <w:r>
        <w:t xml:space="preserve"/>
      </w:r>
      <w:r>
        <w:rPr>
          <w:color w:val="FF0000"/>
        </w:rPr>
        <w:t xml:space="preserve">Figure 7.2. Approximate six-block confirmation time </w:t>
      </w:r>
      <w:r>
        <w:t xml:space="preserve">........................................................... </w:t>
      </w:r>
      <w:r>
        <w:rPr>
          <w:color w:val="FF0000"/>
        </w:rPr>
        <w:t xml:space="preserve">110</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111</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112</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113</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113</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114</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115</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
            </w:r>
            <w:r>
              <w:rPr>
                <w:color w:val="FF0000"/>
              </w:rPr>
              <w:t xml:space="preserve">CBNSI</w:t>
            </w:r>
            <w:r>
              <w:rPr>
                <w:szCs w:val="32"/>
              </w:rPr>
              <w:t xml:space="preserve"/>
            </w:r>
          </w:p>
        </w:tc>
        <w:tc>
          <w:tcPr>
            <w:tcW w:w="6798" w:type="dxa"/>
          </w:tcPr>
          <w:p w14:paraId="50E1394E" w14:textId="77777777" w:rsidR="00B95382" w:rsidRPr="006C7BCF" w:rsidRDefault="00B95382" w:rsidP="004150CA">
            <w:pPr>
              <w:spacing w:after="0" w:line="240" w:lineRule="auto"/>
              <w:rPr>
                <w:sz w:val="32"/>
                <w:szCs w:val="32"/>
              </w:rPr>
            </w:pPr>
            <w:r>
              <w:rPr>
                <w:szCs w:val="32"/>
              </w:rPr>
              <w:t/>
            </w:r>
            <w:r>
              <w:rPr>
                <w:color w:val="FF0000"/>
              </w:rPr>
              <w:t xml:space="preserve">Cambridge Blockchain Network Sustainability Index</w:t>
            </w:r>
            <w:r>
              <w:rPr>
                <w:szCs w:val="32"/>
              </w:rPr>
              <w:t xml:space="preserve"/>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footerReference w:type="default" r:id="rId9"/>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Pr>
          <w:color w:val="FF0000"/>
        </w:rPr>
        <w:t xml:space="preserve">Proof-of-Authority (PoA); Proof of Elapsed Time (PoET)</w:t>
      </w:r>
      <w:r>
        <w:rPr>
          <w:rFonts w:eastAsiaTheme="majorEastAsia"/>
        </w:rPr>
        <w:t xml:space="preserve">; Proof-of-History (PoH); Proof-of-Contribution (PoC); and Proof-of-Reputation (PoR). </w:t>
      </w:r>
      <w:r>
        <w:rPr>
          <w:color w:val="FF0000"/>
        </w:rP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r>
        <w:rPr>
          <w:rFonts w:eastAsiaTheme="majorEastAsia"/>
        </w:rPr>
        <w:t xml:space="preserve"/>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w:t>
      </w:r>
      <w:r>
        <w:rPr>
          <w:color w:val="FF0000"/>
        </w:rPr>
        <w:t xml:space="preserve">distributed nonce allocation, and a proposed collaborative reward-distribution mechanism designed to improve fairness, to eliminate duplicate hash inputs within each mining round</w:t>
      </w:r>
      <w:r>
        <w:rPr>
          <w:color w:val="FF0000"/>
        </w:rPr>
        <w:t xml:space="preserve">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w:t>
      </w:r>
      <w:r>
        <w:rPr>
          <w:color w:val="FF0000"/>
        </w:rPr>
        <w:t xml:space="preserve">creates a sustainability challenge despite the established security and open-participation properties of PoW-based blockchain technology.</w:t>
      </w:r>
      <w:r>
        <w:t xml:space="preserve"> The security of Bitcoin's PoW has demonstrated that a truly open and decentralized system can operate securely in an adversarial environment by binding the creation of blocks to computational work [1]. In fact, research shows that Bitcoin's total annual electric power consumption </w:t>
      </w:r>
      <w:r>
        <w:rPr>
          <w:color w:val="FF0000"/>
        </w:rPr>
        <w:t xml:space="preserve">has grown dramatically from tens of terawatt-hours per year to levels in the low hundreds of terawatt-hours per year (TWh/year)—an amount exceeding</w:t>
      </w:r>
      <w:r>
        <w:t xml:space="preserve">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w:t>
      </w:r>
      <w:r>
        <w:rPr>
          <w:color w:val="FF0000"/>
        </w:rPr>
        <w:t xml:space="preserve">as global climate-change mitigation and sustainability policies intensify, these levels of consumption become increasingly difficult to reconcile with sustainability goals</w:t>
      </w:r>
      <w:r>
        <w:t xml:space="preserve"> [19], [25]. </w:t>
      </w:r>
    </w:p>
    <w:p w14:paraId="0B4767A5" w14:textId="77777777" w:rsidR="00F25BB9" w:rsidRPr="006C7BCF" w:rsidRDefault="00F25BB9" w:rsidP="00F25BB9">
      <w:pPr>
        <w:rPr>
          <w:rFonts w:eastAsiaTheme="majorEastAsia"/>
        </w:rPr>
      </w:pPr>
      <w:r>
        <w:rPr>
          <w:rFonts w:eastAsiaTheme="majorEastAsia"/>
        </w:rPr>
        <w:t xml:space="preserve"/>
      </w:r>
      <w:r>
        <w:rPr>
          <w:color w:val="FF0000"/>
        </w:rP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Pr>
          <w:color w:val="FF0000"/>
        </w:rP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
      </w:r>
      <w:r>
        <w:rPr>
          <w:color w:val="FF0000"/>
        </w:rPr>
        <w:t xml:space="preserve">Based on the conclusions of the studies discussed above</w:t>
      </w:r>
      <w:r>
        <w:rPr>
          <w:rFonts w:eastAsiaTheme="majorEastAsia"/>
        </w:rPr>
        <w:t xml:space="preserve">, the primary objective of this thesis is to develop an energy-efficient consensus algorithm for open blockchain networks that: (i) utilizes less than 50% of energy used by Proof of Work, </w:t>
      </w:r>
      <w:r>
        <w:rPr>
          <w:color w:val="FF0000"/>
        </w:rPr>
        <w:t xml:space="preserve">(ii) is designed to maintain levels of decentralization and security comparable to Proof of Work — an objective that requires formal and empirical validation; and (iii) provides incentives intended to maintain fairness while preventing the over-centralization of mining.</w:t>
      </w:r>
      <w:r>
        <w:rPr>
          <w:rFonts w:eastAsiaTheme="majorEastAsia"/>
        </w:rPr>
        <w:t xml:space="preserve"> </w:t>
      </w:r>
      <w:r>
        <w:rPr>
          <w:color w:val="FF0000"/>
        </w:rPr>
        <w:t xml:space="preserve">The proposed Proof-of-Collaboration model </w:t>
      </w:r>
      <w:r>
        <w:rPr>
          <w:color w:val="FF0000"/>
        </w:rPr>
        <w:t xml:space="preserve">addresses the design challenge of creating a collaborative mining framework</w:t>
      </w:r>
      <w:r>
        <w:rPr>
          <w:color w:val="FF0000"/>
        </w:rPr>
        <w:t xml:space="preserve"> by providing a mechanism in which all miners of a round mine one immutable common block template, receive disjoint nonce ranges, </w:t>
      </w:r>
      <w:r>
        <w:rPr>
          <w:color w:val="FF0000"/>
        </w:rPr>
        <w:t xml:space="preserve">and share rewards through a mechanism designed to improve fairness.</w:t>
      </w:r>
      <w:r>
        <w:rPr>
          <w:color w:val="FF0000"/>
        </w:rPr>
        <w:t xml:space="preserve"/>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Pr>
          <w:color w:val="FF0000"/>
        </w:rPr>
        <w:t xml:space="preserve">can significantly conserve energy while aiming to retain safety and decentralization comparable to PoW-based systems — an objective that requires formal and empirical validation [1], [20].</w:t>
      </w:r>
      <w:r>
        <w:rPr>
          <w:rFonts w:eastAsiaTheme="majorEastAsia"/>
        </w:rPr>
        <w:t xml:space="preserve"/>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Under the controlled simulation assumptions used in this thesis, to what extent does collaborative mining with distributed nonce allocation reduce block-production energy relative to classical PoW across miner populations of 100 to 500?</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
      </w:r>
      <w:r>
        <w:rPr>
          <w:color w:val="FF0000"/>
        </w:rPr>
        <w:t xml:space="preserve">RQ3: What effect does the proposed PoCol algorithm have on decentralization, fairness, and resistance to common blockchain attacks such as double spending, selfish mining, and pool centralization, compared with systems that use PoW [21], [22]?</w:t>
      </w:r>
      <w:r>
        <w:t xml:space="preserve"/>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 xml:space="preserve">O2: Propose a formal system model and design principles for Proof-of-Collaboration, encompassing collaborative mining, distributed nonce allocation, </w:t>
      </w:r>
      <w:r>
        <w:rPr>
          <w:color w:val="FF0000"/>
        </w:rPr>
        <w:t xml:space="preserve">and a collaborative reward-distribution mechanism designed to support fair allocation while reducing redundant computation and discouraging excessive concentration of hash power [1], [15].</w:t>
      </w:r>
      <w:r>
        <w:t xml:space="preserve"/>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color w:val="FF0000"/>
        </w:rPr>
        <w:t xml:space="preserve">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1FF9F4E6" w14:textId="77777777" w:rsidR="007C666C" w:rsidRPr="006C7BCF" w:rsidRDefault="007C666C" w:rsidP="007C666C">
      <w:pPr>
        <w:rPr>
          <w:rFonts w:eastAsiaTheme="majorEastAsia"/>
        </w:rPr>
      </w:pPr>
      <w:r>
        <w:rPr>
          <w:color w:val="FF0000"/>
        </w:rP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334D925" w14:textId="77777777" w:rsidR="007C666C" w:rsidRPr="006C7BCF" w:rsidRDefault="007C666C" w:rsidP="007C666C">
      <w:pPr>
        <w:rPr>
          <w:rFonts w:eastAsiaTheme="majorEastAsia"/>
        </w:rPr>
      </w:pPr>
      <w:r>
        <w:rPr>
          <w:color w:val="FF0000"/>
        </w:rPr>
        <w:t xml:space="preserve">The second phase developed the Proof of Collaboration (PoCol) algorithm in full,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D7B461F" w14:textId="77777777" w:rsidR="007C666C" w:rsidRPr="006C7BCF" w:rsidRDefault="007C666C" w:rsidP="007C666C">
      <w:pPr>
        <w:rPr>
          <w:rFonts w:eastAsiaTheme="majorEastAsia"/>
        </w:rPr>
      </w:pPr>
      <w:r>
        <w:t xml:space="preserve"/>
      </w:r>
      <w:r>
        <w:rPr>
          <w:color w:val="FF0000"/>
        </w:rP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w:t>
      </w:r>
      <w:r>
        <w:t xml:space="preserve">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color w:val="FF0000"/>
        </w:rPr>
        <w:t xml:space="preserve">The methodology was designed to combine practical applicability of the PoCol algorithm with strong theoretical foundations; deployment and measurement beyond simulation remain future work.</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w:t>
      </w:r>
      <w:r>
        <w:rPr>
          <w:color w:val="FF0000"/>
        </w:rPr>
        <w:t xml:space="preserve">The main contributions of this thesis are summarized in the following five categories:</w:t>
      </w:r>
      <w:r>
        <w:rPr>
          <w:rFonts w:eastAsiaTheme="majorEastAsia"/>
        </w:rPr>
        <w:t xml:space="preserve"/>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w:t>
      </w:r>
      <w:r>
        <w:rPr>
          <w:color w:val="FF0000"/>
        </w:rPr>
        <w:t xml:space="preserve">This framework integrates models for energy consumption and decentralization, enabling structured comparison of PoCol and PoW from a variety of operational perspectives</w:t>
      </w:r>
      <w:r>
        <w:rPr>
          <w:rFonts w:eastAsiaTheme="majorEastAsia"/>
        </w:rPr>
        <w:t xml:space="preserve">,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t>
      </w:r>
      <w:r>
        <w:rPr>
          <w:color w:val="FF0000"/>
        </w:rPr>
        <w:t xml:space="preserve">which provides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
      </w:r>
      <w:r>
        <w:rPr>
          <w:color w:val="FF0000"/>
        </w:rPr>
        <w:t xml:space="preserve">Chapter 4 presents the system model and mathematical formulation for Proof of Collaboration (PoCol).</w:t>
      </w:r>
      <w:r>
        <w:rPr>
          <w:rFonts w:eastAsiaTheme="majorEastAsia"/>
        </w:rPr>
        <w:t xml:space="preserve"/>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w:t>
      </w:r>
      <w:r>
        <w:rPr>
          <w:color w:val="FF0000"/>
        </w:rPr>
        <w:t xml:space="preserve">Chapter 5 provides a preliminary security and robustness analysis of the PoCol system model</w:t>
      </w:r>
      <w:r>
        <w:rPr>
          <w:rFonts w:eastAsiaTheme="majorEastAsia"/>
        </w:rPr>
        <w:t xml:space="preserve">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
      </w:r>
      <w:r>
        <w:rPr>
          <w:color w:val="FF0000"/>
        </w:rPr>
        <w:t xml:space="preserve">In Chapter 7, experimental results are presented, focusing on throughput, approximate confirmation time, stale-block rate, total energy consumption, energy per block, energy per transaction, and carbon footprint; fairness and decentralization remain analytical or future evaluation dimensions. PoCol is compared against the PoW baseline.</w:t>
      </w:r>
      <w:r>
        <w:rPr>
          <w:rFonts w:eastAsiaTheme="majorEastAsia"/>
        </w:rPr>
        <w:t xml:space="preserve"> Furthermore, the implications of the PoCol experimental results in relation to the previous 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w:t>
      </w:r>
      <w:r>
        <w:rPr>
          <w:color w:val="FF0000"/>
        </w:rPr>
        <w:t xml:space="preserve">future work aimed at improving the current PoCol design.</w:t>
      </w:r>
      <w:r>
        <w:rPr>
          <w:rFonts w:eastAsiaTheme="majorEastAsia"/>
        </w:rPr>
        <w:t xml:space="preserve"/>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 xml:space="preserve">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w:t>
      </w:r>
      <w:r>
        <w:rPr>
          <w:color w:val="FF0000"/>
        </w:rPr>
        <w:t xml:space="preserve">control of the system is decentralized and all state changes are validated according to consensus rules agreed by the participants, leaving no single participant in control of the state</w:t>
      </w:r>
      <w:r>
        <w:t xml:space="preserv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w:t>
      </w:r>
      <w:r>
        <w:rPr>
          <w:color w:val="FF0000"/>
        </w:rPr>
        <w:t xml:space="preserve">Blockchains group transactions into blocks (each block header contains the metadata necessary to identify the block within the ledger), creating a chain of blocks in which each block header identifies the previous block</w:t>
      </w:r>
      <w:r>
        <w:t xml:space="preserve"> (i.e. the timestamp for that block, the hash of the previous block, and any other consensus-related information). The chains of blocks represent the integrity of the system and provide a level of tamper-evidence to the records; </w:t>
      </w:r>
      <w:r>
        <w:rPr>
          <w:color w:val="FF0000"/>
        </w:rPr>
        <w:t xml:space="preserve">modifying the record of any previous block would change the hash of that block and thereby invalidate all subsequent blocks in the chain.</w:t>
      </w:r>
      <w:r>
        <w:t xml:space="preserve"> When looking at Bitcoin and other public cryptocurrencies </w:t>
      </w:r>
      <w:r>
        <w:rPr>
          <w:color w:val="FF0000"/>
        </w:rPr>
        <w:t xml:space="preserve">the ledger state is maintained as a set of unspent transaction outputs (UTXO): an accounting model in which each transaction consumes previously unspent outputs and creates new outputs assigned to recipient addresses [49], [50].</w:t>
      </w:r>
      <w:r>
        <w:t xml:space="preserve"> </w:t>
      </w:r>
      <w:r>
        <w:rPr>
          <w:color w:val="FF0000"/>
        </w:rPr>
        <w:t xml:space="preserve">Miners create blocks by solving a proof-of-work (PoW) puzzle and are rewarded for this work with newly created coins.</w:t>
      </w:r>
      <w:r>
        <w:t xml:space="preserve"> When dealing with private or permissioned systems, their inherent structure may be similar; but 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t>
      </w:r>
      <w:r>
        <w:rPr>
          <w:color w:val="FF0000"/>
        </w:rPr>
        <w:t xml:space="preserve">with the different designs offering markedly different trade-offs in latency, throughput, fault tolerance, and decentralization.</w:t>
      </w:r>
      <w:r>
        <w:t xml:space="preserve">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w:t>
      </w:r>
      <w:r>
        <w:rPr>
          <w:color w:val="FF0000"/>
        </w:rPr>
        <w:t xml:space="preserve">by exchanging information using a gossip protocol [1], [39].</w:t>
      </w:r>
      <w:r>
        <w:rPr>
          <w:rFonts w:eastAsiaTheme="majorEastAsia"/>
        </w:rPr>
        <w:t xml:space="preserve"> There are various kinds of nodes that may exist in a network. </w:t>
      </w:r>
      <w:r>
        <w:rPr>
          <w:color w:val="FF0000"/>
        </w:rPr>
        <w:t xml:space="preserve">Full nodes maintain and validate the full chain. Mining and validator nodes</w:t>
      </w:r>
      <w:r>
        <w:rPr>
          <w:rFonts w:eastAsiaTheme="majorEastAsia"/>
        </w:rPr>
        <w:t xml:space="preserve">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load usage through a common ledger [56]. Additional examples are provided by Li et al., who use blockchain to manage power-data assets and trading [57]. </w:t>
      </w:r>
      <w:r>
        <w:rPr>
          <w:color w:val="FF0000"/>
        </w:rPr>
        <w:t xml:space="preserve">Based on this review, there is a high potential for continued growth and development of blockchain-based business models.</w:t>
      </w:r>
      <w:r>
        <w:t xml:space="preserve">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 xml:space="preserve">Transactions are a basic function of the ledger, representing a single operation that causes the ledger state to change. </w:t>
      </w:r>
      <w:r>
        <w:rPr>
          <w:color w:val="FF0000"/>
        </w:rPr>
        <w:t xml:space="preserve">In UTXO-based models, a transaction takes in the current ledger's unspent output(s)</w:t>
      </w:r>
      <w:r>
        <w:rPr>
          <w:rFonts w:eastAsiaTheme="majorEastAsia"/>
        </w:rPr>
        <w:t xml:space="preserve"> and converts them into output to be spent later by the assigned user(s). Account-based models keep track of balances tied to the user's accounts and they apply transactions to transfer value to an account or to perform a smart contract. </w:t>
      </w:r>
      <w:r>
        <w:rPr>
          <w:color w:val="FF0000"/>
        </w:rPr>
        <w:t xml:space="preserve">Transactions must satisfy syntactic validity rules, authorization requirements such as digital signatures, and any protocol-specific state-transition or consensus conditions before inclusion in a block.</w:t>
      </w:r>
      <w:r>
        <w:rPr>
          <w:rFonts w:eastAsiaTheme="majorEastAsia"/>
        </w:rPr>
        <w:t xml:space="preserve"/>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w:t>
      </w:r>
      <w:r>
        <w:rPr>
          <w:color w:val="FF0000"/>
        </w:rPr>
        <w:t xml:space="preserve">Turing-complete (i.e., a language in which any computable function can be expressed)</w:t>
      </w:r>
      <w:r>
        <w:rPr>
          <w:rFonts w:eastAsiaTheme="majorEastAsia"/>
        </w:rPr>
        <w:t xml:space="preserve"> or limited target domain-specific languages, written and stored on the blockchain, enabling the deployment of new contracts on the ledger (or in other words, be executed through transactions). Because of this paradigm, </w:t>
      </w:r>
      <w:r>
        <w:rPr>
          <w:color w:val="FF0000"/>
        </w:rPr>
        <w:t xml:space="preserve">there is no need for centralized organizations to control business logic; smart contracts allow decentralized applications (dApps) to create tokens for assets and to track and manage complex business processes</w:t>
      </w:r>
      <w:r>
        <w:rPr>
          <w:rFonts w:eastAsiaTheme="majorEastAsia"/>
        </w:rPr>
        <w:t xml:space="preserve">, such as circular supply chains which use smart contracts to record all critical performance indicators and compliance standards, according to Huang and colleagues. </w:t>
      </w:r>
      <w:r>
        <w:rPr>
          <w:color w:val="FF0000"/>
        </w:rPr>
        <w:t xml:space="preserve">Farooq et al. created an open voting platform</w:t>
      </w:r>
      <w:r>
        <w:rPr>
          <w:rFonts w:eastAsiaTheme="majorEastAsia"/>
        </w:rPr>
        <w:t xml:space="preserve"> that uses transactions to record votes and the smart contract to tally the votes. Ullah and Al-Turjman describe smart contract functions in smart cities to facilitate the transaction of real estate, as well as store real property and escrow rights within the ledger. </w:t>
      </w:r>
      <w:r>
        <w:rPr>
          <w:color w:val="FF0000"/>
        </w:rPr>
        <w:t xml:space="preserve">Vyas et al. discuss using artificial-intelligence-assisted smart contracts</w:t>
      </w:r>
      <w:r>
        <w:rPr>
          <w:rFonts w:eastAsiaTheme="majorEastAsia"/>
        </w:rPr>
        <w:t xml:space="preserve"> to bridge sensors from Agriculture and Healthcare with predictive algorithms. </w:t>
      </w:r>
      <w:r>
        <w:rPr>
          <w:color w:val="FF0000"/>
        </w:rPr>
        <w:t xml:space="preserve">Smolenski discusses the opportunities that blockchain-based credential-verification technologies provide to create new avenues of education</w:t>
      </w:r>
      <w:r>
        <w:rPr>
          <w:rFonts w:eastAsiaTheme="majorEastAsia"/>
        </w:rPr>
        <w:t xml:space="preserve">,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 xml:space="preserve">Distributed systems can have consensus protocols to ensure the agreement among nodes who are not faulty about the order of state transitions that occurred in response to these failures or adversarial actions [7], [8]. </w:t>
      </w:r>
      <w:r>
        <w:rPr>
          <w:color w:val="FF0000"/>
        </w:rPr>
        <w:t xml:space="preserve">The manner of achieving consensus on the order of the transactions</w:t>
      </w:r>
      <w:r>
        <w:rPr>
          <w:rFonts w:eastAsiaTheme="majorEastAsia"/>
        </w:rPr>
        <w:t xml:space="preserve"> in the blockchain also determines how secure, performant, and energy efficient the systems are. </w:t>
      </w:r>
      <w:r>
        <w:rPr>
          <w:color w:val="FF0000"/>
        </w:rPr>
        <w:t xml:space="preserve">This section briefly summarizes the traditional consensus methods</w:t>
      </w:r>
      <w:r>
        <w:rPr>
          <w:rFonts w:eastAsiaTheme="majorEastAsia"/>
        </w:rPr>
        <w:t xml:space="preserve">,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 xml:space="preserve">The Practical Byzantine Fault Tolerance (PBFT) method, created by Castro and Liskov, </w:t>
      </w:r>
      <w:r>
        <w:rPr>
          <w:color w:val="FF0000"/>
        </w:rPr>
        <w:t xml:space="preserve">enables consensus among honest nodes provided that fewer than one-third of the nodes are Byzantine, over a partially synchronous network</w:t>
      </w:r>
      <w:r>
        <w:rPr>
          <w:rFonts w:eastAsiaTheme="majorEastAsia"/>
        </w:rPr>
        <w:t xml:space="preserve"> using a three-phase commit process with view change to allow new leaders [8]. </w:t>
      </w:r>
      <w:r>
        <w:rPr>
          <w:color w:val="FF0000"/>
        </w:rPr>
        <w:t xml:space="preserve">This work has been followed by many successful enhancements, such as the addition of proactive recovery [59]</w:t>
      </w:r>
      <w:r>
        <w:rPr>
          <w:rFonts w:eastAsiaTheme="majorEastAsia"/>
        </w:rPr>
        <w:t xml:space="preserve">,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rPr>
          <w:color w:val="FF0000"/>
        </w:rPr>
        <w:t xml:space="preserve">they also require multiple rounds of communication among parties, as well as authenticated channels</w:t>
      </w:r>
      <w:r>
        <w:rPr>
          <w:rFonts w:eastAsiaTheme="majorEastAsia"/>
        </w:rPr>
        <w:t xml:space="preserve">, which can create 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 xml:space="preserve">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w:t>
      </w:r>
      <w:r>
        <w:rPr>
          <w:color w:val="FF0000"/>
        </w:rPr>
        <w:t xml:space="preserve">quickly propagate throughout the Bitcoin network</w:t>
      </w:r>
      <w:r>
        <w:rPr>
          <w:rFonts w:eastAsiaTheme="majorEastAsia"/>
        </w:rPr>
        <w:t xml:space="preserve">.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 xml:space="preserve">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w:t>
      </w:r>
      <w:r>
        <w:rPr>
          <w:color w:val="FF0000"/>
        </w:rPr>
        <w:t xml:space="preserve">total energy consumption of the Bitcoin network using market</w:t>
      </w:r>
      <w:r>
        <w:t xml:space="preserve">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w:t>
      </w:r>
      <w:r>
        <w:rPr>
          <w:color w:val="FF0000"/>
        </w:rPr>
        <w:t xml:space="preserve"/>
      </w:r>
      <w:r>
        <w:rPr>
          <w:color w:val="FF0000"/>
        </w:rPr>
        <w:t xml:space="preserve">including Proof of Space, Proof of Replication, and Proof of Space-Time. Proof of Replication and Proof of Space-Time are related storage-based proofs that establish, respectively, the storage of a unique replica and its continued availability over time.</w:t>
      </w:r>
      <w:r>
        <w:rPr>
          <w:color w:val="FF0000"/>
        </w:rPr>
        <w:t xml:space="preserve"/>
      </w:r>
      <w:r>
        <w:rPr>
          <w:rFonts w:eastAsiaTheme="majorEastAsia"/>
        </w:rPr>
        <w:t xml:space="preserve">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
      </w:r>
      <w:r>
        <w:rPr>
          <w:color w:val="FF0000"/>
        </w:rPr>
        <w:t xml:space="preserve">The way blockchain consumes energy, particularly in proof-of-work (PoW) public networks [65], [66], is at the very centre</w:t>
      </w:r>
      <w:r>
        <w:rPr>
          <w:rFonts w:eastAsiaTheme="majorEastAsia"/>
        </w:rPr>
        <w:t xml:space="preserv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
      </w:r>
      <w:r>
        <w:rPr>
          <w:color w:val="FF0000"/>
        </w:rPr>
        <w:t xml:space="preserve">Power is the rate at which energy is consumed (measured in watts), whereas energy is the product of power and time (measured in joules or kilowatt-hours).</w:t>
      </w:r>
      <w:r>
        <w:t xml:space="preserve">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 xml:space="preserve">De Vries and others estimate the total power consumption of the entire network using bottom-up modeling based on observed hash rates, assumptions about mining hardware efficiencies and </w:t>
      </w:r>
      <w:r>
        <w:rPr>
          <w:color w:val="FF0000"/>
        </w:rPr>
        <w:t xml:space="preserve">Power Usage Effectiveness (PUE)</w:t>
      </w:r>
      <w:r>
        <w:t xml:space="preserv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color w:val="FF0000"/>
        </w:rPr>
        <w:t xml:space="preserve">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
      </w:r>
      <w:r>
        <w:rPr>
          <w:color w:val="FF0000"/>
        </w:rPr>
        <w:t xml:space="preserve">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r>
        <w:t xml:space="preserve"/>
      </w:r>
    </w:p>
    <w:p w14:paraId="5F58AD8B" w14:textId="77777777" w:rsidR="008B202D" w:rsidRPr="006C7BCF" w:rsidRDefault="008B202D" w:rsidP="008B202D">
      <w:pPr>
        <w:spacing w:after="160" w:line="276" w:lineRule="auto"/>
        <w:rPr>
          <w:rFonts w:eastAsia="Times New Roman"/>
          <w:sz w:val="24"/>
          <w:szCs w:val="24"/>
        </w:rPr>
      </w:pPr>
      <w:r>
        <w:rPr>
          <w:color w:val="FF0000"/>
        </w:rP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68068CCE" w14:textId="77777777" w:rsidR="008B202D" w:rsidRPr="006C7BCF" w:rsidRDefault="008B202D" w:rsidP="008B202D">
      <w:pPr>
        <w:spacing w:after="160" w:line="276" w:lineRule="auto"/>
        <w:rPr>
          <w:rFonts w:eastAsia="Times New Roman"/>
          <w:sz w:val="24"/>
          <w:szCs w:val="24"/>
        </w:rPr>
      </w:pPr>
      <w:r>
        <w:rPr>
          <w:color w:val="FF0000"/>
        </w:rPr>
        <w:t xml:space="preserve">The development of numerous consensus algorithms has enriched the consensus-design space; however, it has also made systematic comparison more difficult.</w:t>
      </w:r>
      <w:r>
        <w:t xml:space="preserve"> </w:t>
      </w:r>
      <w:r>
        <w:rPr>
          <w:color w:val="FF0000"/>
        </w:rPr>
        <w:t xml:space="preserve">Although several important surveys detail blockchain architecture, security, and consensus mechanisms, a considerable gap remains in the comparative understanding of these mechanisms.</w:t>
      </w:r>
      <w:r>
        <w:t xml:space="preserve"> Looking at the literature on consensus mechanisms, many prior surveys have examined these mechanisms </w:t>
      </w:r>
      <w:r>
        <w:rPr>
          <w:color w:val="FF0000"/>
        </w:rPr>
        <w:t xml:space="preserve">through one or a limited number of isolated lenses (e.g., taxonomy, architecture, protocol design, or application orientation), thereby failing</w:t>
      </w:r>
      <w:r>
        <w:t xml:space="preserve">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w:t>
      </w:r>
      <w:r>
        <w:rPr>
          <w:color w:val="FF0000"/>
        </w:rPr>
        <w:t xml:space="preserve">Second, it introduces an evaluation framework that compares all categories of consensus mechanisms along three dimensions: (1) functionality, which describes the type and scope of the system; (2) security, which encompasses both conventional protection against intentional attacks and robustness against non-adversarial faults; and (3) energy consumption and sustainability, understood as a holistic measure of efficiency and environmental impact.</w:t>
      </w:r>
      <w:r>
        <w:rPr>
          <w:rFonts w:eastAsia="Times New Roman"/>
          <w:sz w:val="24"/>
          <w:szCs w:val="24"/>
        </w:rPr>
        <w:t xml:space="preserve"> </w:t>
      </w:r>
    </w:p>
    <w:p w14:paraId="7CADEF14" w14:textId="77777777" w:rsidR="001B31C3" w:rsidRPr="006C7BCF" w:rsidRDefault="001B31C3" w:rsidP="001B31C3">
      <w:pPr>
        <w:spacing w:after="160" w:line="276" w:lineRule="auto"/>
        <w:rPr>
          <w:rFonts w:eastAsia="Times New Roman"/>
          <w:sz w:val="24"/>
          <w:szCs w:val="24"/>
        </w:rPr>
      </w:pPr>
      <w:r>
        <w:rPr>
          <w:color w:val="FF0000"/>
        </w:rPr>
        <w:t xml:space="preserve">The structured review addresses the following research 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w:t>
      </w:r>
      <w:r>
        <w:rPr>
          <w:color w:val="FF0000"/>
        </w:rPr>
        <w:t xml:space="preserve">allowing increased throughput and lower confirmation latency [79]. Similarly, Orthrus proposes a Multi-BFT scheme in which transaction ordering is based on partially ordered transactions, enabled by concurrent processing, allowing lower latency while maintaining a global ordering of all transactions [80]. Finally, Crackle proposes a sector-based variant of BFT that operates below the linear (O(n)) communication complexity generally associated with traditional BFT implementations, improving scalability and communication efficiency relative to communication-heavy BFT methods [81].</w:t>
      </w:r>
      <w:r>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 xml:space="preserve">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w:t>
      </w:r>
      <w:r>
        <w:rPr>
          <w:color w:val="FF0000"/>
        </w:rPr>
        <w:t xml:space="preserve">into a single comparison framework, while linking these three dimensions to practical deployment contexts across a wide range of blockchain environments [73], [75].</w:t>
      </w:r>
      <w:r>
        <w:rPr>
          <w:rFonts w:eastAsia="Times New Roman"/>
          <w:sz w:val="24"/>
          <w:szCs w:val="24"/>
        </w:rPr>
        <w:t xml:space="preserve"/>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
      </w:r>
      <w:r>
        <w:rPr>
          <w:color w:val="FF0000"/>
        </w:rPr>
        <w:t xml:space="preserve">The selection process for the articles in this review was informed by PRISMA principles, including identifying</w:t>
      </w:r>
      <w:r>
        <w:t xml:space="preserve">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
      </w:r>
      <w:r>
        <w:rPr>
          <w:color w:val="FF0000"/>
        </w:rPr>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w:t>
      </w:r>
      <w:r>
        <w:t xml:space="preserve"> </w:t>
      </w:r>
      <w:r>
        <w:rPr>
          <w:color w:val="FF0000"/>
        </w:rPr>
        <w:t xml:space="preserve">The evaluation criteria were functionality, security, and energy consumption; these were identified as representative of the trade-offs most important to CA design, namely operational effectiveness, resilience to adversarial behaviour, and sustainability.</w:t>
      </w:r>
      <w:r>
        <w:t xml:space="preserve">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t>
      </w:r>
      <w:r>
        <w:rPr>
          <w:color w:val="FF0000"/>
        </w:rPr>
        <w:t xml:space="preserve">who are eligible to participate in PoCol mining rounds in order to earn rewards.</w:t>
      </w:r>
      <w:r>
        <w:t xml:space="preserve">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w:t>
      </w:r>
      <w:r>
        <w:rPr>
          <w:color w:val="FF0000"/>
        </w:rPr>
        <w:t xml:space="preserve">Afterward, this transaction is broadcast across the network in the same manner as other valid transactions and is included in a block by any miner.</w:t>
      </w:r>
      <w:r>
        <w:t xml:space="preserve">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
      </w:r>
      <w:r>
        <w:rPr>
          <w:color w:val="FF0000"/>
        </w:rPr>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r>
        <w:t xml:space="preserve"/>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w:t>
      </w:r>
      <w:r>
        <w:rPr>
          <w:color w:val="FF0000"/>
        </w:rPr>
        <w:t xml:space="preserve">simulating the operation of Bitcoin-style networks</w:t>
      </w:r>
      <w:r>
        <w:t xml:space="preserve">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
      </w:r>
      <w:r>
        <w:rPr>
          <w:color w:val="FF0000"/>
        </w:rPr>
        <w:t xml:space="preserve">All simulation inputs other than the miner population remained unchanged between test runs; these are included in the InputConfig sheet of each workbook.</w:t>
      </w:r>
      <w:r>
        <w:t xml:space="preserve">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w:t>
      </w:r>
      <w:r>
        <w:rPr>
          <w:color w:val="FF0000"/>
        </w:rPr>
        <w:t xml:space="preserve">described the structure of the result workbooks generated by the simulator</w:t>
      </w:r>
      <w:r>
        <w:t xml:space="preserve">, and identified the normalized performance measurements to be used for subsequent analyses. </w:t>
      </w:r>
    </w:p>
    <w:p w14:paraId="4BEDBAEC" w14:textId="77777777" w:rsidR="00747645" w:rsidRPr="006C7BCF" w:rsidRDefault="00747645" w:rsidP="00747645">
      <w:r>
        <w:t xml:space="preserve">Furthermore, </w:t>
      </w:r>
      <w:r>
        <w:rPr>
          <w:color w:val="FF0000"/>
        </w:rPr>
        <w:t xml:space="preserve">the experiment produced ten result workbooks — five PoW scenarios and five PoCol scenarios, corresponding to miner populations of 100, 200, 300, 400, and 500 — each containing the configuration, aggregate information, miner accounting data, chain history, and energy-consumption data.</w:t>
      </w:r>
      <w:r>
        <w:t xml:space="preserve"> </w:t>
      </w:r>
    </w:p>
    <w:p w14:paraId="7A28C1EE" w14:textId="77777777" w:rsidR="00A12544" w:rsidRPr="006C7BCF" w:rsidRDefault="00747645" w:rsidP="00747645">
      <w:r>
        <w:t xml:space="preserve"/>
      </w:r>
      <w:r>
        <w:rPr>
          <w:color w:val="FF0000"/>
        </w:rPr>
        <w:t xml:space="preserve">Thus, the thesis has a proof-of-concept simulation basis — one run per configuration, analysed descriptively without significance testing — for analyzing the behavior of PoCol and PoW</w:t>
      </w:r>
      <w:r>
        <w:t xml:space="preserve">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w:t>
      </w:r>
      <w:r>
        <w:rPr>
          <w:color w:val="FF0000"/>
        </w:rPr>
        <w:t xml:space="preserve">Specifically, the experiments were designed to answer three questions: Does collaborative nonce-space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r>
        <w:t xml:space="preserve"/>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rPr>
          <w:color w:val="FF0000"/>
        </w:rPr>
        <w:t xml:space="preserve">7.3.2. Latency and approximate confirmation time</w:t>
      </w:r>
      <w:bookmarkEnd w:id="236"/>
    </w:p>
    <w:p w14:paraId="646E5C4B" w14:textId="77777777" w:rsidR="00B42EA1" w:rsidRPr="006C7BCF" w:rsidRDefault="00747645" w:rsidP="00747645">
      <w:r>
        <w:t xml:space="preserve"/>
      </w:r>
      <w:r>
        <w:rPr>
          <w:color w:val="FF0000"/>
        </w:rP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w:t>
      </w:r>
      <w:r>
        <w:t xml:space="preserve"> 3189 seconds for PoCol and 3128 seconds for PoW (see Figure 7.2). </w:t>
      </w:r>
      <w:r>
        <w:rPr>
          <w:color w:val="FF0000"/>
        </w:rPr>
        <w:t xml:space="preserve">The approximate confirmation time for PoCol begins to drop rapidly</w:t>
      </w:r>
      <w:r>
        <w:t xml:space="preserve">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
      </w:r>
      <w:r>
        <w:rPr>
          <w:color w:val="FF0000"/>
        </w:rPr>
        <w:t xml:space="preserve">Figure 7.2. Approximate six-block confirmation time derived from the average main-chain block interval.</w:t>
      </w:r>
      <w:r>
        <w:rPr>
          <w:i/>
          <w:sz w:val="20"/>
        </w:rPr>
        <w:t xml:space="preserve"/>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w:t>
      </w:r>
      <w:r>
        <w:rPr>
          <w:color w:val="FF0000"/>
        </w:rPr>
        <w:t xml:space="preserve">PoCol generally improves throughput and shortens the approximate six-block confirmation time.</w:t>
      </w:r>
      <w:r>
        <w:t xml:space="preserv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erEmpty.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Empt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