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Reviewers</w:t>
      </w:r>
    </w:p>
    <w:p>
      <w:r>
        <w:rPr>
          <w:b/>
        </w:rPr>
        <w:t>Manuscript:</w:t>
      </w:r>
      <w:r>
        <w:t xml:space="preserve"> Extending BlockSim with Consensus-Aware Energy and Carbon Footprint Modeling for Sustainable Blockchain Evaluation</w:t>
      </w:r>
    </w:p>
    <w:p>
      <w:r>
        <w:rPr>
          <w:b/>
        </w:rPr>
        <w:t>Authors:</w:t>
      </w:r>
      <w:r>
        <w:t xml:space="preserve"> Raed S. Rasheed, Aiman A. AbuSamra</w:t>
      </w:r>
    </w:p>
    <w:p>
      <w:r>
        <w:t>We thank both reviewers for their careful and constructive reading. The reviews</w:t>
      </w:r>
    </w:p>
    <w:p>
      <w:r>
        <w:t>identified a fundamental modelling problem (PoW energy was not economically</w:t>
      </w:r>
    </w:p>
    <w:p>
      <w:r>
        <w:t>driven) and several methodological gaps (Ethereum's consensus, γ sensitivity,</w:t>
      </w:r>
    </w:p>
    <w:p>
      <w:r>
        <w:t>difficulty dynamics, statistics, figures, communication energy, and the</w:t>
      </w:r>
    </w:p>
    <w:p>
      <w:r>
        <w:t>unsupported "validated" claim). We have substantially revised both the</w:t>
      </w:r>
    </w:p>
    <w:p>
      <w:r>
        <w:t>manuscript and the BlockSim code. The most important change is that **Proof-of-</w:t>
      </w:r>
    </w:p>
    <w:p>
      <w:r>
        <w:t>Work energy is now an economically driven model in which the expected mining</w:t>
      </w:r>
    </w:p>
    <w:p>
      <w:r>
        <w:t>reward and the cryptocurrency price are explicit input variables**, and</w:t>
      </w:r>
    </w:p>
    <w:p>
      <w:r>
        <w:t>**Proof-of-Work and Proof-of-Stake are now modelled as two distinct energy</w:t>
      </w:r>
    </w:p>
    <w:p>
      <w:r>
        <w:t>processes**.</w:t>
      </w:r>
    </w:p>
    <w:p>
      <w:r>
        <w:t>Below we respond point by point. Section, equation, figure, and table numbers</w:t>
      </w:r>
    </w:p>
    <w:p>
      <w:r>
        <w:t>refer to the revised manuscript. All reported numbers are produced by the</w:t>
      </w:r>
    </w:p>
    <w:p>
      <w:r>
        <w:t>released experiment scripts and are mutually consistent across text, tables, and</w:t>
      </w:r>
    </w:p>
    <w:p>
      <w:r>
        <w:t>figures (single-source generation).</w:t>
      </w:r>
    </w:p>
    <w:p>
      <w:pPr>
        <w:pStyle w:val="Heading1"/>
      </w:pPr>
      <w:r>
        <w:t>Reviewer 1</w:t>
      </w:r>
    </w:p>
    <w:p>
      <w:pPr>
        <w:pStyle w:val="Heading2"/>
      </w:pPr>
      <w:r>
        <w:t>R1.1 (Major, most critical) — PoW energy misrepresented; price/reward missing</w:t>
      </w:r>
    </w:p>
    <w:p>
      <w:r>
        <w:rPr>
          <w:i/>
        </w:rPr>
        <w:t>The energy consumption of PoW-based cryptocurrencies is connected to their price and reward properties ... this variable is entirely missing from the model.</w:t>
      </w:r>
    </w:p>
    <w:p>
      <w:r>
        <w:rPr>
          <w:b/>
        </w:rPr>
        <w:t>Response:</w:t>
      </w:r>
      <w:r>
        <w:t xml:space="preserve"> We agree, and this was the central flaw. We have replaced the</w:t>
      </w:r>
    </w:p>
    <w:p>
      <w:r>
        <w:t xml:space="preserve">previous miner-count-based PoW model with an </w:t>
      </w:r>
      <w:r>
        <w:rPr>
          <w:b/>
        </w:rPr>
        <w:t>economic energy model</w:t>
      </w:r>
      <w:r>
        <w:t xml:space="preserve"> in which</w:t>
      </w:r>
    </w:p>
    <w:p>
      <w:r>
        <w:t>the expected block reward and the coin price are explicit inputs. A rational</w:t>
      </w:r>
    </w:p>
    <w:p>
      <w:r>
        <w:t>miner spends on electricity up to the fiat value of the expected reward, so the</w:t>
      </w:r>
    </w:p>
    <w:p>
      <w:r>
        <w:t>network energy is bounded by economics, not by the number of machines.</w:t>
      </w:r>
    </w:p>
    <w:p>
      <w:r>
        <w:rPr>
          <w:b/>
        </w:rPr>
        <w:t>Revision made:</w:t>
      </w:r>
      <w:r>
        <w:t xml:space="preserve"> New Section 4.1 (Proof-of-Work Economic Energy Model)</w:t>
      </w:r>
    </w:p>
    <w:p>
      <w:r>
        <w:t>introduces:</w:t>
      </w:r>
    </w:p>
    <w:p>
      <w:pPr>
        <w:pStyle w:val="ListBullet"/>
      </w:pPr>
      <w:r>
        <w:t>R_t = (B_t + F_t) × P_t — expected block reward in fiat (Eq. 1),</w:t>
      </w:r>
    </w:p>
    <w:p>
      <w:pPr>
        <w:pStyle w:val="ListBullet"/>
      </w:pPr>
      <w:r>
        <w:t>E_budget,t = κ × R_t / C_elec,t — economic electricity budget (Eq. 2),</w:t>
      </w:r>
    </w:p>
    <w:p>
      <w:pPr>
        <w:pStyle w:val="ListBullet"/>
      </w:pPr>
      <w:r>
        <w:t>an optional technical bound E_technical (Eq. 3) and E_PoW = min(E_technical, E_budget), with per-miner allocation E_i = s_i × E_PoW (Eq. 4).</w:t>
      </w:r>
    </w:p>
    <w:p>
      <w:r>
        <w:t>We added `PowEconomicEnergyModel` in `Models/Energy/energy_models.py` with inputs</w:t>
      </w:r>
    </w:p>
    <w:p>
      <w:r>
        <w:t>`coin_price`, `block_subsidy`, `avg_tx_fees`, `electricity_price_per_kwh`,</w:t>
      </w:r>
    </w:p>
    <w:p>
      <w:r>
        <w:t>`electricity_spend_ratio_kappa`, and efficiency/difficulty/hashrate hooks.</w:t>
      </w:r>
    </w:p>
    <w:p>
      <w:r>
        <w:t>Experiment `run_pow_price_sensitivity.py` demonstrates the dependence: network</w:t>
      </w:r>
    </w:p>
    <w:p>
      <w:r>
        <w:t>energy rises linearly with coin price (155.8 → 779.1 GWh/day from 20k → 100k USD)</w:t>
      </w:r>
    </w:p>
    <w:p>
      <w:r>
        <w:t>and with block reward, and falls inversely with electricity price. We also show</w:t>
      </w:r>
    </w:p>
    <w:p>
      <w:r>
        <w:t xml:space="preserve">(Fig. 1, Table 2) that </w:t>
      </w:r>
      <w:r>
        <w:rPr>
          <w:b/>
        </w:rPr>
        <w:t>total PoW energy is invariant to miner count</w:t>
      </w:r>
      <w:r>
        <w:t>, while</w:t>
      </w:r>
    </w:p>
    <w:p>
      <w:r>
        <w:t>per-miner energy falls ~1/N — directly correcting the earlier misrepresentation.</w:t>
      </w:r>
    </w:p>
    <w:p>
      <w:r>
        <w:rPr>
          <w:b/>
        </w:rPr>
        <w:t>Location in manuscript:</w:t>
      </w:r>
      <w:r>
        <w:t xml:space="preserve"> Section 4.1 (Eqs. 1–4); Section 7.1 (Fig. 1, Table 2);</w:t>
      </w:r>
    </w:p>
    <w:p>
      <w:r>
        <w:t>Section 7.2 (Fig. 2, Table 3); Introduction paragraphs 2–4.</w:t>
      </w:r>
    </w:p>
    <w:p>
      <w:pPr>
        <w:pStyle w:val="Heading2"/>
      </w:pPr>
      <w:r>
        <w:t>R1.2 (Major) — Ethereum has not run PoW for a long time; cite De Vries 2022</w:t>
      </w:r>
    </w:p>
    <w:p>
      <w:r>
        <w:rPr>
          <w:b/>
        </w:rPr>
        <w:t>Response:</w:t>
      </w:r>
      <w:r>
        <w:t xml:space="preserve"> Corrected throughout. We no longer present Ethereum as a PoW</w:t>
      </w:r>
    </w:p>
    <w:p>
      <w:r>
        <w:t>chain. We state that Ethereum moved to PoS at The Merge (September 2022), reduced</w:t>
      </w:r>
    </w:p>
    <w:p>
      <w:r>
        <w:t>consensus energy by ~99.95%, and we cite De Vries (2022, *Patterns*).</w:t>
      </w:r>
    </w:p>
    <w:p>
      <w:r>
        <w:rPr>
          <w:b/>
        </w:rPr>
        <w:t>Revision made:</w:t>
      </w:r>
      <w:r>
        <w:t xml:space="preserve"> Introduction (paragraph 3) and Section 2.3 now state the Merge</w:t>
      </w:r>
    </w:p>
    <w:p>
      <w:r>
        <w:t>explicitly and add the De Vries *Patterns* reference [8]. Any pre-Merge PoW</w:t>
      </w:r>
    </w:p>
    <w:p>
      <w:r>
        <w:t>Ethereum configuration is relabelled "historical Ethereum-like PoW</w:t>
      </w:r>
    </w:p>
    <w:p>
      <w:r>
        <w:t>configuration" and flagged in the limitations (Section 8.2, item 5). The current</w:t>
      </w:r>
    </w:p>
    <w:p>
      <w:r>
        <w:t>Ethereum scenario is modelled with the validator-count PoS model (Section 4.2,</w:t>
      </w:r>
    </w:p>
    <w:p>
      <w:r>
        <w:t>Section 7.3).</w:t>
      </w:r>
    </w:p>
    <w:p>
      <w:r>
        <w:rPr>
          <w:b/>
        </w:rPr>
        <w:t>Location in manuscript:</w:t>
      </w:r>
      <w:r>
        <w:t xml:space="preserve"> Introduction ¶3; Section 2.3; Section 8.2 item 5;</w:t>
      </w:r>
    </w:p>
    <w:p>
      <w:r>
        <w:t>Reference [8].</w:t>
      </w:r>
    </w:p>
    <w:p>
      <w:pPr>
        <w:pStyle w:val="Heading2"/>
      </w:pPr>
      <w:r>
        <w:t>R1.3 (Major) — Model PoW and PoS as two distinct energy models</w:t>
      </w:r>
    </w:p>
    <w:p>
      <w:r>
        <w:rPr>
          <w:i/>
        </w:rPr>
        <w:t>a. PoW: expected reward (price-dependent) must be an input — cf. Sedlmeir et al. 2020.</w:t>
      </w:r>
    </w:p>
    <w:p>
      <w:r>
        <w:rPr>
          <w:i/>
        </w:rPr>
        <w:t>b. PoS: only validator count counts — cf. Platt et al. 2021.</w:t>
      </w:r>
    </w:p>
    <w:p>
      <w:r>
        <w:rPr>
          <w:b/>
        </w:rPr>
        <w:t>Response:</w:t>
      </w:r>
      <w:r>
        <w:t xml:space="preserve"> Done. The single generic model is replaced by two consensus-aware</w:t>
      </w:r>
    </w:p>
    <w:p>
      <w:r>
        <w:t>models.</w:t>
      </w:r>
    </w:p>
    <w:p>
      <w:r>
        <w:rPr>
          <w:b/>
        </w:rPr>
        <w:t>Revision made:</w:t>
      </w:r>
    </w:p>
    <w:p>
      <w:pPr>
        <w:pStyle w:val="ListBullet"/>
      </w:pPr>
      <w:r>
        <w:rPr>
          <w:b/>
        </w:rPr>
        <w:t>PoW (4.1):</w:t>
      </w:r>
      <w:r>
        <w:t xml:space="preserve"> economic model above; cites Sedlmeir et al. [4].</w:t>
      </w:r>
    </w:p>
    <w:p>
      <w:pPr>
        <w:pStyle w:val="ListBullet"/>
      </w:pPr>
      <w:r>
        <w:rPr>
          <w:b/>
        </w:rPr>
        <w:t>PoS (4.2):</w:t>
      </w:r>
      <w:r>
        <w:t xml:space="preserve"> `PosValidatorEnergyModel` implementing</w:t>
      </w:r>
    </w:p>
    <w:p>
      <w:r>
        <w:t xml:space="preserve">  E_PoS = Σ_v (P_v × T × u_v / 1000) + E_comm (Eq. 5), driven by validator count,</w:t>
      </w:r>
    </w:p>
    <w:p>
      <w:r>
        <w:t xml:space="preserve">  hardware power, uptime, and communication overhead; cites Platt et al. [6].</w:t>
      </w:r>
    </w:p>
    <w:p>
      <w:r>
        <w:t xml:space="preserve">  Experiment `run_pos_validator_scaling.py` sweeps validator counts</w:t>
      </w:r>
    </w:p>
    <w:p>
      <w:r>
        <w:t xml:space="preserve">  {100, 500, 1000, 5000} across three hardware classes (Fig. 3, Table 4). The PoS</w:t>
      </w:r>
    </w:p>
    <w:p>
      <w:r>
        <w:t xml:space="preserve">  model has no coin-price input by construction.</w:t>
      </w:r>
    </w:p>
    <w:p>
      <w:r>
        <w:rPr>
          <w:b/>
        </w:rPr>
        <w:t>Location in manuscript:</w:t>
      </w:r>
      <w:r>
        <w:t xml:space="preserve"> Sections 4.1 and 4.2; Sections 7.1–7.3; References</w:t>
      </w:r>
    </w:p>
    <w:p>
      <w:r>
        <w:t>[4], [6].</w:t>
      </w:r>
    </w:p>
    <w:p>
      <w:pPr>
        <w:pStyle w:val="Heading2"/>
      </w:pPr>
      <w:r>
        <w:t>R1.4 (Minor) — Introduce energy properties of consensus mechanisms; permissionlessness, Sybil resistance, freeness; cite Platt, Platt &amp; McBurney 2024</w:t>
      </w:r>
    </w:p>
    <w:p>
      <w:r>
        <w:rPr>
          <w:b/>
        </w:rPr>
        <w:t>Response:</w:t>
      </w:r>
      <w:r>
        <w:t xml:space="preserve"> Added a dedicated subsection.</w:t>
      </w:r>
    </w:p>
    <w:p>
      <w:r>
        <w:rPr>
          <w:b/>
        </w:rPr>
        <w:t>Revision made:</w:t>
      </w:r>
      <w:r>
        <w:t xml:space="preserve"> New Section 2.3 ("Energy Consumption, Permissionlessness, and</w:t>
      </w:r>
    </w:p>
    <w:p>
      <w:r>
        <w:t>Sybil Resistance") explains that PoW achieves Sybil resistance via external,</w:t>
      </w:r>
    </w:p>
    <w:p>
      <w:r>
        <w:t>costly resource expenditure (and is therefore not "free"), whereas PoS uses</w:t>
      </w:r>
    </w:p>
    <w:p>
      <w:r>
        <w:t>stake; it discusses the Sybil-attack vulnerability trilemma and cites Platt,</w:t>
      </w:r>
    </w:p>
    <w:p>
      <w:r>
        <w:t>Platt &amp; McBurney (2024) [15], Sedlmeir et al. [4], Platt et al. [6], and De Vries</w:t>
      </w:r>
    </w:p>
    <w:p>
      <w:r>
        <w:t>[8].</w:t>
      </w:r>
    </w:p>
    <w:p>
      <w:r>
        <w:rPr>
          <w:b/>
        </w:rPr>
        <w:t>Location in manuscript:</w:t>
      </w:r>
      <w:r>
        <w:t xml:space="preserve"> Section 2.3; References [4], [6], [8], [15].</w:t>
      </w:r>
    </w:p>
    <w:p>
      <w:pPr>
        <w:pStyle w:val="Heading1"/>
      </w:pPr>
      <w:r>
        <w:t>Reviewer 2</w:t>
      </w:r>
    </w:p>
    <w:p>
      <w:pPr>
        <w:pStyle w:val="Heading2"/>
      </w:pPr>
      <w:r>
        <w:t>R2.A — Title, abstract, contribution; remove overclaims; position as scenario tool; keywords</w:t>
      </w:r>
    </w:p>
    <w:p>
      <w:r>
        <w:rPr>
          <w:b/>
        </w:rPr>
        <w:t>Response &amp; revision made:</w:t>
      </w:r>
    </w:p>
    <w:p>
      <w:pPr>
        <w:pStyle w:val="ListNumber"/>
      </w:pPr>
      <w:r>
        <w:rPr>
          <w:b/>
        </w:rPr>
        <w:t>Title</w:t>
      </w:r>
      <w:r>
        <w:t xml:space="preserve"> changed to "Extending BlockSim with </w:t>
      </w:r>
      <w:r>
        <w:rPr>
          <w:b/>
        </w:rPr>
        <w:t>Consensus-Aware</w:t>
      </w:r>
      <w:r>
        <w:t xml:space="preserve"> Energy and</w:t>
      </w:r>
    </w:p>
    <w:p>
      <w:r>
        <w:t xml:space="preserve">   Carbon Footprint Modeling for Sustainable Blockchain Evaluation."</w:t>
      </w:r>
    </w:p>
    <w:p>
      <w:pPr>
        <w:pStyle w:val="ListNumber"/>
      </w:pPr>
      <w:r>
        <w:rPr>
          <w:b/>
        </w:rPr>
        <w:t>Abstract</w:t>
      </w:r>
      <w:r>
        <w:t xml:space="preserve"> rewritten to state that PoW energy is economically driven and PoS</w:t>
      </w:r>
    </w:p>
    <w:p>
      <w:r>
        <w:t xml:space="preserve">   energy is validator-count driven.</w:t>
      </w:r>
    </w:p>
    <w:p>
      <w:pPr>
        <w:pStyle w:val="ListNumber"/>
      </w:pPr>
      <w:r>
        <w:t>The word "</w:t>
      </w:r>
      <w:r>
        <w:rPr>
          <w:b/>
        </w:rPr>
        <w:t>validated</w:t>
      </w:r>
      <w:r>
        <w:t>" is removed; we now say the framework is "evaluated</w:t>
      </w:r>
    </w:p>
    <w:p>
      <w:r>
        <w:t xml:space="preserve">   through controlled scenario-based simulations" and report only the sanity</w:t>
      </w:r>
    </w:p>
    <w:p>
      <w:r>
        <w:t xml:space="preserve">   checks we actually implemented.</w:t>
      </w:r>
    </w:p>
    <w:p>
      <w:pPr>
        <w:pStyle w:val="ListNumber"/>
      </w:pPr>
      <w:r>
        <w:t>The tool is explicitly positioned as a **scenario-based explorer, not a</w:t>
      </w:r>
    </w:p>
    <w:p>
      <w:r>
        <w:t xml:space="preserve">   precise real-world estimator** (Abstract; Introduction ¶ final; Section 8.2).</w:t>
      </w:r>
    </w:p>
    <w:p>
      <w:pPr>
        <w:pStyle w:val="ListNumber"/>
      </w:pPr>
      <w:r>
        <w:rPr>
          <w:b/>
        </w:rPr>
        <w:t>Keywords</w:t>
      </w:r>
      <w:r>
        <w:t xml:space="preserve"> updated to include PoW, PoS, Carbon Footprint, Blockchain</w:t>
      </w:r>
    </w:p>
    <w:p>
      <w:r>
        <w:t xml:space="preserve">   Simulation, Energy Modeling.</w:t>
      </w:r>
    </w:p>
    <w:p>
      <w:r>
        <w:rPr>
          <w:b/>
        </w:rPr>
        <w:t>Location:</w:t>
      </w:r>
      <w:r>
        <w:t xml:space="preserve"> Title; Abstract; Keywords; Section 8.2.</w:t>
      </w:r>
    </w:p>
    <w:p>
      <w:pPr>
        <w:pStyle w:val="Heading2"/>
      </w:pPr>
      <w:r>
        <w:t>R2.B — Stronger introduction and PoW/PoS comparison; correct Ethereum</w:t>
      </w:r>
    </w:p>
    <w:p>
      <w:r>
        <w:rPr>
          <w:b/>
        </w:rPr>
        <w:t>Response &amp; revision made:</w:t>
      </w:r>
      <w:r>
        <w:t xml:space="preserve"> Introduction now explains the economic drivers of</w:t>
      </w:r>
    </w:p>
    <w:p>
      <w:r>
        <w:t>PoW energy (subsidy, fees, coin price, electricity price, efficiency,</w:t>
      </w:r>
    </w:p>
    <w:p>
      <w:r>
        <w:t>difficulty/hashrate). Section 2.3 contrasts PoW and PoS on Sybil resistance and</w:t>
      </w:r>
    </w:p>
    <w:p>
      <w:r>
        <w:t>freeness. All statements implying Ethereum runs PoW are corrected (see R1.2).</w:t>
      </w:r>
    </w:p>
    <w:p>
      <w:r>
        <w:rPr>
          <w:b/>
        </w:rPr>
        <w:t>Location:</w:t>
      </w:r>
      <w:r>
        <w:t xml:space="preserve"> Introduction ¶2–4; Sections 2.2–2.3.</w:t>
      </w:r>
    </w:p>
    <w:p>
      <w:pPr>
        <w:pStyle w:val="Heading2"/>
      </w:pPr>
      <w:r>
        <w:t>R2.C — Replace single generic model with separate PoW/PoS; add comm and carbon models</w:t>
      </w:r>
    </w:p>
    <w:p>
      <w:r>
        <w:rPr>
          <w:b/>
        </w:rPr>
        <w:t>Response &amp; revision made:</w:t>
      </w:r>
      <w:r>
        <w:t xml:space="preserve"> New Section 4 "Consensus-Aware Energy Consumption</w:t>
      </w:r>
    </w:p>
    <w:p>
      <w:r>
        <w:t>Models" with subsections 4.1 PoW economic, 4.2 PoS validator, 4.3 communication,</w:t>
      </w:r>
    </w:p>
    <w:p>
      <w:r>
        <w:t>4.4 carbon, matching the requested equations (Eqs. 1–7). Difficulty/hashrate</w:t>
      </w:r>
    </w:p>
    <w:p>
      <w:r>
        <w:t>parameters and an optional retargeting routine are included (Section 4.1; code</w:t>
      </w:r>
    </w:p>
    <w:p>
      <w:r>
        <w:t>`retarget_difficulty`).</w:t>
      </w:r>
    </w:p>
    <w:p>
      <w:r>
        <w:rPr>
          <w:b/>
        </w:rPr>
        <w:t>Location:</w:t>
      </w:r>
      <w:r>
        <w:t xml:space="preserve"> Section 4 (all subsections); Eqs. 1–7.</w:t>
      </w:r>
    </w:p>
    <w:p>
      <w:pPr>
        <w:pStyle w:val="Heading2"/>
      </w:pPr>
      <w:r>
        <w:t>R2.D — Ethereum correction</w:t>
      </w:r>
    </w:p>
    <w:p>
      <w:r>
        <w:rPr>
          <w:b/>
        </w:rPr>
        <w:t>Response &amp; revision made:</w:t>
      </w:r>
      <w:r>
        <w:t xml:space="preserve"> See R1.2. Ethereum is presented as PoS; any PoW</w:t>
      </w:r>
    </w:p>
    <w:p>
      <w:r>
        <w:t>Ethereum is labelled historical; De Vries [8] added; The Merge stated.</w:t>
      </w:r>
    </w:p>
    <w:p>
      <w:r>
        <w:rPr>
          <w:b/>
        </w:rPr>
        <w:t>Location:</w:t>
      </w:r>
      <w:r>
        <w:t xml:space="preserve"> Introduction ¶3; Sections 2.3, 7.3; Section 8.2 item 5.</w:t>
      </w:r>
    </w:p>
    <w:p>
      <w:pPr>
        <w:pStyle w:val="Heading2"/>
      </w:pPr>
      <w:r>
        <w:t>R2.E — Carbon model and γ sensitivity</w:t>
      </w:r>
    </w:p>
    <w:p>
      <w:r>
        <w:rPr>
          <w:b/>
        </w:rPr>
        <w:t>Response &amp; revision made:</w:t>
      </w:r>
      <w:r>
        <w:t xml:space="preserve"> The carbon model C = E × γ is retained (Eq. 7) and</w:t>
      </w:r>
    </w:p>
    <w:p>
      <w:r>
        <w:t>γ is now varied experimentally across **low (0.05), average (0.475), and high</w:t>
      </w:r>
    </w:p>
    <w:p>
      <w:r>
        <w:t>(0.82) kgCO₂e/kWh** grids (`run_carbon_gamma_sensitivity.py`). New Figure 4</w:t>
      </w:r>
    </w:p>
    <w:p>
      <w:r>
        <w:t>("Carbon emissions under different electricity emission factors") and Table 5</w:t>
      </w:r>
    </w:p>
    <w:p>
      <w:r>
        <w:t>report total, per-block, and per-transaction carbon. We discuss that identical</w:t>
      </w:r>
    </w:p>
    <w:p>
      <w:r>
        <w:t>energy maps to a ~16× range of carbon depending on grid (Section 7.4).</w:t>
      </w:r>
    </w:p>
    <w:p>
      <w:r>
        <w:rPr>
          <w:b/>
        </w:rPr>
        <w:t>Location:</w:t>
      </w:r>
      <w:r>
        <w:t xml:space="preserve"> Section 4.4; Section 7.4 (Fig. 4, Table 5).</w:t>
      </w:r>
    </w:p>
    <w:p>
      <w:pPr>
        <w:pStyle w:val="Heading2"/>
      </w:pPr>
      <w:r>
        <w:t>R2.F — Communication-energy model defined but not analyzed</w:t>
      </w:r>
    </w:p>
    <w:p>
      <w:r>
        <w:rPr>
          <w:b/>
        </w:rPr>
        <w:t>Response &amp; revision made:</w:t>
      </w:r>
      <w:r>
        <w:t xml:space="preserve"> The communication model is now instrumented and</w:t>
      </w:r>
    </w:p>
    <w:p>
      <w:r>
        <w:t>analyzed. `CommunicationEnergyModel` counts transmitted/received block and</w:t>
      </w:r>
    </w:p>
    <w:p>
      <w:r>
        <w:t>transaction messages and bytes (Eq. 6). `run_communication_energy_analysis.py`</w:t>
      </w:r>
    </w:p>
    <w:p>
      <w:r>
        <w:t>varies transaction rate (1/10/100 tx/s), block size (0.5/1/2 MB), and peer degree</w:t>
      </w:r>
    </w:p>
    <w:p>
      <w:r>
        <w:t>(4/8/16). Figure 5 and Table 6 report communication energy separately from</w:t>
      </w:r>
    </w:p>
    <w:p>
      <w:r>
        <w:t>consensus energy. We show it is negligible versus PoW (ratio ~3×10⁻⁶) but</w:t>
      </w:r>
    </w:p>
    <w:p>
      <w:r>
        <w:t>comparable to PoS consensus energy at 100 tx/s (~1,455 vs ~2,387 kWh/day), so it</w:t>
      </w:r>
    </w:p>
    <w:p>
      <w:r>
        <w:t>matters in PoS/high-throughput settings (Section 7.5).</w:t>
      </w:r>
    </w:p>
    <w:p>
      <w:r>
        <w:rPr>
          <w:b/>
        </w:rPr>
        <w:t>Location:</w:t>
      </w:r>
      <w:r>
        <w:t xml:space="preserve"> Section 4.3; Section 7.5 (Fig. 5, Table 6); Section 8.2 item 6.</w:t>
      </w:r>
    </w:p>
    <w:p>
      <w:pPr>
        <w:pStyle w:val="Heading2"/>
      </w:pPr>
      <w:r>
        <w:t>R2.G — Experimental design, statistics, reproducibility table</w:t>
      </w:r>
    </w:p>
    <w:p>
      <w:r>
        <w:rPr>
          <w:b/>
        </w:rPr>
        <w:t>Response &amp; revision made:</w:t>
      </w:r>
      <w:r>
        <w:t xml:space="preserve"> Experiments expanded to PoW miner scaling, PoW</w:t>
      </w:r>
    </w:p>
    <w:p>
      <w:r>
        <w:t>economic sensitivity (price, reward, electricity), PoS validator/hardware/uptime</w:t>
      </w:r>
    </w:p>
    <w:p>
      <w:r>
        <w:t>scaling, carbon γ sensitivity, and communication analysis. Each scenario is run</w:t>
      </w:r>
    </w:p>
    <w:p>
      <w:r>
        <w:t xml:space="preserve">with </w:t>
      </w:r>
      <w:r>
        <w:rPr>
          <w:b/>
        </w:rPr>
        <w:t>30 random seeds</w:t>
      </w:r>
      <w:r>
        <w:t xml:space="preserve"> (seeds 20260101–20260130, generated as base + i) and</w:t>
      </w:r>
    </w:p>
    <w:p>
      <w:r>
        <w:t xml:space="preserve">reported with </w:t>
      </w:r>
      <w:r>
        <w:rPr>
          <w:b/>
        </w:rPr>
        <w:t>mean, standard deviation, and 95% confidence interval</w:t>
      </w:r>
      <w:r>
        <w:t xml:space="preserve"> (Student</w:t>
      </w:r>
    </w:p>
    <w:p>
      <w:r>
        <w:t xml:space="preserve">t). A </w:t>
      </w:r>
      <w:r>
        <w:rPr>
          <w:b/>
        </w:rPr>
        <w:t>reproducibility table</w:t>
      </w:r>
      <w:r>
        <w:t xml:space="preserve"> (Table 1) lists horizon, block interval, seed</w:t>
      </w:r>
    </w:p>
    <w:p>
      <w:r>
        <w:t>count, miner/validator counts, reward/price/electricity assumptions, γ values,</w:t>
      </w:r>
    </w:p>
    <w:p>
      <w:r>
        <w:t>and efficiency assumptions. Carbon is reported per block and per transaction</w:t>
      </w:r>
    </w:p>
    <w:p>
      <w:r>
        <w:t>(Table 5).</w:t>
      </w:r>
    </w:p>
    <w:p>
      <w:r>
        <w:rPr>
          <w:b/>
        </w:rPr>
        <w:t>Location:</w:t>
      </w:r>
      <w:r>
        <w:t xml:space="preserve"> Section 6 (Table 1); Sections 7.1–7.5 (Tables 2–6).</w:t>
      </w:r>
    </w:p>
    <w:p>
      <w:pPr>
        <w:pStyle w:val="Heading2"/>
      </w:pPr>
      <w:r>
        <w:t>R2 (figures) — Figures uninformative / visually misleading</w:t>
      </w:r>
    </w:p>
    <w:p>
      <w:r>
        <w:rPr>
          <w:b/>
        </w:rPr>
        <w:t>Response &amp; revision made:</w:t>
      </w:r>
      <w:r>
        <w:t xml:space="preserve"> The previous overlay figures (Bitcoin compressed to</w:t>
      </w:r>
    </w:p>
    <w:p>
      <w:r>
        <w:t>a flat line; mismatched y-axes) are removed. New figures follow the requested</w:t>
      </w:r>
    </w:p>
    <w:p>
      <w:r>
        <w:t>rules:</w:t>
      </w:r>
    </w:p>
    <w:p>
      <w:pPr>
        <w:pStyle w:val="ListBullet"/>
      </w:pPr>
      <w:r>
        <w:rPr>
          <w:b/>
        </w:rPr>
        <w:t>Fig. 1</w:t>
      </w:r>
      <w:r>
        <w:t xml:space="preserve"> PoW energy vs miners with error bars (two panels: invariant total;</w:t>
      </w:r>
    </w:p>
    <w:p>
      <w:r>
        <w:t xml:space="preserve">  1/N per-miner on log axis).</w:t>
      </w:r>
    </w:p>
    <w:p>
      <w:pPr>
        <w:pStyle w:val="ListBullet"/>
      </w:pPr>
      <w:r>
        <w:rPr>
          <w:b/>
        </w:rPr>
        <w:t>Fig. 2</w:t>
      </w:r>
      <w:r>
        <w:t xml:space="preserve"> PoW energy vs coin price with error bars.</w:t>
      </w:r>
    </w:p>
    <w:p>
      <w:pPr>
        <w:pStyle w:val="ListBullet"/>
      </w:pPr>
      <w:r>
        <w:rPr>
          <w:b/>
        </w:rPr>
        <w:t>Fig. 3</w:t>
      </w:r>
      <w:r>
        <w:t xml:space="preserve"> PoS energy vs validator count with error bars (three hardware</w:t>
      </w:r>
    </w:p>
    <w:p>
      <w:r>
        <w:t xml:space="preserve">  classes).</w:t>
      </w:r>
    </w:p>
    <w:p>
      <w:pPr>
        <w:pStyle w:val="ListBullet"/>
      </w:pPr>
      <w:r>
        <w:rPr>
          <w:b/>
        </w:rPr>
        <w:t>Fig. 4</w:t>
      </w:r>
      <w:r>
        <w:t xml:space="preserve"> Carbon vs γ (log axis, avoids compressing PoS against PoW).</w:t>
      </w:r>
    </w:p>
    <w:p>
      <w:pPr>
        <w:pStyle w:val="ListBullet"/>
      </w:pPr>
      <w:r>
        <w:rPr>
          <w:b/>
        </w:rPr>
        <w:t>Fig. 5</w:t>
      </w:r>
      <w:r>
        <w:t xml:space="preserve"> Computation vs communication energy (log-log).</w:t>
      </w:r>
    </w:p>
    <w:p>
      <w:pPr>
        <w:pStyle w:val="ListBullet"/>
      </w:pPr>
      <w:r>
        <w:rPr>
          <w:b/>
        </w:rPr>
        <w:t>Fig. 6</w:t>
      </w:r>
      <w:r>
        <w:t xml:space="preserve"> PoW vs PoS orders-of-magnitude comparison (log axis).</w:t>
      </w:r>
    </w:p>
    <w:p>
      <w:r>
        <w:t>We use log axes or separate panels wherever magnitudes differ by orders of</w:t>
      </w:r>
    </w:p>
    <w:p>
      <w:r>
        <w:t>magnitude, never placing disparate linear values on one axis. Captions and</w:t>
      </w:r>
    </w:p>
    <w:p>
      <w:r>
        <w:t>numbering are corrected, and every figure is paired with a numerical table.</w:t>
      </w:r>
    </w:p>
    <w:p>
      <w:r>
        <w:rPr>
          <w:b/>
        </w:rPr>
        <w:t>Location:</w:t>
      </w:r>
      <w:r>
        <w:t xml:space="preserve"> Figures 1–6 and Tables 2–7.</w:t>
      </w:r>
    </w:p>
    <w:p>
      <w:pPr>
        <w:pStyle w:val="Heading2"/>
      </w:pPr>
      <w:r>
        <w:t>R2 (validation) — "Validated" without validation; inconsistent values</w:t>
      </w:r>
    </w:p>
    <w:p>
      <w:r>
        <w:rPr>
          <w:b/>
        </w:rPr>
        <w:t>Response &amp; revision made:</w:t>
      </w:r>
      <w:r>
        <w:t xml:space="preserve"> We removed the "validated" claim. Instead Section</w:t>
      </w:r>
    </w:p>
    <w:p>
      <w:r>
        <w:t xml:space="preserve">7.6 reports (i) an </w:t>
      </w:r>
      <w:r>
        <w:rPr>
          <w:b/>
        </w:rPr>
        <w:t>analytical sanity check</w:t>
      </w:r>
      <w:r>
        <w:t xml:space="preserve"> confirming the simulator</w:t>
      </w:r>
    </w:p>
    <w:p>
      <w:r>
        <w:t>reproduces E = P × T to machine precision (Table 7; max relative error 0.00) and</w:t>
      </w:r>
    </w:p>
    <w:p>
      <w:r>
        <w:t xml:space="preserve">(ii) a </w:t>
      </w:r>
      <w:r>
        <w:rPr>
          <w:b/>
        </w:rPr>
        <w:t>literature-order check</w:t>
      </w:r>
      <w:r>
        <w:t xml:space="preserve"> showing the PoW/PoS energy gap (~197,000×) is</w:t>
      </w:r>
    </w:p>
    <w:p>
      <w:r>
        <w:t>consistent with Sedlmeir et al. [4], Platt et al. [6], and the ~99.95% Merge</w:t>
      </w:r>
    </w:p>
    <w:p>
      <w:r>
        <w:t>reduction [8]. All numbers are generated from a single pipeline so text, tables,</w:t>
      </w:r>
    </w:p>
    <w:p>
      <w:r>
        <w:t>and figures match exactly; the earlier inconsistent Ethereum-at-1000-miners</w:t>
      </w:r>
    </w:p>
    <w:p>
      <w:r>
        <w:t>values no longer appear.</w:t>
      </w:r>
    </w:p>
    <w:p>
      <w:r>
        <w:rPr>
          <w:b/>
        </w:rPr>
        <w:t>Location:</w:t>
      </w:r>
      <w:r>
        <w:t xml:space="preserve"> Abstract; Section 7.6 (Table 7, Fig. 6); Section 8.</w:t>
      </w:r>
    </w:p>
    <w:p>
      <w:pPr>
        <w:pStyle w:val="Heading2"/>
      </w:pPr>
      <w:r>
        <w:t>R2 (limitations) — Strengthen threats to validity</w:t>
      </w:r>
    </w:p>
    <w:p>
      <w:r>
        <w:rPr>
          <w:b/>
        </w:rPr>
        <w:t>Response &amp; revision made:</w:t>
      </w:r>
      <w:r>
        <w:t xml:space="preserve"> Section 8.2 now enumerates seven explicit</w:t>
      </w:r>
    </w:p>
    <w:p>
      <w:r>
        <w:t>limitations: scenario-based (not predictive); PoW sensitivity to price/reward/</w:t>
      </w:r>
    </w:p>
    <w:p>
      <w:r>
        <w:t>fees/electricity/efficiency/difficulty; PoS sensitivity to validator count/</w:t>
      </w:r>
    </w:p>
    <w:p>
      <w:r>
        <w:t>hardware/uptime/redundancy/communication; carbon dependence on regional/temporal</w:t>
      </w:r>
    </w:p>
    <w:p>
      <w:r>
        <w:t>grid mix; historical-Ethereum caveat; communication energy caveat; and the</w:t>
      </w:r>
    </w:p>
    <w:p>
      <w:r>
        <w:t>discrete-event abstraction caveat.</w:t>
      </w:r>
    </w:p>
    <w:p>
      <w:r>
        <w:rPr>
          <w:b/>
        </w:rPr>
        <w:t>Location:</w:t>
      </w:r>
      <w:r>
        <w:t xml:space="preserve"> Section 8.2 (items 1–7).</w:t>
      </w:r>
    </w:p>
    <w:p>
      <w:pPr>
        <w:pStyle w:val="Heading1"/>
      </w:pPr>
      <w:r>
        <w:t>Summary of new references added</w:t>
      </w:r>
    </w:p>
    <w:p>
      <w:r>
        <w:t>[4] Sedlmeir et al. 2020; [6] Platt et al. 2021 (QRS-C); [7] Nguyen et al. 2019</w:t>
      </w:r>
    </w:p>
    <w:p>
      <w:r>
        <w:t>(PoS); [8] De Vries 2022 (Patterns); [15] Platt, Platt &amp; McBurney 2024 (Sybil</w:t>
      </w:r>
    </w:p>
    <w:p>
      <w:r>
        <w:t>trilemma). The reference list was de-duplicated and reformatted consistently.</w:t>
      </w:r>
    </w:p>
    <w:p>
      <w:r>
        <w:t>We believe the revision addresses every point raised and significantly improves</w:t>
      </w:r>
    </w:p>
    <w:p>
      <w:r>
        <w:t>the contribution. We thank the reviewers again for their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