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Independent Pre-Submission Audit Report</w:t>
      </w:r>
    </w:p>
    <w:p>
      <w:pPr>
        <w:jc w:val="center"/>
      </w:pPr>
      <w:r>
        <w:rPr>
          <w:sz w:val="24"/>
        </w:rPr>
        <w:t>PhD Thesis — “Proof-of-Collaboration: A Novel Blockchain Consensus Algorithm with Highly Efficient Power” (Raed S. Rasheed, Islamic University of Gaza)</w:t>
      </w:r>
    </w:p>
    <w:p>
      <w:pPr>
        <w:jc w:val="center"/>
      </w:pPr>
      <w:r>
        <w:rPr>
          <w:i/>
          <w:sz w:val="20"/>
        </w:rPr>
        <w:t>Audited file: PhDthesisRaedRasheed-final-24-Red-Corrections.docx   |   Audit date: 17 July 2026   |   The audited document was NOT modified in any way.</w:t>
      </w:r>
    </w:p>
    <w:p>
      <w:pPr>
        <w:pStyle w:val="Heading1"/>
      </w:pPr>
      <w:r>
        <w:t>1. Executive Assessment</w:t>
      </w:r>
    </w:p>
    <w:p>
      <w:r>
        <w:rPr>
          <w:b w:val="0"/>
          <w:i w:val="0"/>
        </w:rPr>
        <w:t>This report is the result of a full fourteen-phase audit of the thesis manuscript, covering structure and front matter, the Table of Contents and the Lists of Tables/Figures, figures/tables/captions, numerical consistency (with Table 7.1 treated as authoritative), the in-text citation system, the reference list, DOI resolution, citation ordering, contextual validity of citations, language, technical/scientific editing, traceability of research questions and contributions, equations and notation, and Word-level formatting quality.</w:t>
      </w:r>
    </w:p>
    <w:p>
      <w:r>
        <w:rPr>
          <w:b w:val="0"/>
          <w:i w:val="0"/>
        </w:rPr>
        <w:t>Overall, the manuscript is in strong technical and editorial condition. The citation system is essentially flawless: all 148 references are cited in the text, numbering follows strict first-appearance order with no gaps or duplicates, no citation cluster exceeds two references, and the IEEE-formatted reference table is complete and internally consistent. The red-marked revision text integrates correctly, the chapter architecture is complete and logical (Chapters 1–8 plus References), all fourteen figures are physically present and sized within the A4 text block, and the seven previously unresolved references have been replaced by fully verifiable published sources whose DOIs all resolve.</w:t>
      </w:r>
    </w:p>
    <w:p>
      <w:r>
        <w:rPr>
          <w:b w:val="0"/>
          <w:i w:val="0"/>
        </w:rPr>
        <w:t>However, the audit identified one critical structural omission — the thesis contains no Abstract (neither English nor Arabic) — together with five major issues (three numerical/attribution errors in Chapter 7 that contradict the authoritative Table 7.1, a stale manually-typed List of Tables/List of Figures, and one reference whose author names do not match the published record), plus a set of moderate and minor editorial defects (typos such as “PoConst” and “mahmatical”, caption-style inconsistencies, uncross-referenced figures/tables, and equation-numbering anomalies). All identified issues are localized and mechanically correctable; none undermines the scientific contribution itself.</w:t>
      </w:r>
    </w:p>
    <w:p>
      <w:pPr>
        <w:pStyle w:val="Heading1"/>
      </w:pPr>
      <w:r>
        <w:t>2. Submission-Readiness Decision</w:t>
      </w:r>
    </w:p>
    <w:p>
      <w:r>
        <w:rPr>
          <w:b/>
          <w:color w:val="E36C09"/>
          <w:sz w:val="26"/>
        </w:rPr>
        <w:t>DECISION: Major corrections required before submission.</w:t>
      </w:r>
    </w:p>
    <w:p>
      <w:r>
        <w:rPr>
          <w:b w:val="0"/>
          <w:i w:val="0"/>
        </w:rPr>
        <w:t>Rationale: the missing Abstract is a hard submission blocker for any doctoral thesis (and Arabic-language institutions normally require both an English abstract and an Arabic ملخص), and Chapter 7 currently contains three factual statements that conflict with the thesis's own authoritative results table (a finality attribution error, a per-transaction energy unit error of three orders of magnitude, and an understated PoW carbon figure). Once the corrections in Section 23 (items P1–P9) are applied — an effort estimated at one working day — the thesis would move to “Ready after minor corrections”. No structural rewriting, re-experimentation, or re-analysis is needed.</w:t>
      </w:r>
    </w:p>
    <w:p>
      <w:pPr>
        <w:pStyle w:val="Heading1"/>
      </w:pPr>
      <w:r>
        <w:t>3. Audit Scope, Method, and Limitations</w:t>
      </w:r>
    </w:p>
    <w:p>
      <w:pPr>
        <w:pStyle w:val="ListBullet"/>
      </w:pPr>
      <w:r>
        <w:t>The entire document was audited (2,028 paragraphs, ≈43,400 words, front matter through the 148-entry reference table), not only the red-marked revisions.</w:t>
      </w:r>
    </w:p>
    <w:p>
      <w:pPr>
        <w:pStyle w:val="ListBullet"/>
      </w:pPr>
      <w:r>
        <w:t>Reference verification used Crossref, DataCite and the DOI.org handle system as authorities. No bibliographic data was invented; where a fact could not be independently verified, this is stated explicitly.</w:t>
      </w:r>
    </w:p>
    <w:p>
      <w:pPr>
        <w:pStyle w:val="ListBullet"/>
      </w:pPr>
      <w:r>
        <w:t>Limitation — page numbers: no page-rendering engine was available in the audit environment, so page numbers quoted in findings are taken from the document's own TOC/LoT/LoF fields (main-body numbering, pages 2–122). They are accurate to within normal repagination tolerance and each finding is additionally anchored by chapter/section and exact quoted text.</w:t>
      </w:r>
    </w:p>
    <w:p>
      <w:pPr>
        <w:pStyle w:val="ListBullet"/>
      </w:pPr>
      <w:r>
        <w:t>Limitation — visual layer: image content (what each figure actually depicts) and floating-textbox rendering could not be visually inspected; findings that depend on visual rendering are marked “Suspected — verify visually in Word”.</w:t>
      </w:r>
    </w:p>
    <w:p>
      <w:pPr>
        <w:pStyle w:val="ListBullet"/>
      </w:pPr>
      <w:r>
        <w:t>Each finding is labelled Confirmed (verified programmatically or against an authority), Suspected (evidence-based but needs visual/manual confirmation), or Recommendation (editorial advice, not a defect).</w:t>
      </w:r>
    </w:p>
    <w:p>
      <w:pPr>
        <w:pStyle w:val="Heading1"/>
      </w:pPr>
      <w:r>
        <w:t>4. Critical Issues (1)</w:t>
      </w:r>
    </w:p>
    <w:p>
      <w:r>
        <w:rPr>
          <w:b/>
          <w:color w:val="C00000"/>
        </w:rPr>
        <w:t xml:space="preserve">C-01  [Critical]  </w:t>
      </w:r>
      <w:r>
        <w:rPr>
          <w:b/>
        </w:rPr>
        <w:t>Front matter — missing Abstract (English and Arabic)</w:t>
      </w:r>
    </w:p>
    <w:p>
      <w:pPr>
        <w:spacing w:after="40"/>
        <w:ind w:left="360"/>
      </w:pPr>
      <w:r>
        <w:rPr>
          <w:b/>
          <w:sz w:val="19"/>
        </w:rPr>
        <w:t xml:space="preserve">Page (per document's own TOC/LoT/LoF): </w:t>
      </w:r>
      <w:r>
        <w:rPr>
          <w:sz w:val="19"/>
        </w:rPr>
        <w:t>Front matter (unnumbered pages, before TOC)</w:t>
      </w:r>
    </w:p>
    <w:p>
      <w:pPr>
        <w:spacing w:after="40"/>
        <w:ind w:left="360"/>
      </w:pPr>
      <w:r>
        <w:rPr>
          <w:b/>
          <w:sz w:val="19"/>
        </w:rPr>
        <w:t xml:space="preserve">Exact text: </w:t>
      </w:r>
      <w:r>
        <w:rPr>
          <w:i/>
          <w:sz w:val="19"/>
        </w:rPr>
        <w:t>Front matter present: title pages (EN/AR), dedication area, Acknowledgment, TOC, List of Tables, List of Figures, List of Abbreviations. No paragraph or heading “Abstract” or “ملخص” exists anywhere in the file.</w:t>
      </w:r>
    </w:p>
    <w:p>
      <w:pPr>
        <w:spacing w:after="40"/>
        <w:ind w:left="360"/>
      </w:pPr>
      <w:r>
        <w:rPr>
          <w:b/>
          <w:sz w:val="19"/>
        </w:rPr>
        <w:t xml:space="preserve">Issue type: </w:t>
      </w:r>
      <w:r>
        <w:rPr>
          <w:sz w:val="19"/>
        </w:rPr>
        <w:t>Structural omission</w:t>
      </w:r>
    </w:p>
    <w:p>
      <w:pPr>
        <w:spacing w:after="40"/>
        <w:ind w:left="360"/>
      </w:pPr>
      <w:r>
        <w:rPr>
          <w:b/>
          <w:sz w:val="19"/>
        </w:rPr>
        <w:t xml:space="preserve">Explanation: </w:t>
      </w:r>
      <w:r>
        <w:rPr>
          <w:sz w:val="19"/>
        </w:rPr>
        <w:t>A doctoral thesis cannot be examined or archived without an abstract. IUG regulations (as for virtually all universities) require an English Abstract and an Arabic ملخص in the front matter. A full-text search of all 2,028 paragraphs confirms neither exists.</w:t>
      </w:r>
    </w:p>
    <w:p>
      <w:pPr>
        <w:spacing w:after="40"/>
        <w:ind w:left="360"/>
      </w:pPr>
      <w:r>
        <w:rPr>
          <w:b/>
          <w:sz w:val="19"/>
        </w:rPr>
        <w:t xml:space="preserve">Recommended correction: </w:t>
      </w:r>
      <w:r>
        <w:rPr>
          <w:sz w:val="19"/>
        </w:rPr>
        <w:t>Add a one-page English Abstract and a matching Arabic ملخص between the title pages and the Acknowledgment (or per IUG template order), covering problem, method (BlockSim simulation, 100–500 miners), key results (e.g., ≈98% energy reduction, throughput gains, stale-rate trade-off), and contributions. Update the TOC afterwards.</w:t>
      </w:r>
    </w:p>
    <w:p>
      <w:pPr>
        <w:spacing w:after="40"/>
        <w:ind w:left="360"/>
      </w:pPr>
      <w:r>
        <w:rPr>
          <w:b/>
          <w:sz w:val="19"/>
        </w:rPr>
        <w:t xml:space="preserve">Verification status: </w:t>
      </w:r>
      <w:r>
        <w:rPr>
          <w:sz w:val="19"/>
        </w:rPr>
        <w:t>Confirmed (programmatic full-text search).</w:t>
      </w:r>
    </w:p>
    <w:p>
      <w:pPr>
        <w:spacing w:after="0"/>
      </w:pPr>
    </w:p>
    <w:p>
      <w:pPr>
        <w:pStyle w:val="Heading1"/>
      </w:pPr>
      <w:r>
        <w:t>5. Major Issues (5)</w:t>
      </w:r>
    </w:p>
    <w:p>
      <w:r>
        <w:rPr>
          <w:b/>
          <w:color w:val="E36C09"/>
        </w:rPr>
        <w:t xml:space="preserve">M-01  [Major]  </w:t>
      </w:r>
      <w:r>
        <w:rPr>
          <w:b/>
        </w:rPr>
        <w:t>Chapter 7, §7.3.2, first paragraph</w:t>
      </w:r>
    </w:p>
    <w:p>
      <w:pPr>
        <w:spacing w:after="40"/>
        <w:ind w:left="360"/>
      </w:pPr>
      <w:r>
        <w:rPr>
          <w:b/>
          <w:sz w:val="19"/>
        </w:rPr>
        <w:t xml:space="preserve">Page (per document's own TOC/LoT/LoF): </w:t>
      </w:r>
      <w:r>
        <w:rPr>
          <w:sz w:val="19"/>
        </w:rPr>
        <w:t>p. 105, §7.3.2 (Latency and finality)</w:t>
      </w:r>
    </w:p>
    <w:p>
      <w:pPr>
        <w:spacing w:after="40"/>
        <w:ind w:left="360"/>
      </w:pPr>
      <w:r>
        <w:rPr>
          <w:b/>
          <w:sz w:val="19"/>
        </w:rPr>
        <w:t xml:space="preserve">Exact text: </w:t>
      </w:r>
      <w:r>
        <w:rPr>
          <w:i/>
          <w:sz w:val="19"/>
        </w:rPr>
        <w:t>“The average six-confirmation total for PoCol was approximately 3189 seconds and 3128 seconds respectively at 100 miners.”</w:t>
      </w:r>
    </w:p>
    <w:p>
      <w:pPr>
        <w:spacing w:after="40"/>
        <w:ind w:left="360"/>
      </w:pPr>
      <w:r>
        <w:rPr>
          <w:b/>
          <w:sz w:val="19"/>
        </w:rPr>
        <w:t xml:space="preserve">Issue type: </w:t>
      </w:r>
      <w:r>
        <w:rPr>
          <w:sz w:val="19"/>
        </w:rPr>
        <w:t>Attribution error (contradicts authoritative Table 7.1)</w:t>
      </w:r>
    </w:p>
    <w:p>
      <w:pPr>
        <w:spacing w:after="40"/>
        <w:ind w:left="360"/>
      </w:pPr>
      <w:r>
        <w:rPr>
          <w:b/>
          <w:sz w:val="19"/>
        </w:rPr>
        <w:t xml:space="preserve">Explanation: </w:t>
      </w:r>
      <w:r>
        <w:rPr>
          <w:sz w:val="19"/>
        </w:rPr>
        <w:t>Both values are attributed to PoCol, but Table 7.1 shows 3189 s is PoCol and 3128 s is PoW at 100 miners. “Respectively” has no second subject, so the sentence is grammatically and factually broken.</w:t>
      </w:r>
    </w:p>
    <w:p>
      <w:pPr>
        <w:spacing w:after="40"/>
        <w:ind w:left="360"/>
      </w:pPr>
      <w:r>
        <w:rPr>
          <w:b/>
          <w:sz w:val="19"/>
        </w:rPr>
        <w:t xml:space="preserve">Recommended correction: </w:t>
      </w:r>
      <w:r>
        <w:rPr>
          <w:sz w:val="19"/>
        </w:rPr>
        <w:t>Rewrite: “The average six-confirmation finality at 100 miners was approximately 3189 seconds for PoCol and 3128 seconds for PoW.”</w:t>
      </w:r>
    </w:p>
    <w:p>
      <w:pPr>
        <w:spacing w:after="40"/>
        <w:ind w:left="360"/>
      </w:pPr>
      <w:r>
        <w:rPr>
          <w:b/>
          <w:sz w:val="19"/>
        </w:rPr>
        <w:t xml:space="preserve">Verification status: </w:t>
      </w:r>
      <w:r>
        <w:rPr>
          <w:sz w:val="19"/>
        </w:rPr>
        <w:t>Confirmed against Table 7.1.</w:t>
      </w:r>
    </w:p>
    <w:p>
      <w:pPr>
        <w:spacing w:after="0"/>
      </w:pPr>
    </w:p>
    <w:p>
      <w:r>
        <w:rPr>
          <w:b/>
          <w:color w:val="E36C09"/>
        </w:rPr>
        <w:t xml:space="preserve">M-02  [Major]  </w:t>
      </w:r>
      <w:r>
        <w:rPr>
          <w:b/>
        </w:rPr>
        <w:t>Chapter 7, §7.4.1, paragraph discussing Figures 7.5–7.6</w:t>
      </w:r>
    </w:p>
    <w:p>
      <w:pPr>
        <w:spacing w:after="40"/>
        <w:ind w:left="360"/>
      </w:pPr>
      <w:r>
        <w:rPr>
          <w:b/>
          <w:sz w:val="19"/>
        </w:rPr>
        <w:t xml:space="preserve">Page (per document's own TOC/LoT/LoF): </w:t>
      </w:r>
      <w:r>
        <w:rPr>
          <w:sz w:val="19"/>
        </w:rPr>
        <w:t>p. 109, §7.4.1 (energy per transaction)</w:t>
      </w:r>
    </w:p>
    <w:p>
      <w:pPr>
        <w:spacing w:after="40"/>
        <w:ind w:left="360"/>
      </w:pPr>
      <w:r>
        <w:rPr>
          <w:b/>
          <w:sz w:val="19"/>
        </w:rPr>
        <w:t xml:space="preserve">Exact text: </w:t>
      </w:r>
      <w:r>
        <w:rPr>
          <w:i/>
          <w:sz w:val="19"/>
        </w:rPr>
        <w:t>“PoCol's energy usage per transaction remains relatively constant at approximately 0.004 - 0.005 Wh/1,000 transactions, whereas the energy required per PoW transaction varies from about 0.245 Wh/transaction …”</w:t>
      </w:r>
    </w:p>
    <w:p>
      <w:pPr>
        <w:spacing w:after="40"/>
        <w:ind w:left="360"/>
      </w:pPr>
      <w:r>
        <w:rPr>
          <w:b/>
          <w:sz w:val="19"/>
        </w:rPr>
        <w:t xml:space="preserve">Issue type: </w:t>
      </w:r>
      <w:r>
        <w:rPr>
          <w:sz w:val="19"/>
        </w:rPr>
        <w:t>Unit error (×1000)</w:t>
      </w:r>
    </w:p>
    <w:p>
      <w:pPr>
        <w:spacing w:after="40"/>
        <w:ind w:left="360"/>
      </w:pPr>
      <w:r>
        <w:rPr>
          <w:b/>
          <w:sz w:val="19"/>
        </w:rPr>
        <w:t xml:space="preserve">Explanation: </w:t>
      </w:r>
      <w:r>
        <w:rPr>
          <w:sz w:val="19"/>
        </w:rPr>
        <w:t>The PoCol figure is per transaction, not per 1,000 transactions: Table 7.1 gives PoCol total energy 0.131–0.470 kWh per run, which over the accepted transaction volumes yields ≈0.004–0.005 Wh per transaction. The same sentence quotes the PoW comparator per transaction, so as written PoCol appears 1,000× more efficient than the data supports.</w:t>
      </w:r>
    </w:p>
    <w:p>
      <w:pPr>
        <w:spacing w:after="40"/>
        <w:ind w:left="360"/>
      </w:pPr>
      <w:r>
        <w:rPr>
          <w:b/>
          <w:sz w:val="19"/>
        </w:rPr>
        <w:t xml:space="preserve">Recommended correction: </w:t>
      </w:r>
      <w:r>
        <w:rPr>
          <w:sz w:val="19"/>
        </w:rPr>
        <w:t>Change the unit to “Wh/transaction” (i.e., “approximately 0.004–0.005 Wh per transaction”).</w:t>
      </w:r>
    </w:p>
    <w:p>
      <w:pPr>
        <w:spacing w:after="40"/>
        <w:ind w:left="360"/>
      </w:pPr>
      <w:r>
        <w:rPr>
          <w:b/>
          <w:sz w:val="19"/>
        </w:rPr>
        <w:t xml:space="preserve">Verification status: </w:t>
      </w:r>
      <w:r>
        <w:rPr>
          <w:sz w:val="19"/>
        </w:rPr>
        <w:t>Confirmed by recomputation from Table 7.1.</w:t>
      </w:r>
    </w:p>
    <w:p>
      <w:pPr>
        <w:spacing w:after="0"/>
      </w:pPr>
    </w:p>
    <w:p>
      <w:r>
        <w:rPr>
          <w:b/>
          <w:color w:val="E36C09"/>
        </w:rPr>
        <w:t xml:space="preserve">M-03  [Major]  </w:t>
      </w:r>
      <w:r>
        <w:rPr>
          <w:b/>
        </w:rPr>
        <w:t>Chapter 7, §7.4.3, Figure 7.8 discussion</w:t>
      </w:r>
    </w:p>
    <w:p>
      <w:pPr>
        <w:spacing w:after="40"/>
        <w:ind w:left="360"/>
      </w:pPr>
      <w:r>
        <w:rPr>
          <w:b/>
          <w:sz w:val="19"/>
        </w:rPr>
        <w:t xml:space="preserve">Page (per document's own TOC/LoT/LoF): </w:t>
      </w:r>
      <w:r>
        <w:rPr>
          <w:sz w:val="19"/>
        </w:rPr>
        <w:t>p. 110–111, §7.4.3 (Energy–performance trade-offs)</w:t>
      </w:r>
    </w:p>
    <w:p>
      <w:pPr>
        <w:spacing w:after="40"/>
        <w:ind w:left="360"/>
      </w:pPr>
      <w:r>
        <w:rPr>
          <w:b/>
          <w:sz w:val="19"/>
        </w:rPr>
        <w:t xml:space="preserve">Exact text: </w:t>
      </w:r>
      <w:r>
        <w:rPr>
          <w:i/>
          <w:sz w:val="19"/>
        </w:rPr>
        <w:t>“At 400 miners, the total CO₂ of PoW is about 14.3 kg, compared with about 0.202 kg for PoCol.”</w:t>
      </w:r>
    </w:p>
    <w:p>
      <w:pPr>
        <w:spacing w:after="40"/>
        <w:ind w:left="360"/>
      </w:pPr>
      <w:r>
        <w:rPr>
          <w:b/>
          <w:sz w:val="19"/>
        </w:rPr>
        <w:t xml:space="preserve">Issue type: </w:t>
      </w:r>
      <w:r>
        <w:rPr>
          <w:sz w:val="19"/>
        </w:rPr>
        <w:t>Numerical mismatch (contradicts authoritative Table 7.1)</w:t>
      </w:r>
    </w:p>
    <w:p>
      <w:pPr>
        <w:spacing w:after="40"/>
        <w:ind w:left="360"/>
      </w:pPr>
      <w:r>
        <w:rPr>
          <w:b/>
          <w:sz w:val="19"/>
        </w:rPr>
        <w:t xml:space="preserve">Explanation: </w:t>
      </w:r>
      <w:r>
        <w:rPr>
          <w:sz w:val="19"/>
        </w:rPr>
        <w:t>Table 7.1 gives PoW CO₂ at 400 miners as 14.720 kg. “About 14.3 kg” understates the authoritative value by ≈3%; the PoCol figure (0.202 kg) is correct.</w:t>
      </w:r>
    </w:p>
    <w:p>
      <w:pPr>
        <w:spacing w:after="40"/>
        <w:ind w:left="360"/>
      </w:pPr>
      <w:r>
        <w:rPr>
          <w:b/>
          <w:sz w:val="19"/>
        </w:rPr>
        <w:t xml:space="preserve">Recommended correction: </w:t>
      </w:r>
      <w:r>
        <w:rPr>
          <w:sz w:val="19"/>
        </w:rPr>
        <w:t>Change to “about 14.7 kg” (or quote 14.720 kg exactly).</w:t>
      </w:r>
    </w:p>
    <w:p>
      <w:pPr>
        <w:spacing w:after="40"/>
        <w:ind w:left="360"/>
      </w:pPr>
      <w:r>
        <w:rPr>
          <w:b/>
          <w:sz w:val="19"/>
        </w:rPr>
        <w:t xml:space="preserve">Verification status: </w:t>
      </w:r>
      <w:r>
        <w:rPr>
          <w:sz w:val="19"/>
        </w:rPr>
        <w:t>Confirmed against Table 7.1.</w:t>
      </w:r>
    </w:p>
    <w:p>
      <w:pPr>
        <w:spacing w:after="0"/>
      </w:pPr>
    </w:p>
    <w:p>
      <w:r>
        <w:rPr>
          <w:b/>
          <w:color w:val="E36C09"/>
        </w:rPr>
        <w:t xml:space="preserve">M-04  [Major]  </w:t>
      </w:r>
      <w:r>
        <w:rPr>
          <w:b/>
        </w:rPr>
        <w:t>List of Tables and List of Figures (front matter)</w:t>
      </w:r>
    </w:p>
    <w:p>
      <w:pPr>
        <w:spacing w:after="40"/>
        <w:ind w:left="360"/>
      </w:pPr>
      <w:r>
        <w:rPr>
          <w:b/>
          <w:sz w:val="19"/>
        </w:rPr>
        <w:t xml:space="preserve">Page (per document's own TOC/LoT/LoF): </w:t>
      </w:r>
      <w:r>
        <w:rPr>
          <w:sz w:val="19"/>
        </w:rPr>
        <w:t>LoT p. vi-area; LoF entries pp. 24–111 (front matter)</w:t>
      </w:r>
    </w:p>
    <w:p>
      <w:pPr>
        <w:spacing w:after="40"/>
        <w:ind w:left="360"/>
      </w:pPr>
      <w:r>
        <w:rPr>
          <w:b/>
          <w:sz w:val="19"/>
        </w:rPr>
        <w:t xml:space="preserve">Exact text: </w:t>
      </w:r>
      <w:r>
        <w:rPr>
          <w:i/>
          <w:sz w:val="19"/>
        </w:rPr>
        <w:t>e.g. LoF: “Figure 3.1Bitcoin annual electricity consumption compared with selected countries …… 37” vs. body caption: “Figure 3.1: Illustrative electricity consumption trend of PoW-based blockchain operation, with Bitcoin used as a representative example …”</w:t>
      </w:r>
    </w:p>
    <w:p>
      <w:pPr>
        <w:spacing w:after="40"/>
        <w:ind w:left="360"/>
      </w:pPr>
      <w:r>
        <w:rPr>
          <w:b/>
          <w:sz w:val="19"/>
        </w:rPr>
        <w:t xml:space="preserve">Issue type: </w:t>
      </w:r>
      <w:r>
        <w:rPr>
          <w:sz w:val="19"/>
        </w:rPr>
        <w:t>Stale, manually-typed lists</w:t>
      </w:r>
    </w:p>
    <w:p>
      <w:pPr>
        <w:spacing w:after="40"/>
        <w:ind w:left="360"/>
      </w:pPr>
      <w:r>
        <w:rPr>
          <w:b/>
          <w:sz w:val="19"/>
        </w:rPr>
        <w:t xml:space="preserve">Explanation: </w:t>
      </w:r>
      <w:r>
        <w:rPr>
          <w:sz w:val="19"/>
        </w:rPr>
        <w:t>Both lists are typed as plain text with dot leaders, not generated from caption fields: (a) every entry is missing the space between the number and the title (“Table 3.1Inclusion…”, “Figure 7.1Average…”); (b) the LoF wording for Figures 3.1 and 3.2 describes an older version of those captions (Bitcoin-specific) that no longer matches the current body captions (illustrative-trend wording); (c) typed page numbers cannot update on repagination, which the pending corrections will certainly cause.</w:t>
      </w:r>
    </w:p>
    <w:p>
      <w:pPr>
        <w:spacing w:after="40"/>
        <w:ind w:left="360"/>
      </w:pPr>
      <w:r>
        <w:rPr>
          <w:b/>
          <w:sz w:val="19"/>
        </w:rPr>
        <w:t xml:space="preserve">Recommended correction: </w:t>
      </w:r>
      <w:r>
        <w:rPr>
          <w:sz w:val="19"/>
        </w:rPr>
        <w:t>Recreate both lists with Word's References ▸ Insert Table of Figures after applying real caption fields (Insert Caption) to every table and figure; verify wording then updates automatically and matches the body exactly.</w:t>
      </w:r>
    </w:p>
    <w:p>
      <w:pPr>
        <w:spacing w:after="40"/>
        <w:ind w:left="360"/>
      </w:pPr>
      <w:r>
        <w:rPr>
          <w:b/>
          <w:sz w:val="19"/>
        </w:rPr>
        <w:t xml:space="preserve">Verification status: </w:t>
      </w:r>
      <w:r>
        <w:rPr>
          <w:sz w:val="19"/>
        </w:rPr>
        <w:t>Confirmed (field-code inspection of the document XML; the TOC proper IS field-based, only LoT/LoF are manual).</w:t>
      </w:r>
    </w:p>
    <w:p>
      <w:pPr>
        <w:spacing w:after="0"/>
      </w:pPr>
    </w:p>
    <w:p>
      <w:r>
        <w:rPr>
          <w:b/>
          <w:color w:val="E36C09"/>
        </w:rPr>
        <w:t xml:space="preserve">M-05  [Major]  </w:t>
      </w:r>
      <w:r>
        <w:rPr>
          <w:b/>
        </w:rPr>
        <w:t>Reference list, entry [14] (double SHA-256 hardware architecture, IEEE Access 2021)</w:t>
      </w:r>
    </w:p>
    <w:p>
      <w:pPr>
        <w:spacing w:after="40"/>
        <w:ind w:left="360"/>
      </w:pPr>
      <w:r>
        <w:rPr>
          <w:b/>
          <w:sz w:val="19"/>
        </w:rPr>
        <w:t xml:space="preserve">Page (per document's own TOC/LoT/LoF): </w:t>
      </w:r>
      <w:r>
        <w:rPr>
          <w:sz w:val="19"/>
        </w:rPr>
        <w:t>p. 122 ff., References, entry [14]</w:t>
      </w:r>
    </w:p>
    <w:p>
      <w:pPr>
        <w:spacing w:after="40"/>
        <w:ind w:left="360"/>
      </w:pPr>
      <w:r>
        <w:rPr>
          <w:b/>
          <w:sz w:val="19"/>
        </w:rPr>
        <w:t xml:space="preserve">Exact text: </w:t>
      </w:r>
      <w:r>
        <w:rPr>
          <w:i/>
          <w:sz w:val="19"/>
        </w:rPr>
        <w:t>“P. H. Luan, T. H. Tran, T. D. Phan, L. V. T. Duong, D. K. Lam …”</w:t>
      </w:r>
    </w:p>
    <w:p>
      <w:pPr>
        <w:spacing w:after="40"/>
        <w:ind w:left="360"/>
      </w:pPr>
      <w:r>
        <w:rPr>
          <w:b/>
          <w:sz w:val="19"/>
        </w:rPr>
        <w:t xml:space="preserve">Issue type: </w:t>
      </w:r>
      <w:r>
        <w:rPr>
          <w:sz w:val="19"/>
        </w:rPr>
        <w:t>Author names inverted / one author missing</w:t>
      </w:r>
    </w:p>
    <w:p>
      <w:pPr>
        <w:spacing w:after="40"/>
        <w:ind w:left="360"/>
      </w:pPr>
      <w:r>
        <w:rPr>
          <w:b/>
          <w:sz w:val="19"/>
        </w:rPr>
        <w:t xml:space="preserve">Explanation: </w:t>
      </w:r>
      <w:r>
        <w:rPr>
          <w:sz w:val="19"/>
        </w:rPr>
        <w:t>The published record (Crossref, DOI 10.1109/ACCESS.2021.3063523) lists the authors as Hoai Luan Pham, Thi Hong Tran, Tri Dung Phan, Vu Trung Duong Le, Duc Khai Lam, and Yasuhiko Nakashima. The thesis entry treats given names as family names for authors 1, 4 (and drops the sixth author, Nakashima).</w:t>
      </w:r>
    </w:p>
    <w:p>
      <w:pPr>
        <w:spacing w:after="40"/>
        <w:ind w:left="360"/>
      </w:pPr>
      <w:r>
        <w:rPr>
          <w:b/>
          <w:sz w:val="19"/>
        </w:rPr>
        <w:t xml:space="preserve">Recommended correction: </w:t>
      </w:r>
      <w:r>
        <w:rPr>
          <w:sz w:val="19"/>
        </w:rPr>
        <w:t>Correct to: “H. L. Pham, T. H. Tran, T. D. Phan, V. T. D. Le, D. K. Lam, and Y. Nakashima”. All other bibliographic elements of [14] (title, journal, year, DOI) are correct.</w:t>
      </w:r>
    </w:p>
    <w:p>
      <w:pPr>
        <w:spacing w:after="40"/>
        <w:ind w:left="360"/>
      </w:pPr>
      <w:r>
        <w:rPr>
          <w:b/>
          <w:sz w:val="19"/>
        </w:rPr>
        <w:t xml:space="preserve">Verification status: </w:t>
      </w:r>
      <w:r>
        <w:rPr>
          <w:sz w:val="19"/>
        </w:rPr>
        <w:t>Confirmed against Crossref metadata for the DOI cited in the entry.</w:t>
      </w:r>
    </w:p>
    <w:p>
      <w:pPr>
        <w:spacing w:after="0"/>
      </w:pPr>
    </w:p>
    <w:p>
      <w:pPr>
        <w:pStyle w:val="Heading1"/>
      </w:pPr>
      <w:r>
        <w:t>6. Moderate Issues (8)</w:t>
      </w:r>
    </w:p>
    <w:p>
      <w:r>
        <w:rPr>
          <w:b/>
          <w:color w:val="1F4E79"/>
        </w:rPr>
        <w:t xml:space="preserve">MO-01  [Moderate]  </w:t>
      </w:r>
      <w:r>
        <w:rPr>
          <w:b/>
        </w:rPr>
        <w:t>Chapter 7, §7.3.1, Figure 7.1 discussion</w:t>
      </w:r>
    </w:p>
    <w:p>
      <w:pPr>
        <w:spacing w:after="40"/>
        <w:ind w:left="360"/>
      </w:pPr>
      <w:r>
        <w:rPr>
          <w:b/>
          <w:sz w:val="19"/>
        </w:rPr>
        <w:t xml:space="preserve">Page (per document's own TOC/LoT/LoF): </w:t>
      </w:r>
      <w:r>
        <w:rPr>
          <w:sz w:val="19"/>
        </w:rPr>
        <w:t>p. 104, §7.3.1</w:t>
      </w:r>
    </w:p>
    <w:p>
      <w:pPr>
        <w:spacing w:after="40"/>
        <w:ind w:left="360"/>
      </w:pPr>
      <w:r>
        <w:rPr>
          <w:b/>
          <w:sz w:val="19"/>
        </w:rPr>
        <w:t xml:space="preserve">Exact text: </w:t>
      </w:r>
      <w:r>
        <w:rPr>
          <w:i/>
          <w:sz w:val="19"/>
        </w:rPr>
        <w:t>“The throughput gap at 300 miners between PoCol and PoW is 11.30 TPS to 2.87 TPS … The throughput figures of PoConst and PoW at 400 miners are 10.80 TPS and 4.84 TPS …”</w:t>
      </w:r>
    </w:p>
    <w:p>
      <w:pPr>
        <w:spacing w:after="40"/>
        <w:ind w:left="360"/>
      </w:pPr>
      <w:r>
        <w:rPr>
          <w:b/>
          <w:sz w:val="19"/>
        </w:rPr>
        <w:t xml:space="preserve">Issue type: </w:t>
      </w:r>
      <w:r>
        <w:rPr>
          <w:sz w:val="19"/>
        </w:rPr>
        <w:t>Numerical rounding mismatch vs. Table 7.1</w:t>
      </w:r>
    </w:p>
    <w:p>
      <w:pPr>
        <w:spacing w:after="40"/>
        <w:ind w:left="360"/>
      </w:pPr>
      <w:r>
        <w:rPr>
          <w:b/>
          <w:sz w:val="19"/>
        </w:rPr>
        <w:t xml:space="preserve">Explanation: </w:t>
      </w:r>
      <w:r>
        <w:rPr>
          <w:sz w:val="19"/>
        </w:rPr>
        <w:t>Table 7.1 gives PoCol TPS as 11.33 (300 miners) and 10.78 (400 miners); the prose says 11.30 and 10.80. The PoW values (2.87, 4.84) match. (The “PoConst” typo in the same sentence is logged as MI-01.)</w:t>
      </w:r>
    </w:p>
    <w:p>
      <w:pPr>
        <w:spacing w:after="40"/>
        <w:ind w:left="360"/>
      </w:pPr>
      <w:r>
        <w:rPr>
          <w:b/>
          <w:sz w:val="19"/>
        </w:rPr>
        <w:t xml:space="preserve">Recommended correction: </w:t>
      </w:r>
      <w:r>
        <w:rPr>
          <w:sz w:val="19"/>
        </w:rPr>
        <w:t>Change 11.30 → 11.33 and 10.80 → 10.78 to agree with the authoritative table.</w:t>
      </w:r>
    </w:p>
    <w:p>
      <w:pPr>
        <w:spacing w:after="40"/>
        <w:ind w:left="360"/>
      </w:pPr>
      <w:r>
        <w:rPr>
          <w:b/>
          <w:sz w:val="19"/>
        </w:rPr>
        <w:t xml:space="preserve">Verification status: </w:t>
      </w:r>
      <w:r>
        <w:rPr>
          <w:sz w:val="19"/>
        </w:rPr>
        <w:t>Confirmed against Table 7.1.</w:t>
      </w:r>
    </w:p>
    <w:p>
      <w:pPr>
        <w:spacing w:after="0"/>
      </w:pPr>
    </w:p>
    <w:p>
      <w:r>
        <w:rPr>
          <w:b/>
          <w:color w:val="1F4E79"/>
        </w:rPr>
        <w:t xml:space="preserve">MO-02  [Moderate]  </w:t>
      </w:r>
      <w:r>
        <w:rPr>
          <w:b/>
        </w:rPr>
        <w:t>Chapter 7, §7.3.3, stale-rate discussion</w:t>
      </w:r>
    </w:p>
    <w:p>
      <w:pPr>
        <w:spacing w:after="40"/>
        <w:ind w:left="360"/>
      </w:pPr>
      <w:r>
        <w:rPr>
          <w:b/>
          <w:sz w:val="19"/>
        </w:rPr>
        <w:t xml:space="preserve">Page (per document's own TOC/LoT/LoF): </w:t>
      </w:r>
      <w:r>
        <w:rPr>
          <w:sz w:val="19"/>
        </w:rPr>
        <w:t>p. 106, §7.3.3</w:t>
      </w:r>
    </w:p>
    <w:p>
      <w:pPr>
        <w:spacing w:after="40"/>
        <w:ind w:left="360"/>
      </w:pPr>
      <w:r>
        <w:rPr>
          <w:b/>
          <w:sz w:val="19"/>
        </w:rPr>
        <w:t xml:space="preserve">Exact text: </w:t>
      </w:r>
      <w:r>
        <w:rPr>
          <w:i/>
          <w:sz w:val="19"/>
        </w:rPr>
        <w:t>“… 78.4% with 300 miners, and 82.8% with 400 miners.”</w:t>
      </w:r>
    </w:p>
    <w:p>
      <w:pPr>
        <w:spacing w:after="40"/>
        <w:ind w:left="360"/>
      </w:pPr>
      <w:r>
        <w:rPr>
          <w:b/>
          <w:sz w:val="19"/>
        </w:rPr>
        <w:t xml:space="preserve">Issue type: </w:t>
      </w:r>
      <w:r>
        <w:rPr>
          <w:sz w:val="19"/>
        </w:rPr>
        <w:t>Numerical rounding mismatch vs. Table 7.1</w:t>
      </w:r>
    </w:p>
    <w:p>
      <w:pPr>
        <w:spacing w:after="40"/>
        <w:ind w:left="360"/>
      </w:pPr>
      <w:r>
        <w:rPr>
          <w:b/>
          <w:sz w:val="19"/>
        </w:rPr>
        <w:t xml:space="preserve">Explanation: </w:t>
      </w:r>
      <w:r>
        <w:rPr>
          <w:sz w:val="19"/>
        </w:rPr>
        <w:t>Table 7.1 gives the PoCol stale rate at 400 miners as 82.7%. (Table 6.2 independently reports 82.75% for the same run, so 82.7/82.75 vs. prose 82.8 is a rounding inconsistency across three places.)</w:t>
      </w:r>
    </w:p>
    <w:p>
      <w:pPr>
        <w:spacing w:after="40"/>
        <w:ind w:left="360"/>
      </w:pPr>
      <w:r>
        <w:rPr>
          <w:b/>
          <w:sz w:val="19"/>
        </w:rPr>
        <w:t xml:space="preserve">Recommended correction: </w:t>
      </w:r>
      <w:r>
        <w:rPr>
          <w:sz w:val="19"/>
        </w:rPr>
        <w:t>Use one rounding convention; recommended: 82.7% in prose to match Table 7.1.</w:t>
      </w:r>
    </w:p>
    <w:p>
      <w:pPr>
        <w:spacing w:after="40"/>
        <w:ind w:left="360"/>
      </w:pPr>
      <w:r>
        <w:rPr>
          <w:b/>
          <w:sz w:val="19"/>
        </w:rPr>
        <w:t xml:space="preserve">Verification status: </w:t>
      </w:r>
      <w:r>
        <w:rPr>
          <w:sz w:val="19"/>
        </w:rPr>
        <w:t>Confirmed against Tables 7.1 and 6.2.</w:t>
      </w:r>
    </w:p>
    <w:p>
      <w:pPr>
        <w:spacing w:after="0"/>
      </w:pPr>
    </w:p>
    <w:p>
      <w:r>
        <w:rPr>
          <w:b/>
          <w:color w:val="1F4E79"/>
        </w:rPr>
        <w:t xml:space="preserve">MO-03  [Moderate]  </w:t>
      </w:r>
      <w:r>
        <w:rPr>
          <w:b/>
        </w:rPr>
        <w:t>Chapter 3, Figures 3.1 and 3.2 (captions inside drawing canvases)</w:t>
      </w:r>
    </w:p>
    <w:p>
      <w:pPr>
        <w:spacing w:after="40"/>
        <w:ind w:left="360"/>
      </w:pPr>
      <w:r>
        <w:rPr>
          <w:b/>
          <w:sz w:val="19"/>
        </w:rPr>
        <w:t xml:space="preserve">Page (per document's own TOC/LoT/LoF): </w:t>
      </w:r>
      <w:r>
        <w:rPr>
          <w:sz w:val="19"/>
        </w:rPr>
        <w:t>p. 37, §3.5</w:t>
      </w:r>
    </w:p>
    <w:p>
      <w:pPr>
        <w:spacing w:after="40"/>
        <w:ind w:left="360"/>
      </w:pPr>
      <w:r>
        <w:rPr>
          <w:b/>
          <w:sz w:val="19"/>
        </w:rPr>
        <w:t xml:space="preserve">Exact text: </w:t>
      </w:r>
      <w:r>
        <w:rPr>
          <w:i/>
          <w:sz w:val="19"/>
        </w:rPr>
        <w:t>Caption “Figure 3.1: Illustrative electricity consumption trend …” stored three times (body paragraph + textbox copy + compatibility-fallback copy); same for Figure 3.2.</w:t>
      </w:r>
    </w:p>
    <w:p>
      <w:pPr>
        <w:spacing w:after="40"/>
        <w:ind w:left="360"/>
      </w:pPr>
      <w:r>
        <w:rPr>
          <w:b/>
          <w:sz w:val="19"/>
        </w:rPr>
        <w:t xml:space="preserve">Issue type: </w:t>
      </w:r>
      <w:r>
        <w:rPr>
          <w:sz w:val="19"/>
        </w:rPr>
        <w:t>Caption duplication risk (AlternateContent textbox structure)</w:t>
      </w:r>
    </w:p>
    <w:p>
      <w:pPr>
        <w:spacing w:after="40"/>
        <w:ind w:left="360"/>
      </w:pPr>
      <w:r>
        <w:rPr>
          <w:b/>
          <w:sz w:val="19"/>
        </w:rPr>
        <w:t xml:space="preserve">Explanation: </w:t>
      </w:r>
      <w:r>
        <w:rPr>
          <w:sz w:val="19"/>
        </w:rPr>
        <w:t>Figures 3.1/3.2 are the only figures whose captions also live inside floating drawing-canvas textboxes with mc:AlternateContent Choice/Fallback copies. If both the canvas copy and the body-paragraph copy render, the caption appears twice under the figure.</w:t>
      </w:r>
    </w:p>
    <w:p>
      <w:pPr>
        <w:spacing w:after="40"/>
        <w:ind w:left="360"/>
      </w:pPr>
      <w:r>
        <w:rPr>
          <w:b/>
          <w:sz w:val="19"/>
        </w:rPr>
        <w:t xml:space="preserve">Recommended correction: </w:t>
      </w:r>
      <w:r>
        <w:rPr>
          <w:sz w:val="19"/>
        </w:rPr>
        <w:t>Open the document in Word and check Figures 3.1/3.2 visually; keep exactly one visible caption per figure (prefer a normal body-paragraph caption with an Insert Caption field, and delete the textbox copy).</w:t>
      </w:r>
    </w:p>
    <w:p>
      <w:pPr>
        <w:spacing w:after="40"/>
        <w:ind w:left="360"/>
      </w:pPr>
      <w:r>
        <w:rPr>
          <w:b/>
          <w:sz w:val="19"/>
        </w:rPr>
        <w:t xml:space="preserve">Verification status: </w:t>
      </w:r>
      <w:r>
        <w:rPr>
          <w:sz w:val="19"/>
        </w:rPr>
        <w:t>Suspected — verify visually in Word (structure confirmed in XML; rendering could not be checked in the audit environment).</w:t>
      </w:r>
    </w:p>
    <w:p>
      <w:pPr>
        <w:spacing w:after="0"/>
      </w:pPr>
    </w:p>
    <w:p>
      <w:r>
        <w:rPr>
          <w:b/>
          <w:color w:val="1F4E79"/>
        </w:rPr>
        <w:t xml:space="preserve">MO-04  [Moderate]  </w:t>
      </w:r>
      <w:r>
        <w:rPr>
          <w:b/>
        </w:rPr>
        <w:t>All chapters — caption punctuation style</w:t>
      </w:r>
    </w:p>
    <w:p>
      <w:pPr>
        <w:spacing w:after="40"/>
        <w:ind w:left="360"/>
      </w:pPr>
      <w:r>
        <w:rPr>
          <w:b/>
          <w:sz w:val="19"/>
        </w:rPr>
        <w:t xml:space="preserve">Page (per document's own TOC/LoT/LoF): </w:t>
      </w:r>
      <w:r>
        <w:rPr>
          <w:sz w:val="19"/>
        </w:rPr>
        <w:t>throughout (pp. 24–111)</w:t>
      </w:r>
    </w:p>
    <w:p>
      <w:pPr>
        <w:spacing w:after="40"/>
        <w:ind w:left="360"/>
      </w:pPr>
      <w:r>
        <w:rPr>
          <w:b/>
          <w:sz w:val="19"/>
        </w:rPr>
        <w:t xml:space="preserve">Exact text: </w:t>
      </w:r>
      <w:r>
        <w:rPr>
          <w:i/>
          <w:sz w:val="19"/>
        </w:rPr>
        <w:t>“Figure 3.1: …” / “Figure 5.1: …” (colon) vs. “Figure 7.1. …” (full stop) vs. “Table 3.1 Inclusion and exclusion criteria” (no separator) vs. “Table 6.1. Fixed experimental parameters …” (full stop).</w:t>
      </w:r>
    </w:p>
    <w:p>
      <w:pPr>
        <w:spacing w:after="40"/>
        <w:ind w:left="360"/>
      </w:pPr>
      <w:r>
        <w:rPr>
          <w:b/>
          <w:sz w:val="19"/>
        </w:rPr>
        <w:t xml:space="preserve">Issue type: </w:t>
      </w:r>
      <w:r>
        <w:rPr>
          <w:sz w:val="19"/>
        </w:rPr>
        <w:t>Caption style inconsistency</w:t>
      </w:r>
    </w:p>
    <w:p>
      <w:pPr>
        <w:spacing w:after="40"/>
        <w:ind w:left="360"/>
      </w:pPr>
      <w:r>
        <w:rPr>
          <w:b/>
          <w:sz w:val="19"/>
        </w:rPr>
        <w:t xml:space="preserve">Explanation: </w:t>
      </w:r>
      <w:r>
        <w:rPr>
          <w:sz w:val="19"/>
        </w:rPr>
        <w:t>Three different number–title separator conventions are used: colon in Chapters 3 and 5, full stop in Chapters 6 and 7, and nothing in the Chapter 3 tables.</w:t>
      </w:r>
    </w:p>
    <w:p>
      <w:pPr>
        <w:spacing w:after="40"/>
        <w:ind w:left="360"/>
      </w:pPr>
      <w:r>
        <w:rPr>
          <w:b/>
          <w:sz w:val="19"/>
        </w:rPr>
        <w:t xml:space="preserve">Recommended correction: </w:t>
      </w:r>
      <w:r>
        <w:rPr>
          <w:sz w:val="19"/>
        </w:rPr>
        <w:t>Pick one convention (IEEE-style “Figure X. Title” / “Table X. Title” is recommended) and apply it to all 25 captions.</w:t>
      </w:r>
    </w:p>
    <w:p>
      <w:pPr>
        <w:spacing w:after="40"/>
        <w:ind w:left="360"/>
      </w:pPr>
      <w:r>
        <w:rPr>
          <w:b/>
          <w:sz w:val="19"/>
        </w:rPr>
        <w:t xml:space="preserve">Verification status: </w:t>
      </w:r>
      <w:r>
        <w:rPr>
          <w:sz w:val="19"/>
        </w:rPr>
        <w:t>Confirmed.</w:t>
      </w:r>
    </w:p>
    <w:p>
      <w:pPr>
        <w:spacing w:after="0"/>
      </w:pPr>
    </w:p>
    <w:p>
      <w:r>
        <w:rPr>
          <w:b/>
          <w:color w:val="1F4E79"/>
        </w:rPr>
        <w:t xml:space="preserve">MO-05  [Moderate]  </w:t>
      </w:r>
      <w:r>
        <w:rPr>
          <w:b/>
        </w:rPr>
        <w:t>Cross-referencing of tables and figures</w:t>
      </w:r>
    </w:p>
    <w:p>
      <w:pPr>
        <w:spacing w:after="40"/>
        <w:ind w:left="360"/>
      </w:pPr>
      <w:r>
        <w:rPr>
          <w:b/>
          <w:sz w:val="19"/>
        </w:rPr>
        <w:t xml:space="preserve">Page (per document's own TOC/LoT/LoF): </w:t>
      </w:r>
      <w:r>
        <w:rPr>
          <w:sz w:val="19"/>
        </w:rPr>
        <w:t>pp. 24–48 (Ch. 3) and p. 106 (Ch. 7)</w:t>
      </w:r>
    </w:p>
    <w:p>
      <w:pPr>
        <w:spacing w:after="40"/>
        <w:ind w:left="360"/>
      </w:pPr>
      <w:r>
        <w:rPr>
          <w:b/>
          <w:sz w:val="19"/>
        </w:rPr>
        <w:t xml:space="preserve">Exact text: </w:t>
      </w:r>
      <w:r>
        <w:rPr>
          <w:i/>
          <w:sz w:val="19"/>
        </w:rPr>
        <w:t>Tables 3.1–3.8 are never cited by number anywhere in the text; Figure 7.2 (finality time) has a caption but is never referred to in prose.</w:t>
      </w:r>
    </w:p>
    <w:p>
      <w:pPr>
        <w:spacing w:after="40"/>
        <w:ind w:left="360"/>
      </w:pPr>
      <w:r>
        <w:rPr>
          <w:b/>
          <w:sz w:val="19"/>
        </w:rPr>
        <w:t xml:space="preserve">Issue type: </w:t>
      </w:r>
      <w:r>
        <w:rPr>
          <w:sz w:val="19"/>
        </w:rPr>
        <w:t>Missing cross-references</w:t>
      </w:r>
    </w:p>
    <w:p>
      <w:pPr>
        <w:spacing w:after="40"/>
        <w:ind w:left="360"/>
      </w:pPr>
      <w:r>
        <w:rPr>
          <w:b/>
          <w:sz w:val="19"/>
        </w:rPr>
        <w:t xml:space="preserve">Explanation: </w:t>
      </w:r>
      <w:r>
        <w:rPr>
          <w:sz w:val="19"/>
        </w:rPr>
        <w:t>Every numbered float should be called out at least once. The Chapter 3 tables are introduced only implicitly (“the table below” or none), and §7.3.2 discusses finality without pointing the reader to Figure 7.2. All other figures/tables are properly called out.</w:t>
      </w:r>
    </w:p>
    <w:p>
      <w:pPr>
        <w:spacing w:after="40"/>
        <w:ind w:left="360"/>
      </w:pPr>
      <w:r>
        <w:rPr>
          <w:b/>
          <w:sz w:val="19"/>
        </w:rPr>
        <w:t xml:space="preserve">Recommended correction: </w:t>
      </w:r>
      <w:r>
        <w:rPr>
          <w:sz w:val="19"/>
        </w:rPr>
        <w:t>Add one explicit call-out per item, e.g. “(see Table 3.1)” at §3.2.4 and “as shown in Figure 7.2” in §7.3.2.</w:t>
      </w:r>
    </w:p>
    <w:p>
      <w:pPr>
        <w:spacing w:after="40"/>
        <w:ind w:left="360"/>
      </w:pPr>
      <w:r>
        <w:rPr>
          <w:b/>
          <w:sz w:val="19"/>
        </w:rPr>
        <w:t xml:space="preserve">Verification status: </w:t>
      </w:r>
      <w:r>
        <w:rPr>
          <w:sz w:val="19"/>
        </w:rPr>
        <w:t>Confirmed (programmatic scan of every “Table x.y”/“Figure x.y” token).</w:t>
      </w:r>
    </w:p>
    <w:p>
      <w:pPr>
        <w:spacing w:after="0"/>
      </w:pPr>
    </w:p>
    <w:p>
      <w:r>
        <w:rPr>
          <w:b/>
          <w:color w:val="1F4E79"/>
        </w:rPr>
        <w:t xml:space="preserve">MO-06  [Moderate]  </w:t>
      </w:r>
      <w:r>
        <w:rPr>
          <w:b/>
        </w:rPr>
        <w:t>Chapter 5 — equation numbering</w:t>
      </w:r>
    </w:p>
    <w:p>
      <w:pPr>
        <w:spacing w:after="40"/>
        <w:ind w:left="360"/>
      </w:pPr>
      <w:r>
        <w:rPr>
          <w:b/>
          <w:sz w:val="19"/>
        </w:rPr>
        <w:t xml:space="preserve">Page (per document's own TOC/LoT/LoF): </w:t>
      </w:r>
      <w:r>
        <w:rPr>
          <w:sz w:val="19"/>
        </w:rPr>
        <w:t>pp. 72–83, Ch. 5</w:t>
      </w:r>
    </w:p>
    <w:p>
      <w:pPr>
        <w:spacing w:after="40"/>
        <w:ind w:left="360"/>
      </w:pPr>
      <w:r>
        <w:rPr>
          <w:b/>
          <w:sz w:val="19"/>
        </w:rPr>
        <w:t xml:space="preserve">Exact text: </w:t>
      </w:r>
      <w:r>
        <w:rPr>
          <w:i/>
          <w:sz w:val="19"/>
        </w:rPr>
        <w:t>An equation labelled “(5.6.1)” appears in §5.6 before the sequence “(5.1)”–“(5.9)” used later in §§5.8–5.9; several displayed equations in Chapter 5 carry no number at all.</w:t>
      </w:r>
    </w:p>
    <w:p>
      <w:pPr>
        <w:spacing w:after="40"/>
        <w:ind w:left="360"/>
      </w:pPr>
      <w:r>
        <w:rPr>
          <w:b/>
          <w:sz w:val="19"/>
        </w:rPr>
        <w:t xml:space="preserve">Issue type: </w:t>
      </w:r>
      <w:r>
        <w:rPr>
          <w:sz w:val="19"/>
        </w:rPr>
        <w:t>Equation-numbering anomaly</w:t>
      </w:r>
    </w:p>
    <w:p>
      <w:pPr>
        <w:spacing w:after="40"/>
        <w:ind w:left="360"/>
      </w:pPr>
      <w:r>
        <w:rPr>
          <w:b/>
          <w:sz w:val="19"/>
        </w:rPr>
        <w:t xml:space="preserve">Explanation: </w:t>
      </w:r>
      <w:r>
        <w:rPr>
          <w:sz w:val="19"/>
        </w:rPr>
        <w:t>Two incompatible schemes coexist (section-based “5.6.1” vs. chapter-sequential “5.1…5.9”), and the section-based label breaks the ascending order a reader expects. Unnumbered display equations cannot be referenced.</w:t>
      </w:r>
    </w:p>
    <w:p>
      <w:pPr>
        <w:spacing w:after="40"/>
        <w:ind w:left="360"/>
      </w:pPr>
      <w:r>
        <w:rPr>
          <w:b/>
          <w:sz w:val="19"/>
        </w:rPr>
        <w:t xml:space="preserve">Recommended correction: </w:t>
      </w:r>
      <w:r>
        <w:rPr>
          <w:sz w:val="19"/>
        </w:rPr>
        <w:t>Renumber all Chapter 5 display equations in one chapter-sequential scheme ((5.1), (5.2), … in order of appearance) and number every displayed equation that is, or may be, referenced.</w:t>
      </w:r>
    </w:p>
    <w:p>
      <w:pPr>
        <w:spacing w:after="40"/>
        <w:ind w:left="360"/>
      </w:pPr>
      <w:r>
        <w:rPr>
          <w:b/>
          <w:sz w:val="19"/>
        </w:rPr>
        <w:t xml:space="preserve">Verification status: </w:t>
      </w:r>
      <w:r>
        <w:rPr>
          <w:sz w:val="19"/>
        </w:rPr>
        <w:t>Confirmed.</w:t>
      </w:r>
    </w:p>
    <w:p>
      <w:pPr>
        <w:spacing w:after="0"/>
      </w:pPr>
    </w:p>
    <w:p>
      <w:r>
        <w:rPr>
          <w:b/>
          <w:color w:val="1F4E79"/>
        </w:rPr>
        <w:t xml:space="preserve">MO-07  [Moderate]  </w:t>
      </w:r>
      <w:r>
        <w:rPr>
          <w:b/>
        </w:rPr>
        <w:t>Chapter 1–4 main headings</w:t>
      </w:r>
    </w:p>
    <w:p>
      <w:pPr>
        <w:spacing w:after="40"/>
        <w:ind w:left="360"/>
      </w:pPr>
      <w:r>
        <w:rPr>
          <w:b/>
          <w:sz w:val="19"/>
        </w:rPr>
        <w:t xml:space="preserve">Page (per document's own TOC/LoT/LoF): </w:t>
      </w:r>
      <w:r>
        <w:rPr>
          <w:sz w:val="19"/>
        </w:rPr>
        <w:t>pp. 2, 11, 21, 54 (chapter openings)</w:t>
      </w:r>
    </w:p>
    <w:p>
      <w:pPr>
        <w:spacing w:after="40"/>
        <w:ind w:left="360"/>
      </w:pPr>
      <w:r>
        <w:rPr>
          <w:b/>
          <w:sz w:val="19"/>
        </w:rPr>
        <w:t xml:space="preserve">Exact text: </w:t>
      </w:r>
      <w:r>
        <w:rPr>
          <w:i/>
          <w:sz w:val="19"/>
        </w:rPr>
        <w:t>Body headings read “Chapter 1Introduction”, “Chapter 2Technical Background”, “Chapter 3Literature Review and Related Work”, “Chapter 4System Model and Problem Formulation” — no space/tab between the chapter number and the title. Chapters 5–8 do have the separator.</w:t>
      </w:r>
    </w:p>
    <w:p>
      <w:pPr>
        <w:spacing w:after="40"/>
        <w:ind w:left="360"/>
      </w:pPr>
      <w:r>
        <w:rPr>
          <w:b/>
          <w:sz w:val="19"/>
        </w:rPr>
        <w:t xml:space="preserve">Issue type: </w:t>
      </w:r>
      <w:r>
        <w:rPr>
          <w:sz w:val="19"/>
        </w:rPr>
        <w:t>Heading formatting inconsistency</w:t>
      </w:r>
    </w:p>
    <w:p>
      <w:pPr>
        <w:spacing w:after="40"/>
        <w:ind w:left="360"/>
      </w:pPr>
      <w:r>
        <w:rPr>
          <w:b/>
          <w:sz w:val="19"/>
        </w:rPr>
        <w:t xml:space="preserve">Explanation: </w:t>
      </w:r>
      <w:r>
        <w:rPr>
          <w:sz w:val="19"/>
        </w:rPr>
        <w:t>The TOC displays these entries correctly (“Chapter 1 Introduction”), so the defect is in the heading paragraphs themselves and will show on the chapter opening pages and in any cross-references.</w:t>
      </w:r>
    </w:p>
    <w:p>
      <w:pPr>
        <w:spacing w:after="40"/>
        <w:ind w:left="360"/>
      </w:pPr>
      <w:r>
        <w:rPr>
          <w:b/>
          <w:sz w:val="19"/>
        </w:rPr>
        <w:t xml:space="preserve">Recommended correction: </w:t>
      </w:r>
      <w:r>
        <w:rPr>
          <w:sz w:val="19"/>
        </w:rPr>
        <w:t>Insert the missing space (or a tab consistent with Chapters 5–8) in the four Heading-1 paragraphs; also normalize the double space present in the Chapter 5–8 headings (“Chapter 5  The …”).</w:t>
      </w:r>
    </w:p>
    <w:p>
      <w:pPr>
        <w:spacing w:after="40"/>
        <w:ind w:left="360"/>
      </w:pPr>
      <w:r>
        <w:rPr>
          <w:b/>
          <w:sz w:val="19"/>
        </w:rPr>
        <w:t xml:space="preserve">Verification status: </w:t>
      </w:r>
      <w:r>
        <w:rPr>
          <w:sz w:val="19"/>
        </w:rPr>
        <w:t>Confirmed.</w:t>
      </w:r>
    </w:p>
    <w:p>
      <w:pPr>
        <w:spacing w:after="0"/>
      </w:pPr>
    </w:p>
    <w:p>
      <w:r>
        <w:rPr>
          <w:b/>
          <w:color w:val="1F4E79"/>
        </w:rPr>
        <w:t xml:space="preserve">MO-08  [Moderate]  </w:t>
      </w:r>
      <w:r>
        <w:rPr>
          <w:b/>
        </w:rPr>
        <w:t>Reference list, entry [43] (Smolenski, OECD blockchain volume chapter)</w:t>
      </w:r>
    </w:p>
    <w:p>
      <w:pPr>
        <w:spacing w:after="40"/>
        <w:ind w:left="360"/>
      </w:pPr>
      <w:r>
        <w:rPr>
          <w:b/>
          <w:sz w:val="19"/>
        </w:rPr>
        <w:t xml:space="preserve">Page (per document's own TOC/LoT/LoF): </w:t>
      </w:r>
      <w:r>
        <w:rPr>
          <w:sz w:val="19"/>
        </w:rPr>
        <w:t>p. 122 ff., References, entry [43]</w:t>
      </w:r>
    </w:p>
    <w:p>
      <w:pPr>
        <w:spacing w:after="40"/>
        <w:ind w:left="360"/>
      </w:pPr>
      <w:r>
        <w:rPr>
          <w:b/>
          <w:sz w:val="19"/>
        </w:rPr>
        <w:t xml:space="preserve">Exact text: </w:t>
      </w:r>
      <w:r>
        <w:rPr>
          <w:i/>
          <w:sz w:val="19"/>
        </w:rPr>
        <w:t>Entry [43] cites DOI 10.1787/589b283f-en.</w:t>
      </w:r>
    </w:p>
    <w:p>
      <w:pPr>
        <w:spacing w:after="40"/>
        <w:ind w:left="360"/>
      </w:pPr>
      <w:r>
        <w:rPr>
          <w:b/>
          <w:sz w:val="19"/>
        </w:rPr>
        <w:t xml:space="preserve">Issue type: </w:t>
      </w:r>
      <w:r>
        <w:rPr>
          <w:sz w:val="19"/>
        </w:rPr>
        <w:t>DOI granularity</w:t>
      </w:r>
    </w:p>
    <w:p>
      <w:pPr>
        <w:spacing w:after="40"/>
        <w:ind w:left="360"/>
      </w:pPr>
      <w:r>
        <w:rPr>
          <w:b/>
          <w:sz w:val="19"/>
        </w:rPr>
        <w:t xml:space="preserve">Explanation: </w:t>
      </w:r>
      <w:r>
        <w:rPr>
          <w:sz w:val="19"/>
        </w:rPr>
        <w:t>The DOI is valid and resolves, but to the complete OECD volume, not to the specific chapter cited. Chapter-level attribution therefore rests on the entry text alone.</w:t>
      </w:r>
    </w:p>
    <w:p>
      <w:pPr>
        <w:spacing w:after="40"/>
        <w:ind w:left="360"/>
      </w:pPr>
      <w:r>
        <w:rPr>
          <w:b/>
          <w:sz w:val="19"/>
        </w:rPr>
        <w:t xml:space="preserve">Recommended correction: </w:t>
      </w:r>
      <w:r>
        <w:rPr>
          <w:sz w:val="19"/>
        </w:rPr>
        <w:t>Either keep the volume DOI but format the entry explicitly as a chapter-in-book (“… in The Policy Environment for Blockchain Innovation and Adoption, OECD, 2019”), or replace with the chapter-level DOI if OECD iLibrary provides one.</w:t>
      </w:r>
    </w:p>
    <w:p>
      <w:pPr>
        <w:spacing w:after="40"/>
        <w:ind w:left="360"/>
      </w:pPr>
      <w:r>
        <w:rPr>
          <w:b/>
          <w:sz w:val="19"/>
        </w:rPr>
        <w:t xml:space="preserve">Verification status: </w:t>
      </w:r>
      <w:r>
        <w:rPr>
          <w:sz w:val="19"/>
        </w:rPr>
        <w:t>Confirmed (DOI resolution checked); correction is a Recommendation.</w:t>
      </w:r>
    </w:p>
    <w:p>
      <w:pPr>
        <w:spacing w:after="0"/>
      </w:pPr>
    </w:p>
    <w:p>
      <w:pPr>
        <w:pStyle w:val="Heading1"/>
      </w:pPr>
      <w:r>
        <w:t>7. Minor Issues (6)</w:t>
      </w:r>
    </w:p>
    <w:p>
      <w:r>
        <w:rPr>
          <w:b/>
          <w:color w:val="545454"/>
        </w:rPr>
        <w:t xml:space="preserve">MI-01  [Minor]  </w:t>
      </w:r>
      <w:r>
        <w:rPr>
          <w:b/>
        </w:rPr>
        <w:t>Spelling of technical terms (multiple locations)</w:t>
      </w:r>
    </w:p>
    <w:p>
      <w:pPr>
        <w:spacing w:after="40"/>
        <w:ind w:left="360"/>
      </w:pPr>
      <w:r>
        <w:rPr>
          <w:b/>
          <w:sz w:val="19"/>
        </w:rPr>
        <w:t xml:space="preserve">Page (per document's own TOC/LoT/LoF): </w:t>
      </w:r>
      <w:r>
        <w:rPr>
          <w:sz w:val="19"/>
        </w:rPr>
        <w:t>pp. 6–8, 16, 90, 97, 104, 117–118</w:t>
      </w:r>
    </w:p>
    <w:p>
      <w:pPr>
        <w:spacing w:after="40"/>
        <w:ind w:left="360"/>
      </w:pPr>
      <w:r>
        <w:rPr>
          <w:b/>
          <w:sz w:val="19"/>
        </w:rPr>
        <w:t xml:space="preserve">Exact text: </w:t>
      </w:r>
      <w:r>
        <w:rPr>
          <w:i/>
          <w:sz w:val="19"/>
        </w:rPr>
        <w:t>“PoConst” (§7.3.1, for PoCol); “mahmatical mode” (§1.6, for “mathematical model”); “PoCo” instead of PoCol (§1.6 ×3, §8.1); “Dlbc” (§1.5, for DLBC); “P-OR-W” (§8.1, for PoW); “liveliness” (§4.4/related, for the consensus property “liveness”); “Inputconfig” vs. “InputConfig” in the same paragraph (§6.4); a stray lone “.” paragraph at the end of §8.5.</w:t>
      </w:r>
    </w:p>
    <w:p>
      <w:pPr>
        <w:spacing w:after="40"/>
        <w:ind w:left="360"/>
      </w:pPr>
      <w:r>
        <w:rPr>
          <w:b/>
          <w:sz w:val="19"/>
        </w:rPr>
        <w:t xml:space="preserve">Issue type: </w:t>
      </w:r>
      <w:r>
        <w:rPr>
          <w:sz w:val="19"/>
        </w:rPr>
        <w:t>Typographical errors</w:t>
      </w:r>
    </w:p>
    <w:p>
      <w:pPr>
        <w:spacing w:after="40"/>
        <w:ind w:left="360"/>
      </w:pPr>
      <w:r>
        <w:rPr>
          <w:b/>
          <w:sz w:val="19"/>
        </w:rPr>
        <w:t xml:space="preserve">Explanation: </w:t>
      </w:r>
      <w:r>
        <w:rPr>
          <w:sz w:val="19"/>
        </w:rPr>
        <w:t>Each is unambiguous from context; “liveliness” vs. “liveness” matters because liveness is a term of art in consensus literature.</w:t>
      </w:r>
    </w:p>
    <w:p>
      <w:pPr>
        <w:spacing w:after="40"/>
        <w:ind w:left="360"/>
      </w:pPr>
      <w:r>
        <w:rPr>
          <w:b/>
          <w:sz w:val="19"/>
        </w:rPr>
        <w:t xml:space="preserve">Recommended correction: </w:t>
      </w:r>
      <w:r>
        <w:rPr>
          <w:sz w:val="19"/>
        </w:rPr>
        <w:t>Apply the eight corrections listed; a case-sensitive search for each string finds every instance.</w:t>
      </w:r>
    </w:p>
    <w:p>
      <w:pPr>
        <w:spacing w:after="40"/>
        <w:ind w:left="360"/>
      </w:pPr>
      <w:r>
        <w:rPr>
          <w:b/>
          <w:sz w:val="19"/>
        </w:rPr>
        <w:t xml:space="preserve">Verification status: </w:t>
      </w:r>
      <w:r>
        <w:rPr>
          <w:sz w:val="19"/>
        </w:rPr>
        <w:t>Confirmed.</w:t>
      </w:r>
    </w:p>
    <w:p>
      <w:pPr>
        <w:spacing w:after="0"/>
      </w:pPr>
    </w:p>
    <w:p>
      <w:r>
        <w:rPr>
          <w:b/>
          <w:color w:val="545454"/>
        </w:rPr>
        <w:t xml:space="preserve">MI-02  [Minor]  </w:t>
      </w:r>
      <w:r>
        <w:rPr>
          <w:b/>
        </w:rPr>
        <w:t>Whole document — spacing</w:t>
      </w:r>
    </w:p>
    <w:p>
      <w:pPr>
        <w:spacing w:after="40"/>
        <w:ind w:left="360"/>
      </w:pPr>
      <w:r>
        <w:rPr>
          <w:b/>
          <w:sz w:val="19"/>
        </w:rPr>
        <w:t xml:space="preserve">Page (per document's own TOC/LoT/LoF): </w:t>
      </w:r>
      <w:r>
        <w:rPr>
          <w:sz w:val="19"/>
        </w:rPr>
        <w:t>throughout</w:t>
      </w:r>
    </w:p>
    <w:p>
      <w:pPr>
        <w:spacing w:after="40"/>
        <w:ind w:left="360"/>
      </w:pPr>
      <w:r>
        <w:rPr>
          <w:b/>
          <w:sz w:val="19"/>
        </w:rPr>
        <w:t xml:space="preserve">Exact text: </w:t>
      </w:r>
      <w:r>
        <w:rPr>
          <w:i/>
          <w:sz w:val="19"/>
        </w:rPr>
        <w:t>181 occurrences of double (or longer) spaces between words/sentences.</w:t>
      </w:r>
    </w:p>
    <w:p>
      <w:pPr>
        <w:spacing w:after="40"/>
        <w:ind w:left="360"/>
      </w:pPr>
      <w:r>
        <w:rPr>
          <w:b/>
          <w:sz w:val="19"/>
        </w:rPr>
        <w:t xml:space="preserve">Issue type: </w:t>
      </w:r>
      <w:r>
        <w:rPr>
          <w:sz w:val="19"/>
        </w:rPr>
        <w:t>Spacing inconsistency</w:t>
      </w:r>
    </w:p>
    <w:p>
      <w:pPr>
        <w:spacing w:after="40"/>
        <w:ind w:left="360"/>
      </w:pPr>
      <w:r>
        <w:rPr>
          <w:b/>
          <w:sz w:val="19"/>
        </w:rPr>
        <w:t xml:space="preserve">Explanation: </w:t>
      </w:r>
      <w:r>
        <w:rPr>
          <w:sz w:val="19"/>
        </w:rPr>
        <w:t>Mixed single/double spacing is visible in justified text and flagged by examiners.</w:t>
      </w:r>
    </w:p>
    <w:p>
      <w:pPr>
        <w:spacing w:after="40"/>
        <w:ind w:left="360"/>
      </w:pPr>
      <w:r>
        <w:rPr>
          <w:b/>
          <w:sz w:val="19"/>
        </w:rPr>
        <w:t xml:space="preserve">Recommended correction: </w:t>
      </w:r>
      <w:r>
        <w:rPr>
          <w:sz w:val="19"/>
        </w:rPr>
        <w:t>Run Find &amp; Replace (“  ” → “ ”) repeatedly until zero replacements; re-check after all other edits.</w:t>
      </w:r>
    </w:p>
    <w:p>
      <w:pPr>
        <w:spacing w:after="40"/>
        <w:ind w:left="360"/>
      </w:pPr>
      <w:r>
        <w:rPr>
          <w:b/>
          <w:sz w:val="19"/>
        </w:rPr>
        <w:t xml:space="preserve">Verification status: </w:t>
      </w:r>
      <w:r>
        <w:rPr>
          <w:sz w:val="19"/>
        </w:rPr>
        <w:t>Confirmed (programmatic count).</w:t>
      </w:r>
    </w:p>
    <w:p>
      <w:pPr>
        <w:spacing w:after="0"/>
      </w:pPr>
    </w:p>
    <w:p>
      <w:r>
        <w:rPr>
          <w:b/>
          <w:color w:val="545454"/>
        </w:rPr>
        <w:t xml:space="preserve">MI-03  [Minor]  </w:t>
      </w:r>
      <w:r>
        <w:rPr>
          <w:b/>
        </w:rPr>
        <w:t>Chapter 7, §7.4.1</w:t>
      </w:r>
    </w:p>
    <w:p>
      <w:pPr>
        <w:spacing w:after="40"/>
        <w:ind w:left="360"/>
      </w:pPr>
      <w:r>
        <w:rPr>
          <w:b/>
          <w:sz w:val="19"/>
        </w:rPr>
        <w:t xml:space="preserve">Page (per document's own TOC/LoT/LoF): </w:t>
      </w:r>
      <w:r>
        <w:rPr>
          <w:sz w:val="19"/>
        </w:rPr>
        <w:t>p. 109, §7.4.1</w:t>
      </w:r>
    </w:p>
    <w:p>
      <w:pPr>
        <w:spacing w:after="40"/>
        <w:ind w:left="360"/>
      </w:pPr>
      <w:r>
        <w:rPr>
          <w:b/>
          <w:sz w:val="19"/>
        </w:rPr>
        <w:t xml:space="preserve">Exact text: </w:t>
      </w:r>
      <w:r>
        <w:rPr>
          <w:i/>
          <w:sz w:val="19"/>
        </w:rPr>
        <w:t>“… in figure 7.5. … indicated by figure 7.6 … those found in figure 7.5.”</w:t>
      </w:r>
    </w:p>
    <w:p>
      <w:pPr>
        <w:spacing w:after="40"/>
        <w:ind w:left="360"/>
      </w:pPr>
      <w:r>
        <w:rPr>
          <w:b/>
          <w:sz w:val="19"/>
        </w:rPr>
        <w:t xml:space="preserve">Issue type: </w:t>
      </w:r>
      <w:r>
        <w:rPr>
          <w:sz w:val="19"/>
        </w:rPr>
        <w:t>Capitalization</w:t>
      </w:r>
    </w:p>
    <w:p>
      <w:pPr>
        <w:spacing w:after="40"/>
        <w:ind w:left="360"/>
      </w:pPr>
      <w:r>
        <w:rPr>
          <w:b/>
          <w:sz w:val="19"/>
        </w:rPr>
        <w:t xml:space="preserve">Explanation: </w:t>
      </w:r>
      <w:r>
        <w:rPr>
          <w:sz w:val="19"/>
        </w:rPr>
        <w:t>“Figure” is capitalized in every other numbered reference in the thesis; these three lowercase instances (plus the same paragraph's “figure 7.5” repetition) break the convention.</w:t>
      </w:r>
    </w:p>
    <w:p>
      <w:pPr>
        <w:spacing w:after="40"/>
        <w:ind w:left="360"/>
      </w:pPr>
      <w:r>
        <w:rPr>
          <w:b/>
          <w:sz w:val="19"/>
        </w:rPr>
        <w:t xml:space="preserve">Recommended correction: </w:t>
      </w:r>
      <w:r>
        <w:rPr>
          <w:sz w:val="19"/>
        </w:rPr>
        <w:t>Capitalize: “Figure 7.5”, “Figure 7.6”.</w:t>
      </w:r>
    </w:p>
    <w:p>
      <w:pPr>
        <w:spacing w:after="40"/>
        <w:ind w:left="360"/>
      </w:pPr>
      <w:r>
        <w:rPr>
          <w:b/>
          <w:sz w:val="19"/>
        </w:rPr>
        <w:t xml:space="preserve">Verification status: </w:t>
      </w:r>
      <w:r>
        <w:rPr>
          <w:sz w:val="19"/>
        </w:rPr>
        <w:t>Confirmed.</w:t>
      </w:r>
    </w:p>
    <w:p>
      <w:pPr>
        <w:spacing w:after="0"/>
      </w:pPr>
    </w:p>
    <w:p>
      <w:r>
        <w:rPr>
          <w:b/>
          <w:color w:val="545454"/>
        </w:rPr>
        <w:t xml:space="preserve">MI-04  [Minor]  </w:t>
      </w:r>
      <w:r>
        <w:rPr>
          <w:b/>
        </w:rPr>
        <w:t>Reference list, entry [42] (Hu et al., delegated-PoS analysis)</w:t>
      </w:r>
    </w:p>
    <w:p>
      <w:pPr>
        <w:spacing w:after="40"/>
        <w:ind w:left="360"/>
      </w:pPr>
      <w:r>
        <w:rPr>
          <w:b/>
          <w:sz w:val="19"/>
        </w:rPr>
        <w:t xml:space="preserve">Page (per document's own TOC/LoT/LoF): </w:t>
      </w:r>
      <w:r>
        <w:rPr>
          <w:sz w:val="19"/>
        </w:rPr>
        <w:t>p. 122 ff., References, entry [42]</w:t>
      </w:r>
    </w:p>
    <w:p>
      <w:pPr>
        <w:spacing w:after="40"/>
        <w:ind w:left="360"/>
      </w:pPr>
      <w:r>
        <w:rPr>
          <w:b/>
          <w:sz w:val="19"/>
        </w:rPr>
        <w:t xml:space="preserve">Exact text: </w:t>
      </w:r>
      <w:r>
        <w:rPr>
          <w:i/>
          <w:sz w:val="19"/>
        </w:rPr>
        <w:t>Entry [42] cites arXiv:1810.04699 (DataCite DOI).</w:t>
      </w:r>
    </w:p>
    <w:p>
      <w:pPr>
        <w:spacing w:after="40"/>
        <w:ind w:left="360"/>
      </w:pPr>
      <w:r>
        <w:rPr>
          <w:b/>
          <w:sz w:val="19"/>
        </w:rPr>
        <w:t xml:space="preserve">Issue type: </w:t>
      </w:r>
      <w:r>
        <w:rPr>
          <w:sz w:val="19"/>
        </w:rPr>
        <w:t>Preprint citation</w:t>
      </w:r>
    </w:p>
    <w:p>
      <w:pPr>
        <w:spacing w:after="40"/>
        <w:ind w:left="360"/>
      </w:pPr>
      <w:r>
        <w:rPr>
          <w:b/>
          <w:sz w:val="19"/>
        </w:rPr>
        <w:t xml:space="preserve">Explanation: </w:t>
      </w:r>
      <w:r>
        <w:rPr>
          <w:sz w:val="19"/>
        </w:rPr>
        <w:t>The arXiv DOI is valid and the metadata matches, but the source is a preprint. If a peer-reviewed version exists, citing it is stronger for a thesis.</w:t>
      </w:r>
    </w:p>
    <w:p>
      <w:pPr>
        <w:spacing w:after="40"/>
        <w:ind w:left="360"/>
      </w:pPr>
      <w:r>
        <w:rPr>
          <w:b/>
          <w:sz w:val="19"/>
        </w:rPr>
        <w:t xml:space="preserve">Recommended correction: </w:t>
      </w:r>
      <w:r>
        <w:rPr>
          <w:sz w:val="19"/>
        </w:rPr>
        <w:t>Optionally check for a published version and cite it; otherwise the entry may stand as is.</w:t>
      </w:r>
    </w:p>
    <w:p>
      <w:pPr>
        <w:spacing w:after="40"/>
        <w:ind w:left="360"/>
      </w:pPr>
      <w:r>
        <w:rPr>
          <w:b/>
          <w:sz w:val="19"/>
        </w:rPr>
        <w:t xml:space="preserve">Verification status: </w:t>
      </w:r>
      <w:r>
        <w:rPr>
          <w:sz w:val="19"/>
        </w:rPr>
        <w:t>Confirmed valid; correction is a Recommendation.</w:t>
      </w:r>
    </w:p>
    <w:p>
      <w:pPr>
        <w:spacing w:after="0"/>
      </w:pPr>
    </w:p>
    <w:p>
      <w:r>
        <w:rPr>
          <w:b/>
          <w:color w:val="545454"/>
        </w:rPr>
        <w:t xml:space="preserve">MI-05  [Minor]  </w:t>
      </w:r>
      <w:r>
        <w:rPr>
          <w:b/>
        </w:rPr>
        <w:t>Front matter — declaration page</w:t>
      </w:r>
    </w:p>
    <w:p>
      <w:pPr>
        <w:spacing w:after="40"/>
        <w:ind w:left="360"/>
      </w:pPr>
      <w:r>
        <w:rPr>
          <w:b/>
          <w:sz w:val="19"/>
        </w:rPr>
        <w:t xml:space="preserve">Page (per document's own TOC/LoT/LoF): </w:t>
      </w:r>
      <w:r>
        <w:rPr>
          <w:sz w:val="19"/>
        </w:rPr>
        <w:t>front matter</w:t>
      </w:r>
    </w:p>
    <w:p>
      <w:pPr>
        <w:spacing w:after="40"/>
        <w:ind w:left="360"/>
      </w:pPr>
      <w:r>
        <w:rPr>
          <w:b/>
          <w:sz w:val="19"/>
        </w:rPr>
        <w:t xml:space="preserve">Exact text: </w:t>
      </w:r>
      <w:r>
        <w:rPr>
          <w:i/>
          <w:sz w:val="19"/>
        </w:rPr>
        <w:t>No originality/authorship declaration (إقرار) page was found in the front matter.</w:t>
      </w:r>
    </w:p>
    <w:p>
      <w:pPr>
        <w:spacing w:after="40"/>
        <w:ind w:left="360"/>
      </w:pPr>
      <w:r>
        <w:rPr>
          <w:b/>
          <w:sz w:val="19"/>
        </w:rPr>
        <w:t xml:space="preserve">Issue type: </w:t>
      </w:r>
      <w:r>
        <w:rPr>
          <w:sz w:val="19"/>
        </w:rPr>
        <w:t>Possible missing institutional page</w:t>
      </w:r>
    </w:p>
    <w:p>
      <w:pPr>
        <w:spacing w:after="40"/>
        <w:ind w:left="360"/>
      </w:pPr>
      <w:r>
        <w:rPr>
          <w:b/>
          <w:sz w:val="19"/>
        </w:rPr>
        <w:t xml:space="preserve">Explanation: </w:t>
      </w:r>
      <w:r>
        <w:rPr>
          <w:sz w:val="19"/>
        </w:rPr>
        <w:t>Many IUG theses include a signed declaration page. Whether it is mandatory for this submission could not be verified from the document itself.</w:t>
      </w:r>
    </w:p>
    <w:p>
      <w:pPr>
        <w:spacing w:after="40"/>
        <w:ind w:left="360"/>
      </w:pPr>
      <w:r>
        <w:rPr>
          <w:b/>
          <w:sz w:val="19"/>
        </w:rPr>
        <w:t xml:space="preserve">Recommended correction: </w:t>
      </w:r>
      <w:r>
        <w:rPr>
          <w:sz w:val="19"/>
        </w:rPr>
        <w:t>Check the IUG thesis template; add the declaration page if required.</w:t>
      </w:r>
    </w:p>
    <w:p>
      <w:pPr>
        <w:spacing w:after="40"/>
        <w:ind w:left="360"/>
      </w:pPr>
      <w:r>
        <w:rPr>
          <w:b/>
          <w:sz w:val="19"/>
        </w:rPr>
        <w:t xml:space="preserve">Verification status: </w:t>
      </w:r>
      <w:r>
        <w:rPr>
          <w:sz w:val="19"/>
        </w:rPr>
        <w:t>Suspected / Recommendation (institutional requirement not verifiable from the file).</w:t>
      </w:r>
    </w:p>
    <w:p>
      <w:pPr>
        <w:spacing w:after="0"/>
      </w:pPr>
    </w:p>
    <w:p>
      <w:r>
        <w:rPr>
          <w:b/>
          <w:color w:val="545454"/>
        </w:rPr>
        <w:t xml:space="preserve">MI-06  [Minor]  </w:t>
      </w:r>
      <w:r>
        <w:rPr>
          <w:b/>
        </w:rPr>
        <w:t>Table of Contents entries for Chapters 5–8</w:t>
      </w:r>
    </w:p>
    <w:p>
      <w:pPr>
        <w:spacing w:after="40"/>
        <w:ind w:left="360"/>
      </w:pPr>
      <w:r>
        <w:rPr>
          <w:b/>
          <w:sz w:val="19"/>
        </w:rPr>
        <w:t xml:space="preserve">Page (per document's own TOC/LoT/LoF): </w:t>
      </w:r>
      <w:r>
        <w:rPr>
          <w:sz w:val="19"/>
        </w:rPr>
        <w:t>TOC, p. i-area</w:t>
      </w:r>
    </w:p>
    <w:p>
      <w:pPr>
        <w:spacing w:after="40"/>
        <w:ind w:left="360"/>
      </w:pPr>
      <w:r>
        <w:rPr>
          <w:b/>
          <w:sz w:val="19"/>
        </w:rPr>
        <w:t xml:space="preserve">Exact text: </w:t>
      </w:r>
      <w:r>
        <w:rPr>
          <w:i/>
          <w:sz w:val="19"/>
        </w:rPr>
        <w:t>“Chapter 5  The Proof-of-Collaboration Consensus Algorithm” (double space after the number; same for Chapters 6–8).</w:t>
      </w:r>
    </w:p>
    <w:p>
      <w:pPr>
        <w:spacing w:after="40"/>
        <w:ind w:left="360"/>
      </w:pPr>
      <w:r>
        <w:rPr>
          <w:b/>
          <w:sz w:val="19"/>
        </w:rPr>
        <w:t xml:space="preserve">Issue type: </w:t>
      </w:r>
      <w:r>
        <w:rPr>
          <w:sz w:val="19"/>
        </w:rPr>
        <w:t>Spacing in headings propagated to TOC</w:t>
      </w:r>
    </w:p>
    <w:p>
      <w:pPr>
        <w:spacing w:after="40"/>
        <w:ind w:left="360"/>
      </w:pPr>
      <w:r>
        <w:rPr>
          <w:b/>
          <w:sz w:val="19"/>
        </w:rPr>
        <w:t xml:space="preserve">Explanation: </w:t>
      </w:r>
      <w:r>
        <w:rPr>
          <w:sz w:val="19"/>
        </w:rPr>
        <w:t>The double space originates in the Heading-1 text and is mirrored by the TOC field; fixing MO-07 and updating the TOC clears it.</w:t>
      </w:r>
    </w:p>
    <w:p>
      <w:pPr>
        <w:spacing w:after="40"/>
        <w:ind w:left="360"/>
      </w:pPr>
      <w:r>
        <w:rPr>
          <w:b/>
          <w:sz w:val="19"/>
        </w:rPr>
        <w:t xml:space="preserve">Recommended correction: </w:t>
      </w:r>
      <w:r>
        <w:rPr>
          <w:sz w:val="19"/>
        </w:rPr>
        <w:t>Fix heading text, then update the TOC field (F9).</w:t>
      </w:r>
    </w:p>
    <w:p>
      <w:pPr>
        <w:spacing w:after="40"/>
        <w:ind w:left="360"/>
      </w:pPr>
      <w:r>
        <w:rPr>
          <w:b/>
          <w:sz w:val="19"/>
        </w:rPr>
        <w:t xml:space="preserve">Verification status: </w:t>
      </w:r>
      <w:r>
        <w:rPr>
          <w:sz w:val="19"/>
        </w:rPr>
        <w:t>Confirmed.</w:t>
      </w:r>
    </w:p>
    <w:p>
      <w:pPr>
        <w:spacing w:after="0"/>
      </w:pPr>
    </w:p>
    <w:p>
      <w:pPr>
        <w:pStyle w:val="Heading1"/>
      </w:pPr>
      <w:r>
        <w:t>8. Table of Contents Audit</w:t>
      </w:r>
    </w:p>
    <w:p>
      <w:r>
        <w:rPr>
          <w:b w:val="0"/>
          <w:i w:val="0"/>
        </w:rPr>
        <w:t>The TOC is a genuine Word field (TOC \o "1-3" \h \z \u) — it will update correctly. Every one of the 140+ TOC entries was matched against the body headings:</w:t>
      </w:r>
    </w:p>
    <w:p>
      <w:pPr>
        <w:pStyle w:val="ListBullet"/>
      </w:pPr>
      <w:r>
        <w:t>Coverage: all Heading 1–3 paragraphs of Chapters 1–8 plus References appear; no orphan or phantom entries were found. Main-body pagination in the TOC runs 2–122.</w:t>
      </w:r>
    </w:p>
    <w:p>
      <w:pPr>
        <w:pStyle w:val="ListBullet"/>
      </w:pPr>
      <w:r>
        <w:t>Wording: TOC entries match body headings exactly (including, notably, displaying “Chapter 1 Introduction” with a space even though the body heading lacks it — see MO-07; after the heading fix, a TOC update keeps them consistent).</w:t>
      </w:r>
    </w:p>
    <w:p>
      <w:pPr>
        <w:pStyle w:val="ListBullet"/>
      </w:pPr>
      <w:r>
        <w:t>Front-matter items (Acknowledgment, Lists, Abbreviations) are outside the TOC field, which is conventional; once the Abstract is added (C-01), decide whether front-matter items should be listed per the IUG template.</w:t>
      </w:r>
    </w:p>
    <w:p>
      <w:pPr>
        <w:pStyle w:val="ListBullet"/>
      </w:pPr>
      <w:r>
        <w:t>Action required after corrections: select the TOC and press F9 (“Update entire table”) so page numbers reflect the post-correction layout.</w:t>
      </w:r>
    </w:p>
    <w:p>
      <w:pPr>
        <w:pStyle w:val="Heading1"/>
      </w:pPr>
      <w:r>
        <w:t>9. List of Tables Audit</w:t>
      </w:r>
    </w:p>
    <w:p>
      <w:r>
        <w:rPr>
          <w:b w:val="0"/>
          <w:i w:val="0"/>
        </w:rPr>
        <w:t>11 entries (Tables 3.1–3.8, 6.1, 6.2, 7.1) — complete: every captioned table in the body appears and no listed table is missing from the body. Defects (all consolidated under M-04):</w:t>
      </w:r>
    </w:p>
    <w:p>
      <w:pPr>
        <w:pStyle w:val="ListBullet"/>
      </w:pPr>
      <w:r>
        <w:t>Manual list, not a field — page numbers are typed and will go stale.</w:t>
      </w:r>
    </w:p>
    <w:p>
      <w:pPr>
        <w:pStyle w:val="ListBullet"/>
      </w:pPr>
      <w:r>
        <w:t>Every entry lacks the space between number and title (“Table 3.1Inclusion and exclusion criteria”).</w:t>
      </w:r>
    </w:p>
    <w:p>
      <w:pPr>
        <w:pStyle w:val="ListBullet"/>
      </w:pPr>
      <w:r>
        <w:t>Entries for Tables 3.5–3.8 are silently truncated relative to the full body captions (acceptable if intentional, but a generated list with short captions is safer).</w:t>
      </w:r>
    </w:p>
    <w:p>
      <w:pPr>
        <w:pStyle w:val="ListBullet"/>
      </w:pPr>
      <w:r>
        <w:t>Listed pages: 24, 27, 28, 29, 31, 35, 46, 48, 97, 99, 104 — plausible against TOC section pages but unverifiable without rendering; regenerate the list to guarantee correctness.</w:t>
      </w:r>
    </w:p>
    <w:p>
      <w:pPr>
        <w:pStyle w:val="Heading1"/>
      </w:pPr>
      <w:r>
        <w:t>10. List of Figures Audit</w:t>
      </w:r>
    </w:p>
    <w:p>
      <w:r>
        <w:rPr>
          <w:b w:val="0"/>
          <w:i w:val="0"/>
        </w:rPr>
        <w:t>14 entries (Figures 3.1, 3.2, 5.1–5.4, 7.1–7.8) — complete against the body. Defects (consolidated under M-04):</w:t>
      </w:r>
    </w:p>
    <w:p>
      <w:pPr>
        <w:pStyle w:val="ListBullet"/>
      </w:pPr>
      <w:r>
        <w:t>Manual list — same staleness and missing-space problems as the LoT.</w:t>
      </w:r>
    </w:p>
    <w:p>
      <w:pPr>
        <w:pStyle w:val="ListBullet"/>
      </w:pPr>
      <w:r>
        <w:t>Substantive wording mismatch for Figure 3.1: LoF says “Bitcoin annual electricity consumption compared with selected countries”, body caption says “Illustrative electricity consumption trend of PoW-based blockchain operation, with Bitcoin used as a representative example”. The LoF reflects a superseded caption. Figure 3.2's entry is likewise an older, shorter phrasing.</w:t>
      </w:r>
    </w:p>
    <w:p>
      <w:pPr>
        <w:pStyle w:val="ListBullet"/>
      </w:pPr>
      <w:r>
        <w:t>Remaining entries are shortened but faithful versions of the body captions.</w:t>
      </w:r>
    </w:p>
    <w:p>
      <w:pPr>
        <w:pStyle w:val="Heading1"/>
      </w:pPr>
      <w:r>
        <w:t>11. In-Text Citation Audit</w:t>
      </w:r>
    </w:p>
    <w:p>
      <w:pPr>
        <w:pStyle w:val="ListBullet"/>
      </w:pPr>
      <w:r>
        <w:t>Bracketed tokens in the document: 755 total, of which 148 are the reference-table row labels and one recurring “[0, 1]” is a mathematical interval (correctly excluded), leaving ≈600 citation markers in the narrative text.</w:t>
      </w:r>
    </w:p>
    <w:p>
      <w:pPr>
        <w:pStyle w:val="ListBullet"/>
      </w:pPr>
      <w:r>
        <w:t>All markers use the IEEE numeric form [n] or [n], [m]; no author–date, no [A#]/[B#], no footnote-style citations remain anywhere.</w:t>
      </w:r>
    </w:p>
    <w:p>
      <w:pPr>
        <w:pStyle w:val="ListBullet"/>
      </w:pPr>
      <w:r>
        <w:t>Range check: every number cited lies in 1–148; no citation to a non-existent entry.</w:t>
      </w:r>
    </w:p>
    <w:p>
      <w:pPr>
        <w:pStyle w:val="ListBullet"/>
      </w:pPr>
      <w:r>
        <w:t>Cluster size: no citation position carries more than two references (maximum cluster “[n], [m]”), satisfying the ≤2 constraint throughout.</w:t>
      </w:r>
    </w:p>
    <w:p>
      <w:pPr>
        <w:pStyle w:val="ListBullet"/>
      </w:pPr>
      <w:r>
        <w:t>Coverage: all 148 reference entries are cited at least once — there are no uncited (orphan) references.</w:t>
      </w:r>
    </w:p>
    <w:p>
      <w:pPr>
        <w:pStyle w:val="ListBullet"/>
      </w:pPr>
      <w:r>
        <w:t>Result: PASS. No corrective action required in this dimension.</w:t>
      </w:r>
    </w:p>
    <w:p>
      <w:pPr>
        <w:pStyle w:val="Heading1"/>
      </w:pPr>
      <w:r>
        <w:t>12. Reference-List Verification Audit</w:t>
      </w:r>
    </w:p>
    <w:p>
      <w:r>
        <w:rPr>
          <w:b w:val="0"/>
          <w:i w:val="0"/>
        </w:rPr>
        <w:t>The reference table contains exactly 148 entries, numbered [1]–[148] with no gaps or duplicates, in a consistent two-column IEEE layout. Every entry was previously verified individually against Crossref/DataCite/publisher records during the earlier verification pass, and the seven entries that were unresolved in earlier drafts have been replaced in this version with verifiable published sources. Those seven were re-verified for this audit:</w:t>
      </w:r>
    </w:p>
    <w:tbl>
      <w:tblPr>
        <w:tblStyle w:val="TableGrid"/>
        <w:tblW w:type="auto" w:w="0"/>
        <w:tblLook w:firstColumn="1" w:firstRow="1" w:lastColumn="0" w:lastRow="0" w:noHBand="0" w:noVBand="1" w:val="04A0"/>
      </w:tblPr>
      <w:tblGrid>
        <w:gridCol w:w="2880"/>
        <w:gridCol w:w="2880"/>
        <w:gridCol w:w="2880"/>
      </w:tblGrid>
      <w:tr>
        <w:tc>
          <w:tcPr>
            <w:tcW w:type="dxa" w:w="864"/>
          </w:tcPr>
          <w:p>
            <w:r/>
            <w:r>
              <w:rPr>
                <w:b/>
                <w:sz w:val="18"/>
              </w:rPr>
              <w:t>Entry</w:t>
            </w:r>
          </w:p>
        </w:tc>
        <w:tc>
          <w:tcPr>
            <w:tcW w:type="dxa" w:w="5184"/>
          </w:tcPr>
          <w:p>
            <w:r/>
            <w:r>
              <w:rPr>
                <w:b/>
                <w:sz w:val="18"/>
              </w:rPr>
              <w:t>Source (as identified)</w:t>
            </w:r>
          </w:p>
        </w:tc>
        <w:tc>
          <w:tcPr>
            <w:tcW w:type="dxa" w:w="3744"/>
          </w:tcPr>
          <w:p>
            <w:r/>
            <w:r>
              <w:rPr>
                <w:b/>
                <w:sz w:val="18"/>
              </w:rPr>
              <w:t>Verification result</w:t>
            </w:r>
          </w:p>
        </w:tc>
      </w:tr>
      <w:tr>
        <w:tc>
          <w:tcPr>
            <w:tcW w:type="dxa" w:w="864"/>
          </w:tcPr>
          <w:p>
            <w:r/>
            <w:r>
              <w:rPr>
                <w:sz w:val="18"/>
              </w:rPr>
              <w:t>[14]</w:t>
            </w:r>
          </w:p>
        </w:tc>
        <w:tc>
          <w:tcPr>
            <w:tcW w:type="dxa" w:w="5184"/>
          </w:tcPr>
          <w:p>
            <w:r/>
            <w:r>
              <w:rPr>
                <w:sz w:val="18"/>
              </w:rPr>
              <w:t>Pham et al., double SHA-256 hardware architecture, IEEE Access 9 (2021)</w:t>
            </w:r>
          </w:p>
        </w:tc>
        <w:tc>
          <w:tcPr>
            <w:tcW w:type="dxa" w:w="3744"/>
          </w:tcPr>
          <w:p>
            <w:r/>
            <w:r>
              <w:rPr>
                <w:sz w:val="18"/>
              </w:rPr>
              <w:t>DOI valid; metadata matches EXCEPT author names — see M-05</w:t>
            </w:r>
          </w:p>
        </w:tc>
      </w:tr>
      <w:tr>
        <w:tc>
          <w:tcPr>
            <w:tcW w:type="dxa" w:w="864"/>
          </w:tcPr>
          <w:p>
            <w:r/>
            <w:r>
              <w:rPr>
                <w:sz w:val="18"/>
              </w:rPr>
              <w:t>[18]</w:t>
            </w:r>
          </w:p>
        </w:tc>
        <w:tc>
          <w:tcPr>
            <w:tcW w:type="dxa" w:w="5184"/>
          </w:tcPr>
          <w:p>
            <w:r/>
            <w:r>
              <w:rPr>
                <w:sz w:val="18"/>
              </w:rPr>
              <w:t>Qu et al., “Proof of Federated Learning” (PoFL), IEEE TPDS 32(8): 2074–2085, 2021</w:t>
            </w:r>
          </w:p>
        </w:tc>
        <w:tc>
          <w:tcPr>
            <w:tcW w:type="dxa" w:w="3744"/>
          </w:tcPr>
          <w:p>
            <w:r/>
            <w:r>
              <w:rPr>
                <w:sz w:val="18"/>
              </w:rPr>
              <w:t>Exact match (volume, issue, pages, year) — verified</w:t>
            </w:r>
          </w:p>
        </w:tc>
      </w:tr>
      <w:tr>
        <w:tc>
          <w:tcPr>
            <w:tcW w:type="dxa" w:w="864"/>
          </w:tcPr>
          <w:p>
            <w:r/>
            <w:r>
              <w:rPr>
                <w:sz w:val="18"/>
              </w:rPr>
              <w:t>[42]</w:t>
            </w:r>
          </w:p>
        </w:tc>
        <w:tc>
          <w:tcPr>
            <w:tcW w:type="dxa" w:w="5184"/>
          </w:tcPr>
          <w:p>
            <w:r/>
            <w:r>
              <w:rPr>
                <w:sz w:val="18"/>
              </w:rPr>
              <w:t>Hu et al., delegated proof-of-stake analysis, arXiv:1810.04699</w:t>
            </w:r>
          </w:p>
        </w:tc>
        <w:tc>
          <w:tcPr>
            <w:tcW w:type="dxa" w:w="3744"/>
          </w:tcPr>
          <w:p>
            <w:r/>
            <w:r>
              <w:rPr>
                <w:sz w:val="18"/>
              </w:rPr>
              <w:t>DataCite record matches; preprint — see MI-04</w:t>
            </w:r>
          </w:p>
        </w:tc>
      </w:tr>
      <w:tr>
        <w:tc>
          <w:tcPr>
            <w:tcW w:type="dxa" w:w="864"/>
          </w:tcPr>
          <w:p>
            <w:r/>
            <w:r>
              <w:rPr>
                <w:sz w:val="18"/>
              </w:rPr>
              <w:t>[43]</w:t>
            </w:r>
          </w:p>
        </w:tc>
        <w:tc>
          <w:tcPr>
            <w:tcW w:type="dxa" w:w="5184"/>
          </w:tcPr>
          <w:p>
            <w:r/>
            <w:r>
              <w:rPr>
                <w:sz w:val="18"/>
              </w:rPr>
              <w:t>Smolenski, chapter in OECD blockchain policy volume, DOI 10.1787/589b283f-en</w:t>
            </w:r>
          </w:p>
        </w:tc>
        <w:tc>
          <w:tcPr>
            <w:tcW w:type="dxa" w:w="3744"/>
          </w:tcPr>
          <w:p>
            <w:r/>
            <w:r>
              <w:rPr>
                <w:sz w:val="18"/>
              </w:rPr>
              <w:t>DOI resolves to the containing volume, not the chapter — see MO-08</w:t>
            </w:r>
          </w:p>
        </w:tc>
      </w:tr>
      <w:tr>
        <w:tc>
          <w:tcPr>
            <w:tcW w:type="dxa" w:w="864"/>
          </w:tcPr>
          <w:p>
            <w:r/>
            <w:r>
              <w:rPr>
                <w:sz w:val="18"/>
              </w:rPr>
              <w:t>[45]</w:t>
            </w:r>
          </w:p>
        </w:tc>
        <w:tc>
          <w:tcPr>
            <w:tcW w:type="dxa" w:w="5184"/>
          </w:tcPr>
          <w:p>
            <w:r/>
            <w:r>
              <w:rPr>
                <w:sz w:val="18"/>
              </w:rPr>
              <w:t>Taherdoost, Electronics 13(2), Art. no. 422, 2024</w:t>
            </w:r>
          </w:p>
        </w:tc>
        <w:tc>
          <w:tcPr>
            <w:tcW w:type="dxa" w:w="3744"/>
          </w:tcPr>
          <w:p>
            <w:r/>
            <w:r>
              <w:rPr>
                <w:sz w:val="18"/>
              </w:rPr>
              <w:t>Exact match — verified</w:t>
            </w:r>
          </w:p>
        </w:tc>
      </w:tr>
      <w:tr>
        <w:tc>
          <w:tcPr>
            <w:tcW w:type="dxa" w:w="864"/>
          </w:tcPr>
          <w:p>
            <w:r/>
            <w:r>
              <w:rPr>
                <w:sz w:val="18"/>
              </w:rPr>
              <w:t>[46]</w:t>
            </w:r>
          </w:p>
        </w:tc>
        <w:tc>
          <w:tcPr>
            <w:tcW w:type="dxa" w:w="5184"/>
          </w:tcPr>
          <w:p>
            <w:r/>
            <w:r>
              <w:rPr>
                <w:sz w:val="18"/>
              </w:rPr>
              <w:t>Garay, Kiayias, Leonardos, “The Bitcoin Backbone Protocol”, EUROCRYPT 2015, pp. 281–310</w:t>
            </w:r>
          </w:p>
        </w:tc>
        <w:tc>
          <w:tcPr>
            <w:tcW w:type="dxa" w:w="3744"/>
          </w:tcPr>
          <w:p>
            <w:r/>
            <w:r>
              <w:rPr>
                <w:sz w:val="18"/>
              </w:rPr>
              <w:t>Exact match — verified</w:t>
            </w:r>
          </w:p>
        </w:tc>
      </w:tr>
      <w:tr>
        <w:tc>
          <w:tcPr>
            <w:tcW w:type="dxa" w:w="864"/>
          </w:tcPr>
          <w:p>
            <w:r/>
            <w:r>
              <w:rPr>
                <w:sz w:val="18"/>
              </w:rPr>
              <w:t>[47]</w:t>
            </w:r>
          </w:p>
        </w:tc>
        <w:tc>
          <w:tcPr>
            <w:tcW w:type="dxa" w:w="5184"/>
          </w:tcPr>
          <w:p>
            <w:r/>
            <w:r>
              <w:rPr>
                <w:sz w:val="18"/>
              </w:rPr>
              <w:t>Pass, Seeman, Shelat, “Analysis of the Blockchain Protocol in Asynchronous Networks”, EUROCRYPT 2017, pp. 643–673</w:t>
            </w:r>
          </w:p>
        </w:tc>
        <w:tc>
          <w:tcPr>
            <w:tcW w:type="dxa" w:w="3744"/>
          </w:tcPr>
          <w:p>
            <w:r/>
            <w:r>
              <w:rPr>
                <w:sz w:val="18"/>
              </w:rPr>
              <w:t>Exact match — verified</w:t>
            </w:r>
          </w:p>
        </w:tc>
      </w:tr>
    </w:tbl>
    <w:p>
      <w:r>
        <w:rPr>
          <w:b w:val="0"/>
          <w:i w:val="0"/>
        </w:rPr>
      </w:r>
    </w:p>
    <w:p>
      <w:pPr>
        <w:pStyle w:val="ListBullet"/>
      </w:pPr>
      <w:r>
        <w:t>Entry [5] correctly retains its “(Retracted)” annotation for the retracted Vyas article — good practice, retained deliberately.</w:t>
      </w:r>
    </w:p>
    <w:p>
      <w:pPr>
        <w:pStyle w:val="ListBullet"/>
      </w:pPr>
      <w:r>
        <w:t>No invented, unverifiable, or placeholder entries were detected in the list.</w:t>
      </w:r>
    </w:p>
    <w:p>
      <w:pPr>
        <w:pStyle w:val="ListBullet"/>
      </w:pPr>
      <w:r>
        <w:t>The only confirmed bibliographic defect in all 148 entries is the author-name inversion in [14] (M-05).</w:t>
      </w:r>
    </w:p>
    <w:p>
      <w:pPr>
        <w:pStyle w:val="Heading1"/>
      </w:pPr>
      <w:r>
        <w:t>13. DOI Verification Results</w:t>
      </w:r>
    </w:p>
    <w:p>
      <w:pPr>
        <w:pStyle w:val="ListBullet"/>
      </w:pPr>
      <w:r>
        <w:t>Entries carrying a DOI: the large majority of the 148 entries include a “doi:” terminator in IEEE style; entries without a DOI are those whose venues genuinely issue none (standards, whitepapers, some magazine/URL sources), each carrying its canonical URL or identifier instead.</w:t>
      </w:r>
    </w:p>
    <w:p>
      <w:pPr>
        <w:pStyle w:val="ListBullet"/>
      </w:pPr>
      <w:r>
        <w:t>Every DOI present in the list was previously resolved through the DOI.org handle system (responseCode 1 = resolvable) during the verification pass that produced the delivered Reference-DOI-Verification-Report.xlsx; the seven new/changed entries above were re-resolved for this audit. No dead, malformed, or fabricated DOI exists in the current list.</w:t>
      </w:r>
    </w:p>
    <w:p>
      <w:pPr>
        <w:pStyle w:val="ListBullet"/>
      </w:pPr>
      <w:r>
        <w:t>Two granularity/typing notes, not defects: [43] volume-level DOI (MO-08) and [42] DataCite arXiv DOI (MI-04).</w:t>
      </w:r>
    </w:p>
    <w:p>
      <w:pPr>
        <w:pStyle w:val="Heading1"/>
      </w:pPr>
      <w:r>
        <w:t>14. First-Appearance Order Audit</w:t>
      </w:r>
    </w:p>
    <w:p>
      <w:pPr>
        <w:pStyle w:val="ListBullet"/>
      </w:pPr>
      <w:r>
        <w:t>Programmatic check: reading the document linearly, reference [k] makes its first appearance strictly after reference [k−1] for every k = 2 … 148. The numbering therefore follows perfect IEEE first-appearance order.</w:t>
      </w:r>
    </w:p>
    <w:p>
      <w:pPr>
        <w:pStyle w:val="ListBullet"/>
      </w:pPr>
      <w:r>
        <w:t>The reference table is sorted 1–148, matching the appearance order by construction.</w:t>
      </w:r>
    </w:p>
    <w:p>
      <w:pPr>
        <w:pStyle w:val="ListBullet"/>
      </w:pPr>
      <w:r>
        <w:t>Result: PASS — no renumbering needed.</w:t>
      </w:r>
    </w:p>
    <w:p>
      <w:pPr>
        <w:pStyle w:val="Heading1"/>
      </w:pPr>
      <w:r>
        <w:t>15. Citation-to-Claim Context Audit</w:t>
      </w:r>
    </w:p>
    <w:p>
      <w:r>
        <w:rPr>
          <w:b w:val="0"/>
          <w:i w:val="0"/>
        </w:rPr>
        <w:t>A sampled contextual review (≈30 citation positions across all chapters, prioritizing quantitative and security claims) checked whether each cited source can plausibly support the sentence it is attached to:</w:t>
      </w:r>
    </w:p>
    <w:p>
      <w:pPr>
        <w:pStyle w:val="ListBullet"/>
      </w:pPr>
      <w:r>
        <w:t>Energy/consumption claims in §3.5 cite the Cambridge Blockchain Network Sustainability Index source at every CBECI-derived statement — appropriate.</w:t>
      </w:r>
    </w:p>
    <w:p>
      <w:pPr>
        <w:pStyle w:val="ListBullet"/>
      </w:pPr>
      <w:r>
        <w:t>Security claims (backbone analysis, 51%, selfish mining) cite the Garay et al. and Pass et al. EUROCRYPT analyses and the survey literature at the right positions — appropriate.</w:t>
      </w:r>
    </w:p>
    <w:p>
      <w:pPr>
        <w:pStyle w:val="ListBullet"/>
      </w:pPr>
      <w:r>
        <w:t>Implementation claims (SHA-256 hardware, BlockSim) cite [14] and the BlockSim source at the correct sentences — appropriate.</w:t>
      </w:r>
    </w:p>
    <w:p>
      <w:pPr>
        <w:pStyle w:val="ListBullet"/>
      </w:pPr>
      <w:r>
        <w:t>No case was found in the sample where a citation is attached to a claim its source cannot support. A sentence-by-sentence semantic check of all ≈600 markers is beyond any automated audit; the supervisor read remains the final control (Recommendation).</w:t>
      </w:r>
    </w:p>
    <w:p>
      <w:pPr>
        <w:pStyle w:val="Heading1"/>
      </w:pPr>
      <w:r>
        <w:t>16. Numerical Consistency Audit (Table 7.1 Authoritative)</w:t>
      </w:r>
    </w:p>
    <w:p>
      <w:r>
        <w:rPr>
          <w:b w:val="0"/>
          <w:i w:val="0"/>
        </w:rPr>
        <w:t>Every quantitative statement in Chapters 6–8 was checked against Table 7.1 (and Table 6.2 where applicable). Authoritative values, for the record: PoCol/PoW TPS 3.32/3.22 (100), 6.67/2.51 (200), 11.33/2.87 (300), 10.78/4.84 (400), 8.53/3.41 (500); six-confirmation 3189/3128, 1567/3959, 957/3635, 974/2182, 1261/3033 s; PoCol stale rate 35.7–85.7%; energy 0.131/7.902, 0.300/15.558, 0.470/24.486, 0.454/33.078, 0.335/40.408 kWh; CO₂ 0.058/3.516 … 0.149/17.981 kg.</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r/>
            <w:r>
              <w:rPr>
                <w:b/>
                <w:sz w:val="18"/>
              </w:rPr>
              <w:t>Location</w:t>
            </w:r>
          </w:p>
        </w:tc>
        <w:tc>
          <w:tcPr>
            <w:tcW w:type="dxa" w:w="3024"/>
          </w:tcPr>
          <w:p>
            <w:r/>
            <w:r>
              <w:rPr>
                <w:b/>
                <w:sz w:val="18"/>
              </w:rPr>
              <w:t>Prose value</w:t>
            </w:r>
          </w:p>
        </w:tc>
        <w:tc>
          <w:tcPr>
            <w:tcW w:type="dxa" w:w="2736"/>
          </w:tcPr>
          <w:p>
            <w:r/>
            <w:r>
              <w:rPr>
                <w:b/>
                <w:sz w:val="18"/>
              </w:rPr>
              <w:t>Table 7.1 value</w:t>
            </w:r>
          </w:p>
        </w:tc>
        <w:tc>
          <w:tcPr>
            <w:tcW w:type="dxa" w:w="1872"/>
          </w:tcPr>
          <w:p>
            <w:r/>
            <w:r>
              <w:rPr>
                <w:b/>
                <w:sz w:val="18"/>
              </w:rPr>
              <w:t>Verdict</w:t>
            </w:r>
          </w:p>
        </w:tc>
      </w:tr>
      <w:tr>
        <w:tc>
          <w:tcPr>
            <w:tcW w:type="dxa" w:w="2448"/>
          </w:tcPr>
          <w:p>
            <w:r/>
            <w:r>
              <w:rPr>
                <w:sz w:val="18"/>
              </w:rPr>
              <w:t>§7.3.1 TPS @300 (PoCol)</w:t>
            </w:r>
          </w:p>
        </w:tc>
        <w:tc>
          <w:tcPr>
            <w:tcW w:type="dxa" w:w="3024"/>
          </w:tcPr>
          <w:p>
            <w:r/>
            <w:r>
              <w:rPr>
                <w:sz w:val="18"/>
              </w:rPr>
              <w:t>11.30</w:t>
            </w:r>
          </w:p>
        </w:tc>
        <w:tc>
          <w:tcPr>
            <w:tcW w:type="dxa" w:w="2736"/>
          </w:tcPr>
          <w:p>
            <w:r/>
            <w:r>
              <w:rPr>
                <w:sz w:val="18"/>
              </w:rPr>
              <w:t>11.33</w:t>
            </w:r>
          </w:p>
        </w:tc>
        <w:tc>
          <w:tcPr>
            <w:tcW w:type="dxa" w:w="1872"/>
          </w:tcPr>
          <w:p>
            <w:r/>
            <w:r>
              <w:rPr>
                <w:sz w:val="18"/>
              </w:rPr>
              <w:t>Mismatch — MO-01</w:t>
            </w:r>
          </w:p>
        </w:tc>
      </w:tr>
      <w:tr>
        <w:tc>
          <w:tcPr>
            <w:tcW w:type="dxa" w:w="2448"/>
          </w:tcPr>
          <w:p>
            <w:r/>
            <w:r>
              <w:rPr>
                <w:sz w:val="18"/>
              </w:rPr>
              <w:t>§7.3.1 TPS @400 (PoCol)</w:t>
            </w:r>
          </w:p>
        </w:tc>
        <w:tc>
          <w:tcPr>
            <w:tcW w:type="dxa" w:w="3024"/>
          </w:tcPr>
          <w:p>
            <w:r/>
            <w:r>
              <w:rPr>
                <w:sz w:val="18"/>
              </w:rPr>
              <w:t>10.80</w:t>
            </w:r>
          </w:p>
        </w:tc>
        <w:tc>
          <w:tcPr>
            <w:tcW w:type="dxa" w:w="2736"/>
          </w:tcPr>
          <w:p>
            <w:r/>
            <w:r>
              <w:rPr>
                <w:sz w:val="18"/>
              </w:rPr>
              <w:t>10.78</w:t>
            </w:r>
          </w:p>
        </w:tc>
        <w:tc>
          <w:tcPr>
            <w:tcW w:type="dxa" w:w="1872"/>
          </w:tcPr>
          <w:p>
            <w:r/>
            <w:r>
              <w:rPr>
                <w:sz w:val="18"/>
              </w:rPr>
              <w:t>Mismatch — MO-01</w:t>
            </w:r>
          </w:p>
        </w:tc>
      </w:tr>
      <w:tr>
        <w:tc>
          <w:tcPr>
            <w:tcW w:type="dxa" w:w="2448"/>
          </w:tcPr>
          <w:p>
            <w:r/>
            <w:r>
              <w:rPr>
                <w:sz w:val="18"/>
              </w:rPr>
              <w:t>§7.3.1 TPS @200 (both)</w:t>
            </w:r>
          </w:p>
        </w:tc>
        <w:tc>
          <w:tcPr>
            <w:tcW w:type="dxa" w:w="3024"/>
          </w:tcPr>
          <w:p>
            <w:r/>
            <w:r>
              <w:rPr>
                <w:sz w:val="18"/>
              </w:rPr>
              <w:t>6.67 / 2.51</w:t>
            </w:r>
          </w:p>
        </w:tc>
        <w:tc>
          <w:tcPr>
            <w:tcW w:type="dxa" w:w="2736"/>
          </w:tcPr>
          <w:p>
            <w:r/>
            <w:r>
              <w:rPr>
                <w:sz w:val="18"/>
              </w:rPr>
              <w:t>6.67 / 2.51</w:t>
            </w:r>
          </w:p>
        </w:tc>
        <w:tc>
          <w:tcPr>
            <w:tcW w:type="dxa" w:w="1872"/>
          </w:tcPr>
          <w:p>
            <w:r/>
            <w:r>
              <w:rPr>
                <w:sz w:val="18"/>
              </w:rPr>
              <w:t>Match</w:t>
            </w:r>
          </w:p>
        </w:tc>
      </w:tr>
      <w:tr>
        <w:tc>
          <w:tcPr>
            <w:tcW w:type="dxa" w:w="2448"/>
          </w:tcPr>
          <w:p>
            <w:r/>
            <w:r>
              <w:rPr>
                <w:sz w:val="18"/>
              </w:rPr>
              <w:t>§7.3.2 finality @100</w:t>
            </w:r>
          </w:p>
        </w:tc>
        <w:tc>
          <w:tcPr>
            <w:tcW w:type="dxa" w:w="3024"/>
          </w:tcPr>
          <w:p>
            <w:r/>
            <w:r>
              <w:rPr>
                <w:sz w:val="18"/>
              </w:rPr>
              <w:t>“for PoCol … 3189 and 3128 s respectively”</w:t>
            </w:r>
          </w:p>
        </w:tc>
        <w:tc>
          <w:tcPr>
            <w:tcW w:type="dxa" w:w="2736"/>
          </w:tcPr>
          <w:p>
            <w:r/>
            <w:r>
              <w:rPr>
                <w:sz w:val="18"/>
              </w:rPr>
              <w:t>PoCol 3189 / PoW 3128</w:t>
            </w:r>
          </w:p>
        </w:tc>
        <w:tc>
          <w:tcPr>
            <w:tcW w:type="dxa" w:w="1872"/>
          </w:tcPr>
          <w:p>
            <w:r/>
            <w:r>
              <w:rPr>
                <w:sz w:val="18"/>
              </w:rPr>
              <w:t>Attribution error — M-01</w:t>
            </w:r>
          </w:p>
        </w:tc>
      </w:tr>
      <w:tr>
        <w:tc>
          <w:tcPr>
            <w:tcW w:type="dxa" w:w="2448"/>
          </w:tcPr>
          <w:p>
            <w:r/>
            <w:r>
              <w:rPr>
                <w:sz w:val="18"/>
              </w:rPr>
              <w:t>§7.3.3 stale @400</w:t>
            </w:r>
          </w:p>
        </w:tc>
        <w:tc>
          <w:tcPr>
            <w:tcW w:type="dxa" w:w="3024"/>
          </w:tcPr>
          <w:p>
            <w:r/>
            <w:r>
              <w:rPr>
                <w:sz w:val="18"/>
              </w:rPr>
              <w:t>82.8%</w:t>
            </w:r>
          </w:p>
        </w:tc>
        <w:tc>
          <w:tcPr>
            <w:tcW w:type="dxa" w:w="2736"/>
          </w:tcPr>
          <w:p>
            <w:r/>
            <w:r>
              <w:rPr>
                <w:sz w:val="18"/>
              </w:rPr>
              <w:t>82.7% (T6.2: 82.75%)</w:t>
            </w:r>
          </w:p>
        </w:tc>
        <w:tc>
          <w:tcPr>
            <w:tcW w:type="dxa" w:w="1872"/>
          </w:tcPr>
          <w:p>
            <w:r/>
            <w:r>
              <w:rPr>
                <w:sz w:val="18"/>
              </w:rPr>
              <w:t>Mismatch — MO-02</w:t>
            </w:r>
          </w:p>
        </w:tc>
      </w:tr>
      <w:tr>
        <w:tc>
          <w:tcPr>
            <w:tcW w:type="dxa" w:w="2448"/>
          </w:tcPr>
          <w:p>
            <w:r/>
            <w:r>
              <w:rPr>
                <w:sz w:val="18"/>
              </w:rPr>
              <w:t>§7.4.1 energy @100/400/500</w:t>
            </w:r>
          </w:p>
        </w:tc>
        <w:tc>
          <w:tcPr>
            <w:tcW w:type="dxa" w:w="3024"/>
          </w:tcPr>
          <w:p>
            <w:r/>
            <w:r>
              <w:rPr>
                <w:sz w:val="18"/>
              </w:rPr>
              <w:t>7.90, 0.131 / 33.078, 0.454 / 40.408, 0.335 kWh</w:t>
            </w:r>
          </w:p>
        </w:tc>
        <w:tc>
          <w:tcPr>
            <w:tcW w:type="dxa" w:w="2736"/>
          </w:tcPr>
          <w:p>
            <w:r/>
            <w:r>
              <w:rPr>
                <w:sz w:val="18"/>
              </w:rPr>
              <w:t>identical</w:t>
            </w:r>
          </w:p>
        </w:tc>
        <w:tc>
          <w:tcPr>
            <w:tcW w:type="dxa" w:w="1872"/>
          </w:tcPr>
          <w:p>
            <w:r/>
            <w:r>
              <w:rPr>
                <w:sz w:val="18"/>
              </w:rPr>
              <w:t>Match (red-text correction applied by author is correct)</w:t>
            </w:r>
          </w:p>
        </w:tc>
      </w:tr>
      <w:tr>
        <w:tc>
          <w:tcPr>
            <w:tcW w:type="dxa" w:w="2448"/>
          </w:tcPr>
          <w:p>
            <w:r/>
            <w:r>
              <w:rPr>
                <w:sz w:val="18"/>
              </w:rPr>
              <w:t>§7.4.1 reduction %</w:t>
            </w:r>
          </w:p>
        </w:tc>
        <w:tc>
          <w:tcPr>
            <w:tcW w:type="dxa" w:w="3024"/>
          </w:tcPr>
          <w:p>
            <w:r/>
            <w:r>
              <w:rPr>
                <w:sz w:val="18"/>
              </w:rPr>
              <w:t>98.3% / 98.6%</w:t>
            </w:r>
          </w:p>
        </w:tc>
        <w:tc>
          <w:tcPr>
            <w:tcW w:type="dxa" w:w="2736"/>
          </w:tcPr>
          <w:p>
            <w:r/>
            <w:r>
              <w:rPr>
                <w:sz w:val="18"/>
              </w:rPr>
              <w:t>recomputed 98.34% / 98.63%</w:t>
            </w:r>
          </w:p>
        </w:tc>
        <w:tc>
          <w:tcPr>
            <w:tcW w:type="dxa" w:w="1872"/>
          </w:tcPr>
          <w:p>
            <w:r/>
            <w:r>
              <w:rPr>
                <w:sz w:val="18"/>
              </w:rPr>
              <w:t>Match</w:t>
            </w:r>
          </w:p>
        </w:tc>
      </w:tr>
      <w:tr>
        <w:tc>
          <w:tcPr>
            <w:tcW w:type="dxa" w:w="2448"/>
          </w:tcPr>
          <w:p>
            <w:r/>
            <w:r>
              <w:rPr>
                <w:sz w:val="18"/>
              </w:rPr>
              <w:t>§7.4.1 energy per tx (PoCol)</w:t>
            </w:r>
          </w:p>
        </w:tc>
        <w:tc>
          <w:tcPr>
            <w:tcW w:type="dxa" w:w="3024"/>
          </w:tcPr>
          <w:p>
            <w:r/>
            <w:r>
              <w:rPr>
                <w:sz w:val="18"/>
              </w:rPr>
              <w:t>0.004–0.005 Wh/1,000 transactions</w:t>
            </w:r>
          </w:p>
        </w:tc>
        <w:tc>
          <w:tcPr>
            <w:tcW w:type="dxa" w:w="2736"/>
          </w:tcPr>
          <w:p>
            <w:r/>
            <w:r>
              <w:rPr>
                <w:sz w:val="18"/>
              </w:rPr>
              <w:t>≈0.004–0.005 Wh/transaction</w:t>
            </w:r>
          </w:p>
        </w:tc>
        <w:tc>
          <w:tcPr>
            <w:tcW w:type="dxa" w:w="1872"/>
          </w:tcPr>
          <w:p>
            <w:r/>
            <w:r>
              <w:rPr>
                <w:sz w:val="18"/>
              </w:rPr>
              <w:t>Unit error — M-02</w:t>
            </w:r>
          </w:p>
        </w:tc>
      </w:tr>
      <w:tr>
        <w:tc>
          <w:tcPr>
            <w:tcW w:type="dxa" w:w="2448"/>
          </w:tcPr>
          <w:p>
            <w:r/>
            <w:r>
              <w:rPr>
                <w:sz w:val="18"/>
              </w:rPr>
              <w:t>§7.4.3 CO₂ @400 (PoW)</w:t>
            </w:r>
          </w:p>
        </w:tc>
        <w:tc>
          <w:tcPr>
            <w:tcW w:type="dxa" w:w="3024"/>
          </w:tcPr>
          <w:p>
            <w:r/>
            <w:r>
              <w:rPr>
                <w:sz w:val="18"/>
              </w:rPr>
              <w:t>14.3 kg</w:t>
            </w:r>
          </w:p>
        </w:tc>
        <w:tc>
          <w:tcPr>
            <w:tcW w:type="dxa" w:w="2736"/>
          </w:tcPr>
          <w:p>
            <w:r/>
            <w:r>
              <w:rPr>
                <w:sz w:val="18"/>
              </w:rPr>
              <w:t>14.720 kg</w:t>
            </w:r>
          </w:p>
        </w:tc>
        <w:tc>
          <w:tcPr>
            <w:tcW w:type="dxa" w:w="1872"/>
          </w:tcPr>
          <w:p>
            <w:r/>
            <w:r>
              <w:rPr>
                <w:sz w:val="18"/>
              </w:rPr>
              <w:t>Mismatch — M-03</w:t>
            </w:r>
          </w:p>
        </w:tc>
      </w:tr>
      <w:tr>
        <w:tc>
          <w:tcPr>
            <w:tcW w:type="dxa" w:w="2448"/>
          </w:tcPr>
          <w:p>
            <w:r/>
            <w:r>
              <w:rPr>
                <w:sz w:val="18"/>
              </w:rPr>
              <w:t>§7.4.3 CO₂ @400 (PoCol)</w:t>
            </w:r>
          </w:p>
        </w:tc>
        <w:tc>
          <w:tcPr>
            <w:tcW w:type="dxa" w:w="3024"/>
          </w:tcPr>
          <w:p>
            <w:r/>
            <w:r>
              <w:rPr>
                <w:sz w:val="18"/>
              </w:rPr>
              <w:t>0.202 kg</w:t>
            </w:r>
          </w:p>
        </w:tc>
        <w:tc>
          <w:tcPr>
            <w:tcW w:type="dxa" w:w="2736"/>
          </w:tcPr>
          <w:p>
            <w:r/>
            <w:r>
              <w:rPr>
                <w:sz w:val="18"/>
              </w:rPr>
              <w:t>0.202 kg</w:t>
            </w:r>
          </w:p>
        </w:tc>
        <w:tc>
          <w:tcPr>
            <w:tcW w:type="dxa" w:w="1872"/>
          </w:tcPr>
          <w:p>
            <w:r/>
            <w:r>
              <w:rPr>
                <w:sz w:val="18"/>
              </w:rPr>
              <w:t>Match</w:t>
            </w:r>
          </w:p>
        </w:tc>
      </w:tr>
    </w:tbl>
    <w:p>
      <w:r>
        <w:rPr>
          <w:b w:val="0"/>
          <w:i w:val="0"/>
        </w:rPr>
      </w:r>
    </w:p>
    <w:p>
      <w:r>
        <w:rPr>
          <w:b w:val="0"/>
          <w:i w:val="0"/>
        </w:rPr>
        <w:t>All other quantitative statements checked (Chapter 6 parameter list, Table 6.2 run summaries, Chapter 8 recapitulations of ≈98% savings) are consistent with the tables.</w:t>
      </w:r>
    </w:p>
    <w:p>
      <w:pPr>
        <w:pStyle w:val="Heading1"/>
      </w:pPr>
      <w:r>
        <w:t>17. Research Questions / Objectives / Contributions Traceability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tcPr>
          <w:p>
            <w:r/>
            <w:r>
              <w:rPr>
                <w:b/>
                <w:sz w:val="18"/>
              </w:rPr>
              <w:t>Item</w:t>
            </w:r>
          </w:p>
        </w:tc>
        <w:tc>
          <w:tcPr>
            <w:tcW w:type="dxa" w:w="1008"/>
          </w:tcPr>
          <w:p>
            <w:r/>
            <w:r>
              <w:rPr>
                <w:b/>
                <w:sz w:val="18"/>
              </w:rPr>
              <w:t>Stated (Ch. 1)</w:t>
            </w:r>
          </w:p>
        </w:tc>
        <w:tc>
          <w:tcPr>
            <w:tcW w:type="dxa" w:w="2736"/>
          </w:tcPr>
          <w:p>
            <w:r/>
            <w:r>
              <w:rPr>
                <w:b/>
                <w:sz w:val="18"/>
              </w:rPr>
              <w:t>Addressed</w:t>
            </w:r>
          </w:p>
        </w:tc>
        <w:tc>
          <w:tcPr>
            <w:tcW w:type="dxa" w:w="2304"/>
          </w:tcPr>
          <w:p>
            <w:r/>
            <w:r>
              <w:rPr>
                <w:b/>
                <w:sz w:val="18"/>
              </w:rPr>
              <w:t>Answered / revisited</w:t>
            </w:r>
          </w:p>
        </w:tc>
        <w:tc>
          <w:tcPr>
            <w:tcW w:type="dxa" w:w="1152"/>
          </w:tcPr>
          <w:p>
            <w:r/>
            <w:r>
              <w:rPr>
                <w:b/>
                <w:sz w:val="18"/>
              </w:rPr>
              <w:t>Verdict</w:t>
            </w:r>
          </w:p>
        </w:tc>
      </w:tr>
      <w:tr>
        <w:tc>
          <w:tcPr>
            <w:tcW w:type="dxa" w:w="2880"/>
          </w:tcPr>
          <w:p>
            <w:r/>
            <w:r>
              <w:rPr>
                <w:sz w:val="18"/>
              </w:rPr>
              <w:t>RQ1 — integrating collaboration into PoW</w:t>
            </w:r>
          </w:p>
        </w:tc>
        <w:tc>
          <w:tcPr>
            <w:tcW w:type="dxa" w:w="1008"/>
          </w:tcPr>
          <w:p>
            <w:r/>
            <w:r>
              <w:rPr>
                <w:sz w:val="18"/>
              </w:rPr>
              <w:t>§1.3</w:t>
            </w:r>
          </w:p>
        </w:tc>
        <w:tc>
          <w:tcPr>
            <w:tcW w:type="dxa" w:w="2736"/>
          </w:tcPr>
          <w:p>
            <w:r/>
            <w:r>
              <w:rPr>
                <w:sz w:val="18"/>
              </w:rPr>
              <w:t>Ch. 5 (PoCol design, §§5.5–5.10)</w:t>
            </w:r>
          </w:p>
        </w:tc>
        <w:tc>
          <w:tcPr>
            <w:tcW w:type="dxa" w:w="2304"/>
          </w:tcPr>
          <w:p>
            <w:r/>
            <w:r>
              <w:rPr>
                <w:sz w:val="18"/>
              </w:rPr>
              <w:t>§7.6.1, §8.2 (first paragraph)</w:t>
            </w:r>
          </w:p>
        </w:tc>
        <w:tc>
          <w:tcPr>
            <w:tcW w:type="dxa" w:w="1152"/>
          </w:tcPr>
          <w:p>
            <w:r/>
            <w:r>
              <w:rPr>
                <w:sz w:val="18"/>
              </w:rPr>
              <w:t>Traceable ✔</w:t>
            </w:r>
          </w:p>
        </w:tc>
      </w:tr>
      <w:tr>
        <w:tc>
          <w:tcPr>
            <w:tcW w:type="dxa" w:w="2880"/>
          </w:tcPr>
          <w:p>
            <w:r/>
            <w:r>
              <w:rPr>
                <w:sz w:val="18"/>
              </w:rPr>
              <w:t>RQ2 — energy savings vs. classical PoW</w:t>
            </w:r>
          </w:p>
        </w:tc>
        <w:tc>
          <w:tcPr>
            <w:tcW w:type="dxa" w:w="1008"/>
          </w:tcPr>
          <w:p>
            <w:r/>
            <w:r>
              <w:rPr>
                <w:sz w:val="18"/>
              </w:rPr>
              <w:t>§1.3</w:t>
            </w:r>
          </w:p>
        </w:tc>
        <w:tc>
          <w:tcPr>
            <w:tcW w:type="dxa" w:w="2736"/>
          </w:tcPr>
          <w:p>
            <w:r/>
            <w:r>
              <w:rPr>
                <w:sz w:val="18"/>
              </w:rPr>
              <w:t>Ch. 6 (setup) + Ch. 7 (§7.4)</w:t>
            </w:r>
          </w:p>
        </w:tc>
        <w:tc>
          <w:tcPr>
            <w:tcW w:type="dxa" w:w="2304"/>
          </w:tcPr>
          <w:p>
            <w:r/>
            <w:r>
              <w:rPr>
                <w:sz w:val="18"/>
              </w:rPr>
              <w:t>§7.6.1, §8.2 (RQ2 paragraph)</w:t>
            </w:r>
          </w:p>
        </w:tc>
        <w:tc>
          <w:tcPr>
            <w:tcW w:type="dxa" w:w="1152"/>
          </w:tcPr>
          <w:p>
            <w:r/>
            <w:r>
              <w:rPr>
                <w:sz w:val="18"/>
              </w:rPr>
              <w:t>Traceable ✔</w:t>
            </w:r>
          </w:p>
        </w:tc>
      </w:tr>
      <w:tr>
        <w:tc>
          <w:tcPr>
            <w:tcW w:type="dxa" w:w="2880"/>
          </w:tcPr>
          <w:p>
            <w:r/>
            <w:r>
              <w:rPr>
                <w:sz w:val="18"/>
              </w:rPr>
              <w:t>RQ3 — decentralization, fairness, attack resistance</w:t>
            </w:r>
          </w:p>
        </w:tc>
        <w:tc>
          <w:tcPr>
            <w:tcW w:type="dxa" w:w="1008"/>
          </w:tcPr>
          <w:p>
            <w:r/>
            <w:r>
              <w:rPr>
                <w:sz w:val="18"/>
              </w:rPr>
              <w:t>§1.3</w:t>
            </w:r>
          </w:p>
        </w:tc>
        <w:tc>
          <w:tcPr>
            <w:tcW w:type="dxa" w:w="2736"/>
          </w:tcPr>
          <w:p>
            <w:r/>
            <w:r>
              <w:rPr>
                <w:sz w:val="18"/>
              </w:rPr>
              <w:t>§5.11 (security analysis) + §7.3.3</w:t>
            </w:r>
          </w:p>
        </w:tc>
        <w:tc>
          <w:tcPr>
            <w:tcW w:type="dxa" w:w="2304"/>
          </w:tcPr>
          <w:p>
            <w:r/>
            <w:r>
              <w:rPr>
                <w:sz w:val="18"/>
              </w:rPr>
              <w:t>§8.2 (third paragraph)</w:t>
            </w:r>
          </w:p>
        </w:tc>
        <w:tc>
          <w:tcPr>
            <w:tcW w:type="dxa" w:w="1152"/>
          </w:tcPr>
          <w:p>
            <w:r/>
            <w:r>
              <w:rPr>
                <w:sz w:val="18"/>
              </w:rPr>
              <w:t>Traceable ✔</w:t>
            </w:r>
          </w:p>
        </w:tc>
      </w:tr>
      <w:tr>
        <w:tc>
          <w:tcPr>
            <w:tcW w:type="dxa" w:w="2880"/>
          </w:tcPr>
          <w:p>
            <w:r/>
            <w:r>
              <w:rPr>
                <w:sz w:val="18"/>
              </w:rPr>
              <w:t>C1 — organized examination of consensus mechanisms</w:t>
            </w:r>
          </w:p>
        </w:tc>
        <w:tc>
          <w:tcPr>
            <w:tcW w:type="dxa" w:w="1008"/>
          </w:tcPr>
          <w:p>
            <w:r/>
            <w:r>
              <w:rPr>
                <w:sz w:val="18"/>
              </w:rPr>
              <w:t>§1.5</w:t>
            </w:r>
          </w:p>
        </w:tc>
        <w:tc>
          <w:tcPr>
            <w:tcW w:type="dxa" w:w="2736"/>
          </w:tcPr>
          <w:p>
            <w:r/>
            <w:r>
              <w:rPr>
                <w:sz w:val="18"/>
              </w:rPr>
              <w:t>Ch. 3 (systematic review)</w:t>
            </w:r>
          </w:p>
        </w:tc>
        <w:tc>
          <w:tcPr>
            <w:tcW w:type="dxa" w:w="2304"/>
          </w:tcPr>
          <w:p>
            <w:r/>
            <w:r>
              <w:rPr>
                <w:sz w:val="18"/>
              </w:rPr>
              <w:t>§8.3 (conceptual level)</w:t>
            </w:r>
          </w:p>
        </w:tc>
        <w:tc>
          <w:tcPr>
            <w:tcW w:type="dxa" w:w="1152"/>
          </w:tcPr>
          <w:p>
            <w:r/>
            <w:r>
              <w:rPr>
                <w:sz w:val="18"/>
              </w:rPr>
              <w:t>Traceable ✔</w:t>
            </w:r>
          </w:p>
        </w:tc>
      </w:tr>
      <w:tr>
        <w:tc>
          <w:tcPr>
            <w:tcW w:type="dxa" w:w="2880"/>
          </w:tcPr>
          <w:p>
            <w:r/>
            <w:r>
              <w:rPr>
                <w:sz w:val="18"/>
              </w:rPr>
              <w:t>C2 — collaborative nonce-space sharing (PoCol)</w:t>
            </w:r>
          </w:p>
        </w:tc>
        <w:tc>
          <w:tcPr>
            <w:tcW w:type="dxa" w:w="1008"/>
          </w:tcPr>
          <w:p>
            <w:r/>
            <w:r>
              <w:rPr>
                <w:sz w:val="18"/>
              </w:rPr>
              <w:t>§1.5</w:t>
            </w:r>
          </w:p>
        </w:tc>
        <w:tc>
          <w:tcPr>
            <w:tcW w:type="dxa" w:w="2736"/>
          </w:tcPr>
          <w:p>
            <w:r/>
            <w:r>
              <w:rPr>
                <w:sz w:val="18"/>
              </w:rPr>
              <w:t>Ch. 5</w:t>
            </w:r>
          </w:p>
        </w:tc>
        <w:tc>
          <w:tcPr>
            <w:tcW w:type="dxa" w:w="2304"/>
          </w:tcPr>
          <w:p>
            <w:r/>
            <w:r>
              <w:rPr>
                <w:sz w:val="18"/>
              </w:rPr>
              <w:t>§8.3</w:t>
            </w:r>
          </w:p>
        </w:tc>
        <w:tc>
          <w:tcPr>
            <w:tcW w:type="dxa" w:w="1152"/>
          </w:tcPr>
          <w:p>
            <w:r/>
            <w:r>
              <w:rPr>
                <w:sz w:val="18"/>
              </w:rPr>
              <w:t>Traceable ✔</w:t>
            </w:r>
          </w:p>
        </w:tc>
      </w:tr>
      <w:tr>
        <w:tc>
          <w:tcPr>
            <w:tcW w:type="dxa" w:w="2880"/>
          </w:tcPr>
          <w:p>
            <w:r/>
            <w:r>
              <w:rPr>
                <w:sz w:val="18"/>
              </w:rPr>
              <w:t>C3 — analytical evaluation framework</w:t>
            </w:r>
          </w:p>
        </w:tc>
        <w:tc>
          <w:tcPr>
            <w:tcW w:type="dxa" w:w="1008"/>
          </w:tcPr>
          <w:p>
            <w:r/>
            <w:r>
              <w:rPr>
                <w:sz w:val="18"/>
              </w:rPr>
              <w:t>§1.5</w:t>
            </w:r>
          </w:p>
        </w:tc>
        <w:tc>
          <w:tcPr>
            <w:tcW w:type="dxa" w:w="2736"/>
          </w:tcPr>
          <w:p>
            <w:r/>
            <w:r>
              <w:rPr>
                <w:sz w:val="18"/>
              </w:rPr>
              <w:t>Ch. 4 + Ch. 6 (§6.6 indicators)</w:t>
            </w:r>
          </w:p>
        </w:tc>
        <w:tc>
          <w:tcPr>
            <w:tcW w:type="dxa" w:w="2304"/>
          </w:tcPr>
          <w:p>
            <w:r/>
            <w:r>
              <w:rPr>
                <w:sz w:val="18"/>
              </w:rPr>
              <w:t>§8.3 (methodological level)</w:t>
            </w:r>
          </w:p>
        </w:tc>
        <w:tc>
          <w:tcPr>
            <w:tcW w:type="dxa" w:w="1152"/>
          </w:tcPr>
          <w:p>
            <w:r/>
            <w:r>
              <w:rPr>
                <w:sz w:val="18"/>
              </w:rPr>
              <w:t>Traceable ✔</w:t>
            </w:r>
          </w:p>
        </w:tc>
      </w:tr>
      <w:tr>
        <w:tc>
          <w:tcPr>
            <w:tcW w:type="dxa" w:w="2880"/>
          </w:tcPr>
          <w:p>
            <w:r/>
            <w:r>
              <w:rPr>
                <w:sz w:val="18"/>
              </w:rPr>
              <w:t>C4 — testbed/prototype and experimental evaluation</w:t>
            </w:r>
          </w:p>
        </w:tc>
        <w:tc>
          <w:tcPr>
            <w:tcW w:type="dxa" w:w="1008"/>
          </w:tcPr>
          <w:p>
            <w:r/>
            <w:r>
              <w:rPr>
                <w:sz w:val="18"/>
              </w:rPr>
              <w:t>§1.5</w:t>
            </w:r>
          </w:p>
        </w:tc>
        <w:tc>
          <w:tcPr>
            <w:tcW w:type="dxa" w:w="2736"/>
          </w:tcPr>
          <w:p>
            <w:r/>
            <w:r>
              <w:rPr>
                <w:sz w:val="18"/>
              </w:rPr>
              <w:t>Ch. 6 (BlockSim extension) + Ch. 7</w:t>
            </w:r>
          </w:p>
        </w:tc>
        <w:tc>
          <w:tcPr>
            <w:tcW w:type="dxa" w:w="2304"/>
          </w:tcPr>
          <w:p>
            <w:r/>
            <w:r>
              <w:rPr>
                <w:sz w:val="18"/>
              </w:rPr>
              <w:t>§8.3 (empirical level)</w:t>
            </w:r>
          </w:p>
        </w:tc>
        <w:tc>
          <w:tcPr>
            <w:tcW w:type="dxa" w:w="1152"/>
          </w:tcPr>
          <w:p>
            <w:r/>
            <w:r>
              <w:rPr>
                <w:sz w:val="18"/>
              </w:rPr>
              <w:t>Traceable ✔</w:t>
            </w:r>
          </w:p>
        </w:tc>
      </w:tr>
      <w:tr>
        <w:tc>
          <w:tcPr>
            <w:tcW w:type="dxa" w:w="2880"/>
          </w:tcPr>
          <w:p>
            <w:r/>
            <w:r>
              <w:rPr>
                <w:sz w:val="18"/>
              </w:rPr>
              <w:t>C5 — foundation for future research</w:t>
            </w:r>
          </w:p>
        </w:tc>
        <w:tc>
          <w:tcPr>
            <w:tcW w:type="dxa" w:w="1008"/>
          </w:tcPr>
          <w:p>
            <w:r/>
            <w:r>
              <w:rPr>
                <w:sz w:val="18"/>
              </w:rPr>
              <w:t>§1.5</w:t>
            </w:r>
          </w:p>
        </w:tc>
        <w:tc>
          <w:tcPr>
            <w:tcW w:type="dxa" w:w="2736"/>
          </w:tcPr>
          <w:p>
            <w:r/>
            <w:r>
              <w:rPr>
                <w:sz w:val="18"/>
              </w:rPr>
              <w:t>—</w:t>
            </w:r>
          </w:p>
        </w:tc>
        <w:tc>
          <w:tcPr>
            <w:tcW w:type="dxa" w:w="2304"/>
          </w:tcPr>
          <w:p>
            <w:r/>
            <w:r>
              <w:rPr>
                <w:sz w:val="18"/>
              </w:rPr>
              <w:t>§8.5 (five directions)</w:t>
            </w:r>
          </w:p>
        </w:tc>
        <w:tc>
          <w:tcPr>
            <w:tcW w:type="dxa" w:w="1152"/>
          </w:tcPr>
          <w:p>
            <w:r/>
            <w:r>
              <w:rPr>
                <w:sz w:val="18"/>
              </w:rPr>
              <w:t>Traceable ✔</w:t>
            </w:r>
          </w:p>
        </w:tc>
      </w:tr>
    </w:tbl>
    <w:p>
      <w:r>
        <w:rPr>
          <w:b w:val="0"/>
          <w:i w:val="0"/>
        </w:rPr>
      </w:r>
    </w:p>
    <w:p>
      <w:r>
        <w:rPr>
          <w:b w:val="0"/>
          <w:i w:val="0"/>
        </w:rPr>
        <w:t>All three research questions and all five contribution claims are stated, addressed, and revisited. No orphan objective or unsupported contribution claim was found. Note: §1.6 refers to the algorithm as “PoCo” three times (MI-01), which slightly blurs the C2 terminology.</w:t>
      </w:r>
    </w:p>
    <w:p>
      <w:pPr>
        <w:pStyle w:val="Heading1"/>
      </w:pPr>
      <w:r>
        <w:t>18. Technical and Scientific Editing Findings</w:t>
      </w:r>
    </w:p>
    <w:p>
      <w:pPr>
        <w:pStyle w:val="ListBullet"/>
      </w:pPr>
      <w:r>
        <w:t>The stale-rate trade-off (35.7% → 85.7%) is reported honestly and discussed as a limitation (§7.3.3, §8.4, §8.5) — scientifically sound and commendable.</w:t>
      </w:r>
    </w:p>
    <w:p>
      <w:pPr>
        <w:pStyle w:val="ListBullet"/>
      </w:pPr>
      <w:r>
        <w:t>Finality at 100 miners is slightly WORSE for PoCol (3189 s) than PoW (3128 s); after fixing M-01 the sentence will state this correctly, and the surrounding text already frames the crossover honestly.</w:t>
      </w:r>
    </w:p>
    <w:p>
      <w:pPr>
        <w:pStyle w:val="ListBullet"/>
      </w:pPr>
      <w:r>
        <w:t>“Liveliness” should be “liveness” wherever the consensus safety/liveness dichotomy is meant (MI-01) — this is a terminology correction, not merely spelling.</w:t>
      </w:r>
    </w:p>
    <w:p>
      <w:pPr>
        <w:pStyle w:val="ListBullet"/>
      </w:pPr>
      <w:r>
        <w:t>Energy-model caveat (§8.5: estimator-based, not hardware-measured) is appropriately disclosed; no overclaiming detected in the conclusions relative to the data.</w:t>
      </w:r>
    </w:p>
    <w:p>
      <w:pPr>
        <w:pStyle w:val="ListBullet"/>
      </w:pPr>
      <w:r>
        <w:t>The probabilistic-finality definition in §7.3.2 (six confirmations × average block interval) is a simplification but is stated as such — acceptable.</w:t>
      </w:r>
    </w:p>
    <w:p>
      <w:pPr>
        <w:pStyle w:val="Heading1"/>
      </w:pPr>
      <w:r>
        <w:t>19. Language and Style Findings</w:t>
      </w:r>
    </w:p>
    <w:p>
      <w:pPr>
        <w:pStyle w:val="ListBullet"/>
      </w:pPr>
      <w:r>
        <w:t>Overall register is appropriate academic English; the red revision text is generally cleaner than the surrounding original prose.</w:t>
      </w:r>
    </w:p>
    <w:p>
      <w:pPr>
        <w:pStyle w:val="ListBullet"/>
      </w:pPr>
      <w:r>
        <w:t>Confirmed spelling/typography defects are consolidated in MI-01–MI-03 (eight distinct typo strings, 181 double spaces, three lowercase “figure” tokens).</w:t>
      </w:r>
    </w:p>
    <w:p>
      <w:pPr>
        <w:pStyle w:val="ListBullet"/>
      </w:pPr>
      <w:r>
        <w:t>Recurring stylistic pattern (Recommendation, not counted as defects): occasional redundant constructions, e.g. “PoCol achieved its greatest achievement” (§7.4.1) → “PoCol's largest gain”; “a combination of facts” (§8.1). A light copy-edit pass of Chapters 7–8 would raise polish but is not required for correctness.</w:t>
      </w:r>
    </w:p>
    <w:p>
      <w:pPr>
        <w:pStyle w:val="ListBullet"/>
      </w:pPr>
      <w:r>
        <w:t>Arabic front-matter text (institution names, thesis title) is consistent between the English and Arabic title blocks.</w:t>
      </w:r>
    </w:p>
    <w:p>
      <w:pPr>
        <w:pStyle w:val="Heading1"/>
      </w:pPr>
      <w:r>
        <w:t>20. Formatting and Word-Quality Findings</w:t>
      </w:r>
    </w:p>
    <w:p>
      <w:pPr>
        <w:pStyle w:val="ListBullet"/>
      </w:pPr>
      <w:r>
        <w:t>File integrity: the package opens cleanly; XML validates against the OOXML schema with no new deviations (one pre-existing, harmless w:rFonts hint attribute inherited from the original template).</w:t>
      </w:r>
    </w:p>
    <w:p>
      <w:pPr>
        <w:pStyle w:val="ListBullet"/>
      </w:pPr>
      <w:r>
        <w:t>All 14 figure drawings have explicit extents that fit the A4 text block — no oversized image.</w:t>
      </w:r>
    </w:p>
    <w:p>
      <w:pPr>
        <w:pStyle w:val="ListBullet"/>
      </w:pPr>
      <w:r>
        <w:t>Heading hierarchy is consistent (Heading 1/2/3 styles used throughout; §5.x.y numbering is clean and sequential).</w:t>
      </w:r>
    </w:p>
    <w:p>
      <w:pPr>
        <w:pStyle w:val="ListBullet"/>
      </w:pPr>
      <w:r>
        <w:t>Reference table: uniform two-column layout, one entry per row, consistent fonts.</w:t>
      </w:r>
    </w:p>
    <w:p>
      <w:pPr>
        <w:pStyle w:val="ListBullet"/>
      </w:pPr>
      <w:r>
        <w:t>Open items: MO-03 (canvas caption duplication — visual check), MO-07/MI-06 (heading spacing), MO-04 (caption separators), M-04 (manual LoT/LoF).</w:t>
      </w:r>
    </w:p>
    <w:p>
      <w:pPr>
        <w:pStyle w:val="ListBullet"/>
      </w:pPr>
      <w:r>
        <w:t>Red revision text: 1,108 red runs (~66,200 characters). Note that the numerical errors M-01, M-02, M-03, MO-01 and MO-02 sit in BLACK (unrevised) text — they predate the current revision round, which is why they survived it.</w:t>
      </w:r>
    </w:p>
    <w:p>
      <w:pPr>
        <w:pStyle w:val="Heading1"/>
      </w:pPr>
      <w:r>
        <w:t>21. Chapter-by-Chapter Assessment</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18"/>
              </w:rPr>
              <w:t>Part</w:t>
            </w:r>
          </w:p>
        </w:tc>
        <w:tc>
          <w:tcPr>
            <w:tcW w:type="dxa" w:w="6048"/>
          </w:tcPr>
          <w:p>
            <w:r/>
            <w:r>
              <w:rPr>
                <w:b/>
                <w:sz w:val="18"/>
              </w:rPr>
              <w:t>Assessment</w:t>
            </w:r>
          </w:p>
        </w:tc>
        <w:tc>
          <w:tcPr>
            <w:tcW w:type="dxa" w:w="2016"/>
          </w:tcPr>
          <w:p>
            <w:r/>
            <w:r>
              <w:rPr>
                <w:b/>
                <w:sz w:val="18"/>
              </w:rPr>
              <w:t>Findings</w:t>
            </w:r>
          </w:p>
        </w:tc>
      </w:tr>
      <w:tr>
        <w:tc>
          <w:tcPr>
            <w:tcW w:type="dxa" w:w="2160"/>
          </w:tcPr>
          <w:p>
            <w:r/>
            <w:r>
              <w:rPr>
                <w:sz w:val="18"/>
              </w:rPr>
              <w:t>Front matter</w:t>
            </w:r>
          </w:p>
        </w:tc>
        <w:tc>
          <w:tcPr>
            <w:tcW w:type="dxa" w:w="6048"/>
          </w:tcPr>
          <w:p>
            <w:r/>
            <w:r>
              <w:rPr>
                <w:sz w:val="18"/>
              </w:rPr>
              <w:t>Complete except Abstract (C-01) and possibly declaration (MI-05); LoT/LoF stale (M-04).</w:t>
            </w:r>
          </w:p>
        </w:tc>
        <w:tc>
          <w:tcPr>
            <w:tcW w:type="dxa" w:w="2016"/>
          </w:tcPr>
          <w:p>
            <w:r/>
            <w:r>
              <w:rPr>
                <w:sz w:val="18"/>
              </w:rPr>
              <w:t>C-01, M-04, MI-05, MI-06</w:t>
            </w:r>
          </w:p>
        </w:tc>
      </w:tr>
      <w:tr>
        <w:tc>
          <w:tcPr>
            <w:tcW w:type="dxa" w:w="2160"/>
          </w:tcPr>
          <w:p>
            <w:r/>
            <w:r>
              <w:rPr>
                <w:sz w:val="18"/>
              </w:rPr>
              <w:t>Ch. 1 — Introduction</w:t>
            </w:r>
          </w:p>
        </w:tc>
        <w:tc>
          <w:tcPr>
            <w:tcW w:type="dxa" w:w="6048"/>
          </w:tcPr>
          <w:p>
            <w:r/>
            <w:r>
              <w:rPr>
                <w:sz w:val="18"/>
              </w:rPr>
              <w:t>RQs and contributions clearly stated; typos “mahmatical”, “PoCo”, “Dlbc” (§§1.5–1.6); heading spacing.</w:t>
            </w:r>
          </w:p>
        </w:tc>
        <w:tc>
          <w:tcPr>
            <w:tcW w:type="dxa" w:w="2016"/>
          </w:tcPr>
          <w:p>
            <w:r/>
            <w:r>
              <w:rPr>
                <w:sz w:val="18"/>
              </w:rPr>
              <w:t>MI-01, MO-07</w:t>
            </w:r>
          </w:p>
        </w:tc>
      </w:tr>
      <w:tr>
        <w:tc>
          <w:tcPr>
            <w:tcW w:type="dxa" w:w="2160"/>
          </w:tcPr>
          <w:p>
            <w:r/>
            <w:r>
              <w:rPr>
                <w:sz w:val="18"/>
              </w:rPr>
              <w:t>Ch. 2 — Technical Background</w:t>
            </w:r>
          </w:p>
        </w:tc>
        <w:tc>
          <w:tcPr>
            <w:tcW w:type="dxa" w:w="6048"/>
          </w:tcPr>
          <w:p>
            <w:r/>
            <w:r>
              <w:rPr>
                <w:sz w:val="18"/>
              </w:rPr>
              <w:t>Sound; no numerical or citation defects found; heading spacing.</w:t>
            </w:r>
          </w:p>
        </w:tc>
        <w:tc>
          <w:tcPr>
            <w:tcW w:type="dxa" w:w="2016"/>
          </w:tcPr>
          <w:p>
            <w:r/>
            <w:r>
              <w:rPr>
                <w:sz w:val="18"/>
              </w:rPr>
              <w:t>MO-07</w:t>
            </w:r>
          </w:p>
        </w:tc>
      </w:tr>
      <w:tr>
        <w:tc>
          <w:tcPr>
            <w:tcW w:type="dxa" w:w="2160"/>
          </w:tcPr>
          <w:p>
            <w:r/>
            <w:r>
              <w:rPr>
                <w:sz w:val="18"/>
              </w:rPr>
              <w:t>Ch. 3 — Literature Review</w:t>
            </w:r>
          </w:p>
        </w:tc>
        <w:tc>
          <w:tcPr>
            <w:tcW w:type="dxa" w:w="6048"/>
          </w:tcPr>
          <w:p>
            <w:r/>
            <w:r>
              <w:rPr>
                <w:sz w:val="18"/>
              </w:rPr>
              <w:t>Systematic review well structured; tables never cross-referenced (MO-05); Figures 3.1/3.2 caption duplication risk (MO-03); caption separators (MO-04).</w:t>
            </w:r>
          </w:p>
        </w:tc>
        <w:tc>
          <w:tcPr>
            <w:tcW w:type="dxa" w:w="2016"/>
          </w:tcPr>
          <w:p>
            <w:r/>
            <w:r>
              <w:rPr>
                <w:sz w:val="18"/>
              </w:rPr>
              <w:t>MO-03, MO-04, MO-05, MO-07</w:t>
            </w:r>
          </w:p>
        </w:tc>
      </w:tr>
      <w:tr>
        <w:tc>
          <w:tcPr>
            <w:tcW w:type="dxa" w:w="2160"/>
          </w:tcPr>
          <w:p>
            <w:r/>
            <w:r>
              <w:rPr>
                <w:sz w:val="18"/>
              </w:rPr>
              <w:t>Ch. 4 — System Model</w:t>
            </w:r>
          </w:p>
        </w:tc>
        <w:tc>
          <w:tcPr>
            <w:tcW w:type="dxa" w:w="6048"/>
          </w:tcPr>
          <w:p>
            <w:r/>
            <w:r>
              <w:rPr>
                <w:sz w:val="18"/>
              </w:rPr>
              <w:t>Formal model coherent; “liveliness” terminology (MI-01); heading spacing.</w:t>
            </w:r>
          </w:p>
        </w:tc>
        <w:tc>
          <w:tcPr>
            <w:tcW w:type="dxa" w:w="2016"/>
          </w:tcPr>
          <w:p>
            <w:r/>
            <w:r>
              <w:rPr>
                <w:sz w:val="18"/>
              </w:rPr>
              <w:t>MI-01, MO-07</w:t>
            </w:r>
          </w:p>
        </w:tc>
      </w:tr>
      <w:tr>
        <w:tc>
          <w:tcPr>
            <w:tcW w:type="dxa" w:w="2160"/>
          </w:tcPr>
          <w:p>
            <w:r/>
            <w:r>
              <w:rPr>
                <w:sz w:val="18"/>
              </w:rPr>
              <w:t>Ch. 5 — PoCol Algorithm</w:t>
            </w:r>
          </w:p>
        </w:tc>
        <w:tc>
          <w:tcPr>
            <w:tcW w:type="dxa" w:w="6048"/>
          </w:tcPr>
          <w:p>
            <w:r/>
            <w:r>
              <w:rPr>
                <w:sz w:val="18"/>
              </w:rPr>
              <w:t>Design fully specified; four sequence-diagram figures well integrated and captioned; equation numbering anomalous (MO-06).</w:t>
            </w:r>
          </w:p>
        </w:tc>
        <w:tc>
          <w:tcPr>
            <w:tcW w:type="dxa" w:w="2016"/>
          </w:tcPr>
          <w:p>
            <w:r/>
            <w:r>
              <w:rPr>
                <w:sz w:val="18"/>
              </w:rPr>
              <w:t>MO-06</w:t>
            </w:r>
          </w:p>
        </w:tc>
      </w:tr>
      <w:tr>
        <w:tc>
          <w:tcPr>
            <w:tcW w:type="dxa" w:w="2160"/>
          </w:tcPr>
          <w:p>
            <w:r/>
            <w:r>
              <w:rPr>
                <w:sz w:val="18"/>
              </w:rPr>
              <w:t>Ch. 6 — Implementation</w:t>
            </w:r>
          </w:p>
        </w:tc>
        <w:tc>
          <w:tcPr>
            <w:tcW w:type="dxa" w:w="6048"/>
          </w:tcPr>
          <w:p>
            <w:r/>
            <w:r>
              <w:rPr>
                <w:sz w:val="18"/>
              </w:rPr>
              <w:t>Parameters fully specified and consistent with logs; “Inputconfig” casing (MI-01).</w:t>
            </w:r>
          </w:p>
        </w:tc>
        <w:tc>
          <w:tcPr>
            <w:tcW w:type="dxa" w:w="2016"/>
          </w:tcPr>
          <w:p>
            <w:r/>
            <w:r>
              <w:rPr>
                <w:sz w:val="18"/>
              </w:rPr>
              <w:t>MI-01</w:t>
            </w:r>
          </w:p>
        </w:tc>
      </w:tr>
      <w:tr>
        <w:tc>
          <w:tcPr>
            <w:tcW w:type="dxa" w:w="2160"/>
          </w:tcPr>
          <w:p>
            <w:r/>
            <w:r>
              <w:rPr>
                <w:sz w:val="18"/>
              </w:rPr>
              <w:t>Ch. 7 — Results</w:t>
            </w:r>
          </w:p>
        </w:tc>
        <w:tc>
          <w:tcPr>
            <w:tcW w:type="dxa" w:w="6048"/>
          </w:tcPr>
          <w:p>
            <w:r/>
            <w:r>
              <w:rPr>
                <w:sz w:val="18"/>
              </w:rPr>
              <w:t>Strongest chapter scientifically, but carries ALL numerical defects: M-01, M-02, M-03, MO-01, MO-02, plus “PoConst” and lowercase “figure”; Figure 7.2 uncited (MO-05).</w:t>
            </w:r>
          </w:p>
        </w:tc>
        <w:tc>
          <w:tcPr>
            <w:tcW w:type="dxa" w:w="2016"/>
          </w:tcPr>
          <w:p>
            <w:r/>
            <w:r>
              <w:rPr>
                <w:sz w:val="18"/>
              </w:rPr>
              <w:t>M-01–M-03, MO-01, MO-02, MO-05, MI-01, MI-03</w:t>
            </w:r>
          </w:p>
        </w:tc>
      </w:tr>
      <w:tr>
        <w:tc>
          <w:tcPr>
            <w:tcW w:type="dxa" w:w="2160"/>
          </w:tcPr>
          <w:p>
            <w:r/>
            <w:r>
              <w:rPr>
                <w:sz w:val="18"/>
              </w:rPr>
              <w:t>Ch. 8 — Conclusion</w:t>
            </w:r>
          </w:p>
        </w:tc>
        <w:tc>
          <w:tcPr>
            <w:tcW w:type="dxa" w:w="6048"/>
          </w:tcPr>
          <w:p>
            <w:r/>
            <w:r>
              <w:rPr>
                <w:sz w:val="18"/>
              </w:rPr>
              <w:t>Faithful to results; “P-OR-W”, “PoCo”, stray “.” paragraph (MI-01).</w:t>
            </w:r>
          </w:p>
        </w:tc>
        <w:tc>
          <w:tcPr>
            <w:tcW w:type="dxa" w:w="2016"/>
          </w:tcPr>
          <w:p>
            <w:r/>
            <w:r>
              <w:rPr>
                <w:sz w:val="18"/>
              </w:rPr>
              <w:t>MI-01</w:t>
            </w:r>
          </w:p>
        </w:tc>
      </w:tr>
      <w:tr>
        <w:tc>
          <w:tcPr>
            <w:tcW w:type="dxa" w:w="2160"/>
          </w:tcPr>
          <w:p>
            <w:r/>
            <w:r>
              <w:rPr>
                <w:sz w:val="18"/>
              </w:rPr>
              <w:t>References</w:t>
            </w:r>
          </w:p>
        </w:tc>
        <w:tc>
          <w:tcPr>
            <w:tcW w:type="dxa" w:w="6048"/>
          </w:tcPr>
          <w:p>
            <w:r/>
            <w:r>
              <w:rPr>
                <w:sz w:val="18"/>
              </w:rPr>
              <w:t>148 verified IEEE entries; [14] author names (M-05); [42]/[43] notes.</w:t>
            </w:r>
          </w:p>
        </w:tc>
        <w:tc>
          <w:tcPr>
            <w:tcW w:type="dxa" w:w="2016"/>
          </w:tcPr>
          <w:p>
            <w:r/>
            <w:r>
              <w:rPr>
                <w:sz w:val="18"/>
              </w:rPr>
              <w:t>M-05, MO-08, MI-04</w:t>
            </w:r>
          </w:p>
        </w:tc>
      </w:tr>
    </w:tbl>
    <w:p>
      <w:pPr>
        <w:pStyle w:val="Heading1"/>
      </w:pPr>
      <w:r>
        <w:t>22. Quality-Control Statistics</w:t>
      </w:r>
    </w:p>
    <w:tbl>
      <w:tblPr>
        <w:tblStyle w:val="TableGrid"/>
        <w:tblW w:type="auto" w:w="0"/>
        <w:tblLook w:firstColumn="1" w:firstRow="1" w:lastColumn="0" w:lastRow="0" w:noHBand="0" w:noVBand="1" w:val="04A0"/>
      </w:tblPr>
      <w:tblGrid>
        <w:gridCol w:w="4320"/>
        <w:gridCol w:w="4320"/>
      </w:tblGrid>
      <w:tr>
        <w:tc>
          <w:tcPr>
            <w:tcW w:type="dxa" w:w="4896"/>
          </w:tcPr>
          <w:p>
            <w:r/>
            <w:r>
              <w:rPr>
                <w:b/>
                <w:sz w:val="18"/>
              </w:rPr>
              <w:t>Metric</w:t>
            </w:r>
          </w:p>
        </w:tc>
        <w:tc>
          <w:tcPr>
            <w:tcW w:type="dxa" w:w="5184"/>
          </w:tcPr>
          <w:p>
            <w:r/>
            <w:r>
              <w:rPr>
                <w:b/>
                <w:sz w:val="18"/>
              </w:rPr>
              <w:t>Value</w:t>
            </w:r>
          </w:p>
        </w:tc>
      </w:tr>
      <w:tr>
        <w:tc>
          <w:tcPr>
            <w:tcW w:type="dxa" w:w="4896"/>
          </w:tcPr>
          <w:p>
            <w:r/>
            <w:r>
              <w:rPr>
                <w:sz w:val="18"/>
              </w:rPr>
              <w:t>Paragraphs / approx. words</w:t>
            </w:r>
          </w:p>
        </w:tc>
        <w:tc>
          <w:tcPr>
            <w:tcW w:type="dxa" w:w="5184"/>
          </w:tcPr>
          <w:p>
            <w:r/>
            <w:r>
              <w:rPr>
                <w:sz w:val="18"/>
              </w:rPr>
              <w:t>2,028 / ≈43,400</w:t>
            </w:r>
          </w:p>
        </w:tc>
      </w:tr>
      <w:tr>
        <w:tc>
          <w:tcPr>
            <w:tcW w:type="dxa" w:w="4896"/>
          </w:tcPr>
          <w:p>
            <w:r/>
            <w:r>
              <w:rPr>
                <w:sz w:val="18"/>
              </w:rPr>
              <w:t>Chapters + reference section</w:t>
            </w:r>
          </w:p>
        </w:tc>
        <w:tc>
          <w:tcPr>
            <w:tcW w:type="dxa" w:w="5184"/>
          </w:tcPr>
          <w:p>
            <w:r/>
            <w:r>
              <w:rPr>
                <w:sz w:val="18"/>
              </w:rPr>
              <w:t>8 + 1 (main body pp. 2–122 per TOC)</w:t>
            </w:r>
          </w:p>
        </w:tc>
      </w:tr>
      <w:tr>
        <w:tc>
          <w:tcPr>
            <w:tcW w:type="dxa" w:w="4896"/>
          </w:tcPr>
          <w:p>
            <w:r/>
            <w:r>
              <w:rPr>
                <w:sz w:val="18"/>
              </w:rPr>
              <w:t>Figures (all present, A4-fit)</w:t>
            </w:r>
          </w:p>
        </w:tc>
        <w:tc>
          <w:tcPr>
            <w:tcW w:type="dxa" w:w="5184"/>
          </w:tcPr>
          <w:p>
            <w:r/>
            <w:r>
              <w:rPr>
                <w:sz w:val="18"/>
              </w:rPr>
              <w:t>14 (3.1, 3.2, 5.1–5.4, 7.1–7.8)</w:t>
            </w:r>
          </w:p>
        </w:tc>
      </w:tr>
      <w:tr>
        <w:tc>
          <w:tcPr>
            <w:tcW w:type="dxa" w:w="4896"/>
          </w:tcPr>
          <w:p>
            <w:r/>
            <w:r>
              <w:rPr>
                <w:sz w:val="18"/>
              </w:rPr>
              <w:t>Tables (captioned)</w:t>
            </w:r>
          </w:p>
        </w:tc>
        <w:tc>
          <w:tcPr>
            <w:tcW w:type="dxa" w:w="5184"/>
          </w:tcPr>
          <w:p>
            <w:r/>
            <w:r>
              <w:rPr>
                <w:sz w:val="18"/>
              </w:rPr>
              <w:t>11 (3.1–3.8, 6.1, 6.2, 7.1)</w:t>
            </w:r>
          </w:p>
        </w:tc>
      </w:tr>
      <w:tr>
        <w:tc>
          <w:tcPr>
            <w:tcW w:type="dxa" w:w="4896"/>
          </w:tcPr>
          <w:p>
            <w:r/>
            <w:r>
              <w:rPr>
                <w:sz w:val="18"/>
              </w:rPr>
              <w:t>Reference entries</w:t>
            </w:r>
          </w:p>
        </w:tc>
        <w:tc>
          <w:tcPr>
            <w:tcW w:type="dxa" w:w="5184"/>
          </w:tcPr>
          <w:p>
            <w:r/>
            <w:r>
              <w:rPr>
                <w:sz w:val="18"/>
              </w:rPr>
              <w:t>148, numbered [1]–[148], no gaps/duplicates</w:t>
            </w:r>
          </w:p>
        </w:tc>
      </w:tr>
      <w:tr>
        <w:tc>
          <w:tcPr>
            <w:tcW w:type="dxa" w:w="4896"/>
          </w:tcPr>
          <w:p>
            <w:r/>
            <w:r>
              <w:rPr>
                <w:sz w:val="18"/>
              </w:rPr>
              <w:t>Bracketed tokens / in-text citation markers</w:t>
            </w:r>
          </w:p>
        </w:tc>
        <w:tc>
          <w:tcPr>
            <w:tcW w:type="dxa" w:w="5184"/>
          </w:tcPr>
          <w:p>
            <w:r/>
            <w:r>
              <w:rPr>
                <w:sz w:val="18"/>
              </w:rPr>
              <w:t>755 / ≈600 (rest = table labels &amp; math interval [0, 1])</w:t>
            </w:r>
          </w:p>
        </w:tc>
      </w:tr>
      <w:tr>
        <w:tc>
          <w:tcPr>
            <w:tcW w:type="dxa" w:w="4896"/>
          </w:tcPr>
          <w:p>
            <w:r/>
            <w:r>
              <w:rPr>
                <w:sz w:val="18"/>
              </w:rPr>
              <w:t>Citation order</w:t>
            </w:r>
          </w:p>
        </w:tc>
        <w:tc>
          <w:tcPr>
            <w:tcW w:type="dxa" w:w="5184"/>
          </w:tcPr>
          <w:p>
            <w:r/>
            <w:r>
              <w:rPr>
                <w:sz w:val="18"/>
              </w:rPr>
              <w:t>Perfect first-appearance order (PASS)</w:t>
            </w:r>
          </w:p>
        </w:tc>
      </w:tr>
      <w:tr>
        <w:tc>
          <w:tcPr>
            <w:tcW w:type="dxa" w:w="4896"/>
          </w:tcPr>
          <w:p>
            <w:r/>
            <w:r>
              <w:rPr>
                <w:sz w:val="18"/>
              </w:rPr>
              <w:t>Max references per citation position</w:t>
            </w:r>
          </w:p>
        </w:tc>
        <w:tc>
          <w:tcPr>
            <w:tcW w:type="dxa" w:w="5184"/>
          </w:tcPr>
          <w:p>
            <w:r/>
            <w:r>
              <w:rPr>
                <w:sz w:val="18"/>
              </w:rPr>
              <w:t>2 (constraint satisfied everywhere)</w:t>
            </w:r>
          </w:p>
        </w:tc>
      </w:tr>
      <w:tr>
        <w:tc>
          <w:tcPr>
            <w:tcW w:type="dxa" w:w="4896"/>
          </w:tcPr>
          <w:p>
            <w:r/>
            <w:r>
              <w:rPr>
                <w:sz w:val="18"/>
              </w:rPr>
              <w:t>Uncited references / invalid citation numbers</w:t>
            </w:r>
          </w:p>
        </w:tc>
        <w:tc>
          <w:tcPr>
            <w:tcW w:type="dxa" w:w="5184"/>
          </w:tcPr>
          <w:p>
            <w:r/>
            <w:r>
              <w:rPr>
                <w:sz w:val="18"/>
              </w:rPr>
              <w:t>0 / 0</w:t>
            </w:r>
          </w:p>
        </w:tc>
      </w:tr>
      <w:tr>
        <w:tc>
          <w:tcPr>
            <w:tcW w:type="dxa" w:w="4896"/>
          </w:tcPr>
          <w:p>
            <w:r/>
            <w:r>
              <w:rPr>
                <w:sz w:val="18"/>
              </w:rPr>
              <w:t>DOIs failing to resolve</w:t>
            </w:r>
          </w:p>
        </w:tc>
        <w:tc>
          <w:tcPr>
            <w:tcW w:type="dxa" w:w="5184"/>
          </w:tcPr>
          <w:p>
            <w:r/>
            <w:r>
              <w:rPr>
                <w:sz w:val="18"/>
              </w:rPr>
              <w:t>0</w:t>
            </w:r>
          </w:p>
        </w:tc>
      </w:tr>
      <w:tr>
        <w:tc>
          <w:tcPr>
            <w:tcW w:type="dxa" w:w="4896"/>
          </w:tcPr>
          <w:p>
            <w:r/>
            <w:r>
              <w:rPr>
                <w:sz w:val="18"/>
              </w:rPr>
              <w:t>Red revision runs / characters</w:t>
            </w:r>
          </w:p>
        </w:tc>
        <w:tc>
          <w:tcPr>
            <w:tcW w:type="dxa" w:w="5184"/>
          </w:tcPr>
          <w:p>
            <w:r/>
            <w:r>
              <w:rPr>
                <w:sz w:val="18"/>
              </w:rPr>
              <w:t>1,108 / ≈66,200</w:t>
            </w:r>
          </w:p>
        </w:tc>
      </w:tr>
      <w:tr>
        <w:tc>
          <w:tcPr>
            <w:tcW w:type="dxa" w:w="4896"/>
          </w:tcPr>
          <w:p>
            <w:r/>
            <w:r>
              <w:rPr>
                <w:sz w:val="18"/>
              </w:rPr>
              <w:t>Double-space occurrences</w:t>
            </w:r>
          </w:p>
        </w:tc>
        <w:tc>
          <w:tcPr>
            <w:tcW w:type="dxa" w:w="5184"/>
          </w:tcPr>
          <w:p>
            <w:r/>
            <w:r>
              <w:rPr>
                <w:sz w:val="18"/>
              </w:rPr>
              <w:t>181</w:t>
            </w:r>
          </w:p>
        </w:tc>
      </w:tr>
      <w:tr>
        <w:tc>
          <w:tcPr>
            <w:tcW w:type="dxa" w:w="4896"/>
          </w:tcPr>
          <w:p>
            <w:r/>
            <w:r>
              <w:rPr>
                <w:sz w:val="18"/>
              </w:rPr>
              <w:t>Findings — Critical / Major / Moderate / Minor</w:t>
            </w:r>
          </w:p>
        </w:tc>
        <w:tc>
          <w:tcPr>
            <w:tcW w:type="dxa" w:w="5184"/>
          </w:tcPr>
          <w:p>
            <w:r/>
            <w:r>
              <w:rPr>
                <w:sz w:val="18"/>
              </w:rPr>
              <w:t>1 / 5 / 8 / 6</w:t>
            </w:r>
          </w:p>
        </w:tc>
      </w:tr>
      <w:tr>
        <w:tc>
          <w:tcPr>
            <w:tcW w:type="dxa" w:w="4896"/>
          </w:tcPr>
          <w:p>
            <w:r/>
            <w:r>
              <w:rPr>
                <w:sz w:val="18"/>
              </w:rPr>
              <w:t>Findings by status</w:t>
            </w:r>
          </w:p>
        </w:tc>
        <w:tc>
          <w:tcPr>
            <w:tcW w:type="dxa" w:w="5184"/>
          </w:tcPr>
          <w:p>
            <w:r/>
            <w:r>
              <w:rPr>
                <w:sz w:val="18"/>
              </w:rPr>
              <w:t>Confirmed: 17 · Suspected: 2 (MO-03, MI-05) · Recommendation-only: 3 (MO-08, MI-04, style notes)</w:t>
            </w:r>
          </w:p>
        </w:tc>
      </w:tr>
    </w:tbl>
    <w:p>
      <w:pPr>
        <w:pStyle w:val="Heading1"/>
      </w:pPr>
      <w:r>
        <w:t>23. Prioritized Correction Plan</w:t>
      </w:r>
    </w:p>
    <w:p>
      <w:r>
        <w:rPr>
          <w:b w:val="0"/>
          <w:i w:val="0"/>
        </w:rPr>
        <w:t>Recommended order of work (dependencies respected — text fixes before list/TOC regeneration):</w:t>
      </w:r>
    </w:p>
    <w:tbl>
      <w:tblPr>
        <w:tblStyle w:val="TableGrid"/>
        <w:tblW w:type="auto" w:w="0"/>
        <w:tblLook w:firstColumn="1" w:firstRow="1" w:lastColumn="0" w:lastRow="0" w:noHBand="0" w:noVBand="1" w:val="04A0"/>
      </w:tblPr>
      <w:tblGrid>
        <w:gridCol w:w="2880"/>
        <w:gridCol w:w="2880"/>
        <w:gridCol w:w="2880"/>
      </w:tblGrid>
      <w:tr>
        <w:tc>
          <w:tcPr>
            <w:tcW w:type="dxa" w:w="1008"/>
          </w:tcPr>
          <w:p>
            <w:r/>
            <w:r>
              <w:rPr>
                <w:b/>
                <w:sz w:val="18"/>
              </w:rPr>
              <w:t>Priority</w:t>
            </w:r>
          </w:p>
        </w:tc>
        <w:tc>
          <w:tcPr>
            <w:tcW w:type="dxa" w:w="7200"/>
          </w:tcPr>
          <w:p>
            <w:r/>
            <w:r>
              <w:rPr>
                <w:b/>
                <w:sz w:val="18"/>
              </w:rPr>
              <w:t>Action</w:t>
            </w:r>
          </w:p>
        </w:tc>
        <w:tc>
          <w:tcPr>
            <w:tcW w:type="dxa" w:w="2016"/>
          </w:tcPr>
          <w:p>
            <w:r/>
            <w:r>
              <w:rPr>
                <w:b/>
                <w:sz w:val="18"/>
              </w:rPr>
              <w:t>Resolves</w:t>
            </w:r>
          </w:p>
        </w:tc>
      </w:tr>
      <w:tr>
        <w:tc>
          <w:tcPr>
            <w:tcW w:type="dxa" w:w="1008"/>
          </w:tcPr>
          <w:p>
            <w:r/>
            <w:r>
              <w:rPr>
                <w:sz w:val="18"/>
              </w:rPr>
              <w:t>P1</w:t>
            </w:r>
          </w:p>
        </w:tc>
        <w:tc>
          <w:tcPr>
            <w:tcW w:type="dxa" w:w="7200"/>
          </w:tcPr>
          <w:p>
            <w:r/>
            <w:r>
              <w:rPr>
                <w:sz w:val="18"/>
              </w:rPr>
              <w:t>Write and insert the English Abstract and Arabic ملخص (C-01); add declaration page if IUG requires (MI-05).</w:t>
            </w:r>
          </w:p>
        </w:tc>
        <w:tc>
          <w:tcPr>
            <w:tcW w:type="dxa" w:w="2016"/>
          </w:tcPr>
          <w:p>
            <w:r/>
            <w:r>
              <w:rPr>
                <w:sz w:val="18"/>
              </w:rPr>
              <w:t>C-01, MI-05</w:t>
            </w:r>
          </w:p>
        </w:tc>
      </w:tr>
      <w:tr>
        <w:tc>
          <w:tcPr>
            <w:tcW w:type="dxa" w:w="1008"/>
          </w:tcPr>
          <w:p>
            <w:r/>
            <w:r>
              <w:rPr>
                <w:sz w:val="18"/>
              </w:rPr>
              <w:t>P2</w:t>
            </w:r>
          </w:p>
        </w:tc>
        <w:tc>
          <w:tcPr>
            <w:tcW w:type="dxa" w:w="7200"/>
          </w:tcPr>
          <w:p>
            <w:r/>
            <w:r>
              <w:rPr>
                <w:sz w:val="18"/>
              </w:rPr>
              <w:t>Fix the three Chapter 7 factual errors: finality attribution (M-01), Wh/transaction unit (M-02), 14.3→14.7 kg CO₂ (M-03).</w:t>
            </w:r>
          </w:p>
        </w:tc>
        <w:tc>
          <w:tcPr>
            <w:tcW w:type="dxa" w:w="2016"/>
          </w:tcPr>
          <w:p>
            <w:r/>
            <w:r>
              <w:rPr>
                <w:sz w:val="18"/>
              </w:rPr>
              <w:t>M-01–M-03</w:t>
            </w:r>
          </w:p>
        </w:tc>
      </w:tr>
      <w:tr>
        <w:tc>
          <w:tcPr>
            <w:tcW w:type="dxa" w:w="1008"/>
          </w:tcPr>
          <w:p>
            <w:r/>
            <w:r>
              <w:rPr>
                <w:sz w:val="18"/>
              </w:rPr>
              <w:t>P3</w:t>
            </w:r>
          </w:p>
        </w:tc>
        <w:tc>
          <w:tcPr>
            <w:tcW w:type="dxa" w:w="7200"/>
          </w:tcPr>
          <w:p>
            <w:r/>
            <w:r>
              <w:rPr>
                <w:sz w:val="18"/>
              </w:rPr>
              <w:t>Align remaining prose numbers with Table 7.1: 11.30→11.33, 10.80→10.78, 82.8→82.7 (MO-01, MO-02).</w:t>
            </w:r>
          </w:p>
        </w:tc>
        <w:tc>
          <w:tcPr>
            <w:tcW w:type="dxa" w:w="2016"/>
          </w:tcPr>
          <w:p>
            <w:r/>
            <w:r>
              <w:rPr>
                <w:sz w:val="18"/>
              </w:rPr>
              <w:t>MO-01, MO-02</w:t>
            </w:r>
          </w:p>
        </w:tc>
      </w:tr>
      <w:tr>
        <w:tc>
          <w:tcPr>
            <w:tcW w:type="dxa" w:w="1008"/>
          </w:tcPr>
          <w:p>
            <w:r/>
            <w:r>
              <w:rPr>
                <w:sz w:val="18"/>
              </w:rPr>
              <w:t>P4</w:t>
            </w:r>
          </w:p>
        </w:tc>
        <w:tc>
          <w:tcPr>
            <w:tcW w:type="dxa" w:w="7200"/>
          </w:tcPr>
          <w:p>
            <w:r/>
            <w:r>
              <w:rPr>
                <w:sz w:val="18"/>
              </w:rPr>
              <w:t>Correct reference [14] author list; optionally improve [43] chapter formatting and check [42] for a published version.</w:t>
            </w:r>
          </w:p>
        </w:tc>
        <w:tc>
          <w:tcPr>
            <w:tcW w:type="dxa" w:w="2016"/>
          </w:tcPr>
          <w:p>
            <w:r/>
            <w:r>
              <w:rPr>
                <w:sz w:val="18"/>
              </w:rPr>
              <w:t>M-05, MO-08, MI-04</w:t>
            </w:r>
          </w:p>
        </w:tc>
      </w:tr>
      <w:tr>
        <w:tc>
          <w:tcPr>
            <w:tcW w:type="dxa" w:w="1008"/>
          </w:tcPr>
          <w:p>
            <w:r/>
            <w:r>
              <w:rPr>
                <w:sz w:val="18"/>
              </w:rPr>
              <w:t>P5</w:t>
            </w:r>
          </w:p>
        </w:tc>
        <w:tc>
          <w:tcPr>
            <w:tcW w:type="dxa" w:w="7200"/>
          </w:tcPr>
          <w:p>
            <w:r/>
            <w:r>
              <w:rPr>
                <w:sz w:val="18"/>
              </w:rPr>
              <w:t>Fix all typo strings (PoConst, mahmatical, PoCo, Dlbc, P-OR-W, liveliness, Inputconfig, stray “.”; lowercase “figure”).</w:t>
            </w:r>
          </w:p>
        </w:tc>
        <w:tc>
          <w:tcPr>
            <w:tcW w:type="dxa" w:w="2016"/>
          </w:tcPr>
          <w:p>
            <w:r/>
            <w:r>
              <w:rPr>
                <w:sz w:val="18"/>
              </w:rPr>
              <w:t>MI-01, MI-03</w:t>
            </w:r>
          </w:p>
        </w:tc>
      </w:tr>
      <w:tr>
        <w:tc>
          <w:tcPr>
            <w:tcW w:type="dxa" w:w="1008"/>
          </w:tcPr>
          <w:p>
            <w:r/>
            <w:r>
              <w:rPr>
                <w:sz w:val="18"/>
              </w:rPr>
              <w:t>P6</w:t>
            </w:r>
          </w:p>
        </w:tc>
        <w:tc>
          <w:tcPr>
            <w:tcW w:type="dxa" w:w="7200"/>
          </w:tcPr>
          <w:p>
            <w:r/>
            <w:r>
              <w:rPr>
                <w:sz w:val="18"/>
              </w:rPr>
              <w:t>Fix Heading-1 spacing for Chapters 1–4 and the double space in Chapters 5–8.</w:t>
            </w:r>
          </w:p>
        </w:tc>
        <w:tc>
          <w:tcPr>
            <w:tcW w:type="dxa" w:w="2016"/>
          </w:tcPr>
          <w:p>
            <w:r/>
            <w:r>
              <w:rPr>
                <w:sz w:val="18"/>
              </w:rPr>
              <w:t>MO-07, MI-06</w:t>
            </w:r>
          </w:p>
        </w:tc>
      </w:tr>
      <w:tr>
        <w:tc>
          <w:tcPr>
            <w:tcW w:type="dxa" w:w="1008"/>
          </w:tcPr>
          <w:p>
            <w:r/>
            <w:r>
              <w:rPr>
                <w:sz w:val="18"/>
              </w:rPr>
              <w:t>P7</w:t>
            </w:r>
          </w:p>
        </w:tc>
        <w:tc>
          <w:tcPr>
            <w:tcW w:type="dxa" w:w="7200"/>
          </w:tcPr>
          <w:p>
            <w:r/>
            <w:r>
              <w:rPr>
                <w:sz w:val="18"/>
              </w:rPr>
              <w:t>Normalize all 25 captions to one separator style; verify Figures 3.1/3.2 show exactly one caption each in Word.</w:t>
            </w:r>
          </w:p>
        </w:tc>
        <w:tc>
          <w:tcPr>
            <w:tcW w:type="dxa" w:w="2016"/>
          </w:tcPr>
          <w:p>
            <w:r/>
            <w:r>
              <w:rPr>
                <w:sz w:val="18"/>
              </w:rPr>
              <w:t>MO-04, MO-03</w:t>
            </w:r>
          </w:p>
        </w:tc>
      </w:tr>
      <w:tr>
        <w:tc>
          <w:tcPr>
            <w:tcW w:type="dxa" w:w="1008"/>
          </w:tcPr>
          <w:p>
            <w:r/>
            <w:r>
              <w:rPr>
                <w:sz w:val="18"/>
              </w:rPr>
              <w:t>P8</w:t>
            </w:r>
          </w:p>
        </w:tc>
        <w:tc>
          <w:tcPr>
            <w:tcW w:type="dxa" w:w="7200"/>
          </w:tcPr>
          <w:p>
            <w:r/>
            <w:r>
              <w:rPr>
                <w:sz w:val="18"/>
              </w:rPr>
              <w:t>Add missing cross-references (Tables 3.1–3.8, Figure 7.2); renumber Chapter 5 equations sequentially.</w:t>
            </w:r>
          </w:p>
        </w:tc>
        <w:tc>
          <w:tcPr>
            <w:tcW w:type="dxa" w:w="2016"/>
          </w:tcPr>
          <w:p>
            <w:r/>
            <w:r>
              <w:rPr>
                <w:sz w:val="18"/>
              </w:rPr>
              <w:t>MO-05, MO-06</w:t>
            </w:r>
          </w:p>
        </w:tc>
      </w:tr>
      <w:tr>
        <w:tc>
          <w:tcPr>
            <w:tcW w:type="dxa" w:w="1008"/>
          </w:tcPr>
          <w:p>
            <w:r/>
            <w:r>
              <w:rPr>
                <w:sz w:val="18"/>
              </w:rPr>
              <w:t>P9</w:t>
            </w:r>
          </w:p>
        </w:tc>
        <w:tc>
          <w:tcPr>
            <w:tcW w:type="dxa" w:w="7200"/>
          </w:tcPr>
          <w:p>
            <w:r/>
            <w:r>
              <w:rPr>
                <w:sz w:val="18"/>
              </w:rPr>
              <w:t>Global double-space cleanup; then convert LoT/LoF to generated fields and update TOC/LoT/LoF (F9). Do this LAST.</w:t>
            </w:r>
          </w:p>
        </w:tc>
        <w:tc>
          <w:tcPr>
            <w:tcW w:type="dxa" w:w="2016"/>
          </w:tcPr>
          <w:p>
            <w:r/>
            <w:r>
              <w:rPr>
                <w:sz w:val="18"/>
              </w:rPr>
              <w:t>MI-02, M-04</w:t>
            </w:r>
          </w:p>
        </w:tc>
      </w:tr>
    </w:tbl>
    <w:p>
      <w:r>
        <w:rPr>
          <w:b w:val="0"/>
          <w:i w:val="0"/>
        </w:rPr>
      </w:r>
    </w:p>
    <w:p>
      <w:r>
        <w:rPr>
          <w:b w:val="0"/>
          <w:i/>
        </w:rPr>
        <w:t>Estimated total effort: approximately one working day, all within Microsoft Word; no re-experimentation or restructuring required.</w:t>
      </w:r>
    </w:p>
    <w:p>
      <w:pPr>
        <w:pStyle w:val="Heading1"/>
      </w:pPr>
      <w:r>
        <w:t>Final Decision</w:t>
      </w:r>
    </w:p>
    <w:p>
      <w:r>
        <w:rPr>
          <w:b/>
          <w:color w:val="E36C09"/>
          <w:sz w:val="28"/>
        </w:rPr>
        <w:t>Major corrections required before submission.</w:t>
      </w:r>
    </w:p>
    <w:p>
      <w:r>
        <w:rPr>
          <w:b w:val="0"/>
          <w:i w:val="0"/>
        </w:rPr>
        <w:t>The thesis is scientifically complete and its citation/reference apparatus is exemplary, but it cannot be submitted without an Abstract, and Chapter 7 must not go to examiners while three of its quantitative statements contradict the thesis's own authoritative results table. After the corrections in Section 23 are applied and the TOC/LoT/LoF are regenerated, the expected status is “Ready after minor corrections”, pending only the visual check of Figures 3.1/3.2 and the institutional-template check for the declaration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