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33614" w14:textId="77C0E723" w:rsidR="006869B2" w:rsidRPr="00532EA6" w:rsidRDefault="001249D1" w:rsidP="007143EF">
      <w:pPr>
        <w:pStyle w:val="Author"/>
        <w:rPr>
          <w:rFonts w:eastAsia="MS Mincho"/>
          <w:b/>
          <w:i/>
          <w:iCs/>
          <w:sz w:val="28"/>
          <w:szCs w:val="28"/>
        </w:rPr>
      </w:pPr>
      <w:r w:rsidRPr="001249D1">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B9101B">
        <w:rPr>
          <w:rFonts w:eastAsia="MS Mincho"/>
          <w:b/>
          <w:i/>
          <w:iCs/>
          <w:sz w:val="28"/>
          <w:szCs w:val="28"/>
        </w:rPr>
        <w:t>Extending BlockSim with Energy and Carbon Footprint Modeling for Sustainable Blockchain Evaluation</w:t>
      </w:r>
      <w:r w:rsidR="00563028">
        <w:rPr>
          <w:rFonts w:eastAsia="MS Mincho"/>
          <w:b/>
          <w:i/>
          <w:iCs/>
          <w:sz w:val="28"/>
          <w:szCs w:val="28"/>
        </w:rPr>
        <w:t xml:space="preserve"> </w:t>
      </w:r>
      <w:r w:rsidR="00FB3AB7">
        <w:rPr>
          <w:rFonts w:eastAsia="MS Mincho"/>
          <w:b/>
          <w:i/>
          <w:iCs/>
          <w:sz w:val="28"/>
          <w:szCs w:val="28"/>
        </w:rPr>
        <w:t xml:space="preserve"> </w:t>
      </w:r>
    </w:p>
    <w:p w14:paraId="649C0E5C" w14:textId="77777777" w:rsidR="0054188B" w:rsidRDefault="0054188B" w:rsidP="007143EF">
      <w:pPr>
        <w:pStyle w:val="Author"/>
        <w:jc w:val="left"/>
      </w:pPr>
    </w:p>
    <w:p w14:paraId="78990ECA" w14:textId="77777777" w:rsidR="00465B42" w:rsidRDefault="00465B42" w:rsidP="007143EF">
      <w:pPr>
        <w:pStyle w:val="Author"/>
        <w:spacing w:before="120" w:after="120"/>
        <w:contextualSpacing/>
        <w:rPr>
          <w:sz w:val="24"/>
          <w:szCs w:val="24"/>
        </w:rPr>
        <w:sectPr w:rsidR="00465B42" w:rsidSect="00465B42">
          <w:pgSz w:w="11906" w:h="16838" w:code="9"/>
          <w:pgMar w:top="1080" w:right="1080" w:bottom="1080" w:left="1080" w:header="706" w:footer="706" w:gutter="0"/>
          <w:cols w:space="708"/>
          <w:docGrid w:linePitch="360"/>
        </w:sectPr>
      </w:pPr>
    </w:p>
    <w:p w14:paraId="56FD4623" w14:textId="71587466" w:rsidR="00DA4148" w:rsidRPr="00532EA6" w:rsidRDefault="006C1C0F" w:rsidP="007143EF">
      <w:pPr>
        <w:pStyle w:val="Author"/>
        <w:spacing w:before="120" w:after="120"/>
        <w:contextualSpacing/>
        <w:rPr>
          <w:sz w:val="24"/>
          <w:szCs w:val="24"/>
        </w:rPr>
      </w:pPr>
      <w:r w:rsidRPr="00532EA6">
        <w:rPr>
          <w:sz w:val="24"/>
          <w:szCs w:val="24"/>
        </w:rPr>
        <w:t>Raed S. Rasheed</w:t>
      </w:r>
      <w:r w:rsidR="000717D6">
        <w:rPr>
          <w:rStyle w:val="FootnoteReference"/>
          <w:sz w:val="24"/>
          <w:szCs w:val="24"/>
        </w:rPr>
        <w:footnoteReference w:id="1"/>
      </w:r>
    </w:p>
    <w:p w14:paraId="7B2873F1" w14:textId="184CA96C" w:rsidR="006C1C0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006C1C0F" w:rsidRPr="00532EA6">
        <w:rPr>
          <w:sz w:val="15"/>
          <w:szCs w:val="15"/>
        </w:rPr>
        <w:t>Islamic University of Gaza</w:t>
      </w:r>
    </w:p>
    <w:p w14:paraId="59F4E0DB" w14:textId="77777777" w:rsidR="006C1C0F" w:rsidRPr="00532EA6" w:rsidRDefault="006C1C0F" w:rsidP="007143EF">
      <w:pPr>
        <w:pStyle w:val="Author"/>
        <w:spacing w:before="120" w:after="120"/>
        <w:contextualSpacing/>
        <w:rPr>
          <w:sz w:val="15"/>
          <w:szCs w:val="15"/>
        </w:rPr>
      </w:pPr>
      <w:r w:rsidRPr="00532EA6">
        <w:rPr>
          <w:sz w:val="15"/>
          <w:szCs w:val="15"/>
        </w:rPr>
        <w:t>Gaza, P.O. Box 108, Palestine</w:t>
      </w:r>
    </w:p>
    <w:p w14:paraId="41106B01" w14:textId="1CDB6005" w:rsidR="00846B95" w:rsidRPr="00465B42" w:rsidRDefault="006C1C0F" w:rsidP="007143EF">
      <w:pPr>
        <w:pStyle w:val="Author"/>
        <w:spacing w:before="120" w:after="120"/>
        <w:contextualSpacing/>
        <w:rPr>
          <w:sz w:val="15"/>
          <w:szCs w:val="15"/>
        </w:rPr>
      </w:pPr>
      <w:r w:rsidRPr="00532EA6">
        <w:rPr>
          <w:sz w:val="15"/>
          <w:szCs w:val="15"/>
        </w:rPr>
        <w:t>rrasheed</w:t>
      </w:r>
      <w:r w:rsidR="00DA4148" w:rsidRPr="00532EA6">
        <w:rPr>
          <w:sz w:val="15"/>
          <w:szCs w:val="15"/>
        </w:rPr>
        <w:t>@</w:t>
      </w:r>
      <w:r w:rsidRPr="00532EA6">
        <w:rPr>
          <w:sz w:val="15"/>
          <w:szCs w:val="15"/>
        </w:rPr>
        <w:t>iugaza</w:t>
      </w:r>
      <w:r w:rsidR="00DA4148" w:rsidRPr="00532EA6">
        <w:rPr>
          <w:sz w:val="15"/>
          <w:szCs w:val="15"/>
        </w:rPr>
        <w:t>.edu.ps</w:t>
      </w:r>
      <w:r w:rsidR="00A0516F">
        <w:rPr>
          <w:sz w:val="15"/>
          <w:szCs w:val="15"/>
        </w:rPr>
        <w:t xml:space="preserve"> </w:t>
      </w:r>
    </w:p>
    <w:p w14:paraId="0EB081AC" w14:textId="47CE494A" w:rsidR="00846B95" w:rsidRPr="00532EA6" w:rsidRDefault="00A0516F" w:rsidP="007143EF">
      <w:pPr>
        <w:pStyle w:val="Author"/>
        <w:spacing w:before="120" w:after="120"/>
        <w:contextualSpacing/>
        <w:rPr>
          <w:sz w:val="24"/>
          <w:szCs w:val="24"/>
          <w:rtl/>
        </w:rPr>
      </w:pPr>
      <w:r w:rsidRPr="00A0516F">
        <w:rPr>
          <w:sz w:val="24"/>
          <w:szCs w:val="24"/>
        </w:rPr>
        <w:t>Aiman A</w:t>
      </w:r>
      <w:r w:rsidR="00482B5B">
        <w:rPr>
          <w:sz w:val="24"/>
          <w:szCs w:val="24"/>
        </w:rPr>
        <w:t>.</w:t>
      </w:r>
      <w:r w:rsidRPr="00A0516F">
        <w:rPr>
          <w:sz w:val="24"/>
          <w:szCs w:val="24"/>
        </w:rPr>
        <w:t xml:space="preserve"> AbuSamra</w:t>
      </w:r>
    </w:p>
    <w:p w14:paraId="7A2E4390" w14:textId="4A590221" w:rsidR="00A0516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Pr="00532EA6">
        <w:rPr>
          <w:sz w:val="15"/>
          <w:szCs w:val="15"/>
        </w:rPr>
        <w:t>Islamic University of Gaza</w:t>
      </w:r>
    </w:p>
    <w:p w14:paraId="5BE2F122" w14:textId="77777777" w:rsidR="00A0516F" w:rsidRPr="00532EA6" w:rsidRDefault="00A0516F" w:rsidP="007143EF">
      <w:pPr>
        <w:pStyle w:val="Author"/>
        <w:spacing w:before="120" w:after="120"/>
        <w:contextualSpacing/>
        <w:rPr>
          <w:sz w:val="15"/>
          <w:szCs w:val="15"/>
        </w:rPr>
      </w:pPr>
      <w:r w:rsidRPr="00532EA6">
        <w:rPr>
          <w:sz w:val="15"/>
          <w:szCs w:val="15"/>
        </w:rPr>
        <w:t>Gaza, P.O. Box 108, Palestine</w:t>
      </w:r>
    </w:p>
    <w:p w14:paraId="459322F4" w14:textId="1534A23A" w:rsidR="00846B95" w:rsidRPr="00532EA6" w:rsidRDefault="00A0516F" w:rsidP="007143EF">
      <w:pPr>
        <w:pStyle w:val="Author"/>
        <w:spacing w:before="120" w:after="120"/>
        <w:contextualSpacing/>
        <w:rPr>
          <w:sz w:val="15"/>
          <w:szCs w:val="15"/>
        </w:rPr>
      </w:pPr>
      <w:r w:rsidRPr="00A0516F">
        <w:rPr>
          <w:sz w:val="15"/>
          <w:szCs w:val="15"/>
        </w:rPr>
        <w:t>aasamra</w:t>
      </w:r>
      <w:r w:rsidRPr="00532EA6">
        <w:rPr>
          <w:sz w:val="15"/>
          <w:szCs w:val="15"/>
        </w:rPr>
        <w:t>@iugaza.edu.ps</w:t>
      </w:r>
    </w:p>
    <w:p w14:paraId="22D9621B" w14:textId="77777777" w:rsidR="00465B42" w:rsidRDefault="00465B42" w:rsidP="007143EF">
      <w:pPr>
        <w:pStyle w:val="Author"/>
        <w:spacing w:before="120" w:after="120"/>
        <w:contextualSpacing/>
        <w:rPr>
          <w:sz w:val="24"/>
          <w:szCs w:val="24"/>
        </w:rPr>
        <w:sectPr w:rsidR="00465B42" w:rsidSect="00465B42">
          <w:type w:val="continuous"/>
          <w:pgSz w:w="11906" w:h="16838" w:code="9"/>
          <w:pgMar w:top="1080" w:right="1080" w:bottom="1080" w:left="1080" w:header="706" w:footer="706" w:gutter="0"/>
          <w:cols w:num="2" w:space="708"/>
          <w:docGrid w:linePitch="360"/>
        </w:sectPr>
      </w:pPr>
    </w:p>
    <w:p w14:paraId="63BF0CFF" w14:textId="77777777" w:rsidR="00AA161D" w:rsidRPr="00532EA6" w:rsidRDefault="00AA161D" w:rsidP="007143EF">
      <w:pPr>
        <w:pStyle w:val="Author"/>
        <w:spacing w:before="120" w:after="120"/>
        <w:contextualSpacing/>
        <w:rPr>
          <w:sz w:val="24"/>
          <w:szCs w:val="24"/>
        </w:rPr>
      </w:pPr>
    </w:p>
    <w:p w14:paraId="2375C87C" w14:textId="77777777" w:rsidR="00465B42" w:rsidRDefault="00465B42" w:rsidP="007143EF">
      <w:pPr>
        <w:pStyle w:val="Abstract"/>
        <w:spacing w:after="0"/>
        <w:rPr>
          <w:i/>
          <w:iCs/>
        </w:rPr>
        <w:sectPr w:rsidR="00465B42" w:rsidSect="00465B42">
          <w:type w:val="continuous"/>
          <w:pgSz w:w="11906" w:h="16838" w:code="9"/>
          <w:pgMar w:top="1080" w:right="1080" w:bottom="1080" w:left="1080" w:header="706" w:footer="706" w:gutter="0"/>
          <w:cols w:space="708"/>
          <w:docGrid w:linePitch="360"/>
        </w:sectPr>
      </w:pPr>
    </w:p>
    <w:p w14:paraId="04B021E3" w14:textId="3F3336E9" w:rsidR="009155AE" w:rsidRDefault="002530CD" w:rsidP="009B657F">
      <w:pPr>
        <w:pStyle w:val="Abstract"/>
        <w:spacing w:after="0"/>
      </w:pPr>
      <w:r w:rsidRPr="00532EA6">
        <w:rPr>
          <w:i/>
          <w:iCs/>
        </w:rPr>
        <w:t>Abstract</w:t>
      </w:r>
      <w:r w:rsidR="00570CFC" w:rsidRPr="00532EA6">
        <w:t xml:space="preserve"> </w:t>
      </w:r>
      <w:r w:rsidR="00143790" w:rsidRPr="00532EA6">
        <w:t>–</w:t>
      </w:r>
      <w:r w:rsidR="009B657F">
        <w:t xml:space="preserve">This paper extends </w:t>
      </w:r>
      <w:proofErr w:type="spellStart"/>
      <w:r w:rsidR="009B657F">
        <w:t>BlockSim</w:t>
      </w:r>
      <w:proofErr w:type="spellEnd"/>
      <w:r w:rsidR="009B657F">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9B657F">
        <w:rPr>
          <w:color w:val="C00000"/>
        </w:rPr>
        <w:t xml:space="preserve">Proof-of-Work reference configurations (Bitcoin, and a historical Ethereum-like PoW configuration that does not represent current Ethereum, which has used Proof-of-Stake since The Merge)</w:t>
      </w:r>
      <w:r w:rsidR="009B657F">
        <w:t xml:space="preserve"> 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p>
    <w:p>
      <w:r>
        <w:rPr>
          <w:rFonts w:ascii="Times New Roman" w:hAnsi="Times New Roman"/>
          <w:b w:val="0"/>
          <w:i w:val="0"/>
          <w:color w:val="C00000"/>
          <w:sz w:val="22"/>
        </w:rPr>
        <w:t>In this revised version, 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450CCE59" w14:textId="77777777" w:rsidR="00F3380A" w:rsidRPr="00532EA6" w:rsidRDefault="00F3380A" w:rsidP="00F3380A">
      <w:pPr>
        <w:pStyle w:val="Abstract"/>
        <w:spacing w:after="0"/>
      </w:pPr>
    </w:p>
    <w:p w14:paraId="44B0133E" w14:textId="20962FDA" w:rsidR="007D1DD9" w:rsidRPr="00532EA6" w:rsidRDefault="00352B43" w:rsidP="007143EF">
      <w:pPr>
        <w:pStyle w:val="keywords"/>
        <w:spacing w:after="0" w:line="264" w:lineRule="auto"/>
      </w:pPr>
      <w:r w:rsidRPr="00532EA6">
        <w:t>Keywords</w:t>
      </w:r>
      <w:r w:rsidR="00D52953" w:rsidRPr="00532EA6">
        <w:t xml:space="preserve">: </w:t>
      </w:r>
      <w:r w:rsidR="00D372F0">
        <w:t>Blockchain</w:t>
      </w:r>
      <w:r w:rsidR="009B657F">
        <w:t xml:space="preserve"> Simulation</w:t>
      </w:r>
      <w:r w:rsidR="00281DFB" w:rsidRPr="00532EA6">
        <w:t>,</w:t>
      </w:r>
      <w:r w:rsidR="00FB6187">
        <w:t xml:space="preserve"> BlockSim,</w:t>
      </w:r>
      <w:r w:rsidR="00281DFB" w:rsidRPr="00532EA6">
        <w:t xml:space="preserve"> </w:t>
      </w:r>
      <w:r w:rsidR="00D372F0" w:rsidRPr="00D372F0">
        <w:t>Consensus Algorithms</w:t>
      </w:r>
      <w:r w:rsidR="00281DFB" w:rsidRPr="00532EA6">
        <w:t xml:space="preserve">, </w:t>
      </w:r>
      <w:r w:rsidR="00D372F0" w:rsidRPr="00D372F0">
        <w:t>Energy Consumption</w:t>
      </w:r>
      <w:r w:rsidR="00281DFB" w:rsidRPr="00532EA6">
        <w:t xml:space="preserve">, </w:t>
      </w:r>
      <w:r w:rsidR="00D372F0">
        <w:t>PoW</w:t>
      </w:r>
      <w:r w:rsidR="00281DFB" w:rsidRPr="00532EA6">
        <w:t>.</w:t>
      </w:r>
      <w:r>
        <w:rPr>
          <w:rFonts w:ascii="Times New Roman" w:hAnsi="Times New Roman"/>
          <w:color w:val="C00000"/>
          <w:sz w:val="22"/>
        </w:rPr>
        <w:t xml:space="preserve"> Proof of Stake, Carbon Footprint, Energy Modeling, Sustainability.</w:t>
      </w:r>
    </w:p>
    <w:p w14:paraId="52AFF862" w14:textId="77777777" w:rsidR="007D1DD9" w:rsidRPr="00532EA6" w:rsidRDefault="0004459D" w:rsidP="007143EF">
      <w:pPr>
        <w:pStyle w:val="Heading1"/>
        <w:numPr>
          <w:ilvl w:val="0"/>
          <w:numId w:val="1"/>
        </w:numPr>
        <w:ind w:left="360"/>
      </w:pPr>
      <w:r w:rsidRPr="00532EA6">
        <w:t>Introduction</w:t>
      </w:r>
    </w:p>
    <w:p w14:paraId="1941ECE3" w14:textId="77777777" w:rsidR="003920AE" w:rsidRDefault="003920AE" w:rsidP="003920AE">
      <w:pPr>
        <w:pStyle w:val="RSR"/>
      </w:pPr>
      <w:bookmarkStart w:id="0" w:name="_Hlk89201894"/>
      <w:r>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7DBC3CF2" w14:textId="77777777" w:rsidR="003920AE" w:rsidRDefault="003920AE" w:rsidP="003920AE">
      <w:pPr>
        <w:pStyle w:val="RSR"/>
      </w:pPr>
      <w:r>
        <w:t>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necessity for robust evaluation tools capable of assessing sustainability alongside conventional performance and security metrics.</w:t>
      </w:r>
    </w:p>
    <w:p w14:paraId="3EB37CD7" w14:textId="09838D35" w:rsidR="003920AE" w:rsidRDefault="003920AE" w:rsidP="003920AE">
      <w:pPr>
        <w:pStyle w:val="RSR"/>
      </w:pPr>
      <w:r>
        <w:t xml:space="preserve"> In this context, analysis using simulations is crucial. It allows for controlled experiments, avoiding the costs and risks associated with using real blockchain networks.</w:t>
      </w:r>
    </w:p>
    <w:p w14:paraId="06C90E23" w14:textId="77777777" w:rsidR="003920AE" w:rsidRDefault="003920AE" w:rsidP="003920AE">
      <w:pPr>
        <w:pStyle w:val="RSR"/>
      </w:pPr>
    </w:p>
    <w:p w14:paraId="660FC68A" w14:textId="55C1C9A2" w:rsidR="003920AE" w:rsidRDefault="003920AE" w:rsidP="003920AE">
      <w:pPr>
        <w:pStyle w:val="RSR"/>
      </w:pPr>
      <w:proofErr w:type="spellStart"/>
      <w:r>
        <w:t>BlockSim</w:t>
      </w:r>
      <w:proofErr w:type="spellEnd"/>
      <w:r>
        <w:t xml:space="preserve">, developed by </w:t>
      </w:r>
      <w:proofErr w:type="spellStart"/>
      <w:r>
        <w:t>Alharby</w:t>
      </w:r>
      <w:proofErr w:type="spellEnd"/>
      <w:r>
        <w:t xml:space="preserve"> and van </w:t>
      </w:r>
      <w:proofErr w:type="spellStart"/>
      <w:r>
        <w:t>Moorsel</w:t>
      </w:r>
      <w:proofErr w:type="spellEnd"/>
      <w:r>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t>BlockSim</w:t>
      </w:r>
      <w:proofErr w:type="spellEnd"/>
      <w:r>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t>BlockSim</w:t>
      </w:r>
      <w:proofErr w:type="spellEnd"/>
      <w:r>
        <w:t xml:space="preserve"> does not inherently model energy consumption or carbon emissions, which limits its applicability in research centered on sustainability.</w:t>
      </w:r>
    </w:p>
    <w:p w14:paraId="77BD40C8" w14:textId="06612206" w:rsidR="003920AE" w:rsidRDefault="003920AE" w:rsidP="003920AE">
      <w:pPr>
        <w:pStyle w:val="RSR"/>
      </w:pPr>
      <w:r>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23B3EDDC" w14:textId="5762EF4F" w:rsidR="00F759FD" w:rsidRDefault="003920AE" w:rsidP="003920AE">
      <w:pPr>
        <w:pStyle w:val="RSR"/>
      </w:pPr>
      <w:r>
        <w:t xml:space="preserve">This study expands upon </w:t>
      </w:r>
      <w:proofErr w:type="spellStart"/>
      <w:r>
        <w:t>BlockSim</w:t>
      </w:r>
      <w:proofErr w:type="spellEnd"/>
      <w:r>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r>
        <w:rPr>
          <w:rFonts w:ascii="Times New Roman" w:hAnsi="Times New Roman"/>
          <w:b w:val="0"/>
          <w:i w:val="0"/>
          <w:color w:val="C00000"/>
          <w:sz w:val="22"/>
        </w:rPr>
        <w:t>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Proof-of-Stake (PoS), by contrast, secures the network through stake and its energy is dominated by the number of validators kept online and their hardware power, essentially independent of coin price [19]. Notably, Ethereum transitioned from PoW to PoS at The Merge (September 2022), reducing its consensus energy by roughly 99.95% [21]; accordingly, current Ethereum is not a PoW system, and any PoW Ethereum configuration in this paper is labelled as a historical Ethereum-like PoW configuration only.</w:t>
      </w:r>
    </w:p>
    <w:p w14:paraId="65782AEA" w14:textId="6D23674B" w:rsidR="00B9101B" w:rsidRPr="00532EA6" w:rsidRDefault="00B9101B" w:rsidP="00B9101B">
      <w:pPr>
        <w:pStyle w:val="Heading1"/>
        <w:numPr>
          <w:ilvl w:val="0"/>
          <w:numId w:val="1"/>
        </w:numPr>
        <w:ind w:left="360"/>
      </w:pPr>
      <w:r w:rsidRPr="00B9101B">
        <w:t>Background and Related Work</w:t>
      </w:r>
    </w:p>
    <w:p w14:paraId="2F7AB3A1" w14:textId="4FD67083" w:rsidR="00F5504F" w:rsidRDefault="00F5504F" w:rsidP="00F5504F">
      <w:pPr>
        <w:pStyle w:val="RSR"/>
      </w:pPr>
      <w:r>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1149E695" w14:textId="77777777" w:rsidR="00F5504F" w:rsidRDefault="00F5504F" w:rsidP="00F5504F">
      <w:pPr>
        <w:pStyle w:val="RSR"/>
      </w:pPr>
      <w:r>
        <w:t xml:space="preserve">Numerous blockchain simulators have been created in existing research. For example, </w:t>
      </w:r>
      <w:proofErr w:type="spellStart"/>
      <w:r>
        <w:t>SimBlock</w:t>
      </w:r>
      <w:proofErr w:type="spellEnd"/>
      <w:r>
        <w:t xml:space="preserve"> focuses on how blocks spread and how forks behave in large peer-to-peer </w:t>
      </w:r>
      <w:r>
        <w:lastRenderedPageBreak/>
        <w:t>networks. This makes it useful for studying network delays and their impact on the security of consensus mechanisms [6].</w:t>
      </w:r>
    </w:p>
    <w:p w14:paraId="6564F0DC" w14:textId="70A7250F" w:rsidR="00F5504F" w:rsidRDefault="00F5504F" w:rsidP="00F5504F">
      <w:pPr>
        <w:pStyle w:val="RSR"/>
      </w:pPr>
      <w:r>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7A7BD98B" w14:textId="77777777" w:rsidR="00F5504F" w:rsidRDefault="00F5504F" w:rsidP="00F5504F">
      <w:pPr>
        <w:pStyle w:val="RSR"/>
      </w:pPr>
      <w:proofErr w:type="spellStart"/>
      <w:r>
        <w:t>BlockSim</w:t>
      </w:r>
      <w:proofErr w:type="spellEnd"/>
      <w:r>
        <w:t xml:space="preserve">, as described by </w:t>
      </w:r>
      <w:proofErr w:type="spellStart"/>
      <w:r>
        <w:t>Alharby</w:t>
      </w:r>
      <w:proofErr w:type="spellEnd"/>
      <w:r>
        <w:t xml:space="preserve"> and van </w:t>
      </w:r>
      <w:proofErr w:type="spellStart"/>
      <w:r>
        <w:t>Moorsel</w:t>
      </w:r>
      <w:proofErr w:type="spellEnd"/>
      <w:r>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t>BlockSim's</w:t>
      </w:r>
      <w:proofErr w:type="spellEnd"/>
      <w:r>
        <w:t xml:space="preserve"> modular structure makes it particularly well-suited for extensions and experimentation, thereby positioning it as a valuable foundation for future enhancements.</w:t>
      </w:r>
    </w:p>
    <w:p w14:paraId="691EC379" w14:textId="77777777" w:rsidR="00F5504F" w:rsidRDefault="00F5504F" w:rsidP="00F5504F">
      <w:pPr>
        <w:pStyle w:val="RSR"/>
      </w:pPr>
      <w:r>
        <w:t>Despite these advancements, blockchain simulation frameworks still largely overlook energy consumption and environmental effects. Although many studies have quantified the energy use and carbon footprint of blockchain networks, particularly Bitcoin and Ethereum [2], [3], using real-world data and statistical models, these analyses are often retrospective and lack the flexibility needed for "what-if" experiments.</w:t>
      </w:r>
    </w:p>
    <w:p w14:paraId="5C3DEEAB" w14:textId="77777777" w:rsidR="00F5504F" w:rsidRDefault="00F5504F" w:rsidP="00F5504F">
      <w:pPr>
        <w:pStyle w:val="RSR"/>
      </w:pPr>
      <w:r>
        <w:t xml:space="preserve"> General-purpose simulators, like ns-3, include energy frameworks that can model power consumption in networked systems [9]; however, most blockchain-specific simulators don't have these features built-in.</w:t>
      </w:r>
    </w:p>
    <w:p w14:paraId="21C79D60" w14:textId="574597A0" w:rsidR="000D0362" w:rsidRDefault="00F5504F" w:rsidP="00F5504F">
      <w:pPr>
        <w:pStyle w:val="RSR"/>
      </w:pPr>
      <w:r>
        <w:t xml:space="preserve">Recent investigations have underscored the necessity for evaluation instruments that incorporate sustainability 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t>BlockSim</w:t>
      </w:r>
      <w:proofErr w:type="spellEnd"/>
      <w:r>
        <w:t>, with explicit modeling of energy consumption and carbon emissions, thus facilitating systematic and comparative sustainability assessments throughout the protocol design process</w:t>
      </w:r>
      <w:r w:rsidR="00B9101B">
        <w:t>.</w:t>
      </w:r>
    </w:p>
    <w:p>
      <w:pPr>
        <w:pStyle w:val="Heading2"/>
      </w:pPr>
      <w:r>
        <w:rPr>
          <w:rFonts w:ascii="Times New Roman" w:hAnsi="Times New Roman"/>
          <w:b w:val="0"/>
          <w:i w:val="0"/>
          <w:color w:val="C00000"/>
          <w:sz w:val="22"/>
        </w:rPr>
        <w:t>Energy, Permissionlessness, and Sybil Resistance</w:t>
      </w:r>
    </w:p>
    <w:p>
      <w:r>
        <w:rPr>
          <w:rFonts w:ascii="Times New Roman" w:hAnsi="Times New Roman"/>
          <w:b w:val="0"/>
          <w:i w:val="0"/>
          <w:color w:val="C00000"/>
          <w:sz w:val="22"/>
        </w:rPr>
        <w:t>The energy gap between PoW and PoS is tied to how each mechanism resists Sybil attacks in a permissionless setting. PoW achieves Sybil resistance by binding influence to an external, costly resource (computation and therefore electricity), so PoW is not “free”: its permissionlessness is purchased through continuous resource expenditure, which is precisely why its energy use is large and coupled to coin price [16], [4]. PoS instead binds influence to internal economic stake and validator participation, removing most computational waste but introducing different trust and economic assumptions [19]. Platt, Platt and McBurney formalise these tensions as a Sybil-attack vulnerability trilemma among permissionlessness, Sybil resistance, and freeness [20], and De Vries documents how Ethereum’s move to PoS illustrates a sustainability path for the wider ecosystem [21]. These distinctions motivate treating PoW and PoS as two separate energy models in the remainder of the paper.</w:t>
      </w:r>
    </w:p>
    <w:p w14:paraId="14640FCA" w14:textId="1FAA34D3" w:rsidR="00B9101B" w:rsidRPr="00532EA6" w:rsidRDefault="00B9101B" w:rsidP="00B9101B">
      <w:pPr>
        <w:pStyle w:val="Heading1"/>
        <w:numPr>
          <w:ilvl w:val="0"/>
          <w:numId w:val="1"/>
        </w:numPr>
        <w:ind w:left="360"/>
      </w:pPr>
      <w:r w:rsidRPr="00B9101B">
        <w:t>Overview of BlockSim (Alharby &amp; van Moorsel)</w:t>
      </w:r>
    </w:p>
    <w:p w14:paraId="6C96E998" w14:textId="77777777" w:rsidR="00C80214" w:rsidRDefault="00C80214" w:rsidP="00C80214">
      <w:pPr>
        <w:pStyle w:val="RSR"/>
      </w:pPr>
      <w:proofErr w:type="spellStart"/>
      <w:r>
        <w:t>BlockSim</w:t>
      </w:r>
      <w:proofErr w:type="spellEnd"/>
      <w:r>
        <w:t xml:space="preserve"> is a discrete-event simulation framework that facilitates the systematic assessment of blockchain systems by abstractly modeling their fundamental architectural layers, while also allowing for extensibility. Developed by </w:t>
      </w:r>
      <w:proofErr w:type="spellStart"/>
      <w:r>
        <w:t>Alharby</w:t>
      </w:r>
      <w:proofErr w:type="spellEnd"/>
      <w:r>
        <w:t xml:space="preserve"> and van </w:t>
      </w:r>
      <w:proofErr w:type="spellStart"/>
      <w:r>
        <w:t>Moorsel</w:t>
      </w:r>
      <w:proofErr w:type="spellEnd"/>
      <w:r>
        <w:t xml:space="preserve">, </w:t>
      </w:r>
      <w:proofErr w:type="spellStart"/>
      <w:r>
        <w:t>BlockSim</w:t>
      </w:r>
      <w:proofErr w:type="spellEnd"/>
      <w:r>
        <w:t xml:space="preserve"> was conceived to overcome the constraints inherent in analytical and empirical evaluation techniques when examining intricate blockchain design trade-offs across diverse configurations [4].</w:t>
      </w:r>
    </w:p>
    <w:p w14:paraId="494AE704" w14:textId="77777777" w:rsidR="00C80214" w:rsidRDefault="00C80214" w:rsidP="00C80214">
      <w:pPr>
        <w:pStyle w:val="RSR"/>
      </w:pPr>
      <w:r>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1D3F4DC0" w14:textId="2F605D66" w:rsidR="00C80214" w:rsidRDefault="00C80214" w:rsidP="00C80214">
      <w:pPr>
        <w:pStyle w:val="RSR"/>
      </w:pPr>
      <w:r>
        <w:t xml:space="preserve"> The consensus layer, which includes the processes of block creation, validation, and fork resolution, allows researchers to study how protocol parameters, such as block intervals and the distribution of mining power, affect the system.</w:t>
      </w:r>
    </w:p>
    <w:p w14:paraId="209689C1" w14:textId="77777777" w:rsidR="00C80214" w:rsidRDefault="00C80214" w:rsidP="00C80214">
      <w:pPr>
        <w:pStyle w:val="RSR"/>
      </w:pPr>
      <w:r>
        <w:t xml:space="preserve"> The incentive layer models economic aspects, including rewards and penalties, providing insight into miner behavior and system stability [4].</w:t>
      </w:r>
    </w:p>
    <w:p w14:paraId="4A2F8422" w14:textId="77777777" w:rsidR="00C80214" w:rsidRDefault="00C80214" w:rsidP="00C80214">
      <w:pPr>
        <w:pStyle w:val="RSR"/>
      </w:pPr>
      <w:proofErr w:type="spellStart"/>
      <w:r>
        <w:t>BlockSim</w:t>
      </w:r>
      <w:proofErr w:type="spellEnd"/>
      <w:r>
        <w:t xml:space="preserve">, constructed using Python, operates within a discrete-event framework, wherein system dynamics 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t>BlockSim's</w:t>
      </w:r>
      <w:proofErr w:type="spellEnd"/>
      <w:r>
        <w:t xml:space="preserve"> efficacy in assessing throughput, block propagation latency, and stale block frequencies across diverse blockchain architectures [4], [10].</w:t>
      </w:r>
    </w:p>
    <w:p w14:paraId="6BC32666" w14:textId="77777777" w:rsidR="00C80214" w:rsidRDefault="00C80214" w:rsidP="00C80214">
      <w:pPr>
        <w:pStyle w:val="RSR"/>
      </w:pPr>
      <w:r>
        <w:t xml:space="preserve">A significant advantage of </w:t>
      </w:r>
      <w:proofErr w:type="spellStart"/>
      <w:r>
        <w:t>BlockSim</w:t>
      </w:r>
      <w:proofErr w:type="spellEnd"/>
      <w:r>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63083B7A" w14:textId="38A50FEA" w:rsidR="000D0362" w:rsidRDefault="00C80214" w:rsidP="00C80214">
      <w:pPr>
        <w:pStyle w:val="RSR"/>
      </w:pPr>
      <w:r>
        <w:t xml:space="preserve"> </w:t>
      </w:r>
      <w:proofErr w:type="spellStart"/>
      <w:r>
        <w:t>BlockSim's</w:t>
      </w:r>
      <w:proofErr w:type="spellEnd"/>
      <w:r>
        <w:t xml:space="preserve"> design makes it particularly well-suited for "what-if" analyses and comparative studies of different protocol designs [10]. While it is versatile, </w:t>
      </w:r>
      <w:proofErr w:type="spellStart"/>
      <w:r>
        <w:t>BlockSim</w:t>
      </w:r>
      <w:proofErr w:type="spellEnd"/>
      <w:r>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t>BlockSim</w:t>
      </w:r>
      <w:proofErr w:type="spellEnd"/>
      <w:r>
        <w:t xml:space="preserve"> offers a solid foundation for extensions that include energy and carbon-aware evaluations while preserving its original architectural </w:t>
      </w:r>
      <w:proofErr w:type="gramStart"/>
      <w:r>
        <w:t>principles.</w:t>
      </w:r>
      <w:r w:rsidR="00B9101B">
        <w:t>.</w:t>
      </w:r>
      <w:proofErr w:type="gramEnd"/>
    </w:p>
    <w:p w14:paraId="77C781B9" w14:textId="61399AC2" w:rsidR="00B9101B" w:rsidRPr="00532EA6" w:rsidRDefault="00B9101B" w:rsidP="00B9101B">
      <w:pPr>
        <w:pStyle w:val="Heading1"/>
        <w:numPr>
          <w:ilvl w:val="0"/>
          <w:numId w:val="1"/>
        </w:numPr>
        <w:ind w:left="360"/>
      </w:pPr>
      <w:r w:rsidRPr="00B9101B">
        <w:t>Energy Consumption Modeling Extension</w:t>
      </w:r>
    </w:p>
    <w:p w14:paraId="512E067C" w14:textId="77777777" w:rsidR="00B9101B" w:rsidRPr="00B9101B" w:rsidRDefault="00B9101B" w:rsidP="00B9101B">
      <w:pPr>
        <w:pStyle w:val="RSR"/>
      </w:pPr>
      <w:r w:rsidRPr="00B9101B">
        <w:t xml:space="preserve">Energy consumption in blockchain systems is primarily driven by </w:t>
      </w:r>
      <w:r w:rsidRPr="007E4C18">
        <w:t xml:space="preserve">computational operations associated with consensus execution and communication activities related to block and transaction propagation. To support sustainability-oriented analysis, this work extends </w:t>
      </w:r>
      <w:proofErr w:type="spellStart"/>
      <w:r w:rsidRPr="007E4C18">
        <w:t>BlockSim</w:t>
      </w:r>
      <w:proofErr w:type="spellEnd"/>
      <w:r w:rsidRPr="007E4C18">
        <w:t xml:space="preserve"> by integrating an explicit</w:t>
      </w:r>
      <w:r w:rsidRPr="00B9101B">
        <w:t xml:space="preserve"> energy consumption model into its discrete-event simulation framework.</w:t>
      </w:r>
    </w:p>
    <w:p w14:paraId="6DBB9D7C" w14:textId="31BF7965" w:rsidR="00B9101B" w:rsidRPr="00B9101B" w:rsidRDefault="00B9101B" w:rsidP="00B9101B">
      <w:pPr>
        <w:pStyle w:val="RSR"/>
      </w:pPr>
      <w:r w:rsidRPr="00B9101B">
        <w:t>Following established practices in energy-aware modeling of distributed systems, energy usage is expressed as a function of discrete events and their associated resource costs [</w:t>
      </w:r>
      <w:r w:rsidR="00D6049E">
        <w:t>11</w:t>
      </w:r>
      <w:r w:rsidRPr="00B9101B">
        <w:t>], [</w:t>
      </w:r>
      <w:r w:rsidR="00D6049E">
        <w:t>9</w:t>
      </w:r>
      <w:r w:rsidRPr="00B9101B">
        <w:t xml:space="preserve">]. In the proposed extension, each node </w:t>
      </w:r>
      <m:oMath>
        <m:r>
          <w:rPr>
            <w:rFonts w:ascii="Cambria Math" w:hAnsi="Cambria Math"/>
          </w:rPr>
          <m:t>i</m:t>
        </m:r>
      </m:oMath>
      <w:r w:rsidR="007E4C18">
        <w:t xml:space="preserve"> </w:t>
      </w:r>
      <w:r w:rsidRPr="00B9101B">
        <w:t xml:space="preserve">maintains a cumulative energy </w:t>
      </w:r>
      <w:r w:rsidRPr="00B9101B">
        <w:lastRenderedPageBreak/>
        <w:t xml:space="preserve">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B9101B">
        <w:t>, which is incremented whenever a computation or communication event is executed.</w:t>
      </w:r>
    </w:p>
    <w:p w14:paraId="5195811A" w14:textId="77777777" w:rsidR="00B9101B" w:rsidRPr="00B9101B" w:rsidRDefault="00B9101B" w:rsidP="00B9101B">
      <w:pPr>
        <w:pStyle w:val="Heading2"/>
      </w:pPr>
      <w:r w:rsidRPr="00B9101B">
        <w:t>A. Computational Energy Model</w:t>
      </w:r>
    </w:p>
    <w:p w14:paraId="6F86A160" w14:textId="7CB4899D" w:rsidR="00B9101B" w:rsidRDefault="00B9101B" w:rsidP="00B9101B">
      <w:pPr>
        <w:pStyle w:val="RSR"/>
      </w:pPr>
      <w:r w:rsidRPr="00B9101B">
        <w:t xml:space="preserve">Computational energy consumption is modeled based on consensus-related operations such as block generation and validation. For a node </w:t>
      </w:r>
      <m:oMath>
        <m:r>
          <w:rPr>
            <w:rFonts w:ascii="Cambria Math" w:hAnsi="Cambria Math"/>
          </w:rPr>
          <m:t>i</m:t>
        </m:r>
      </m:oMath>
      <w:r w:rsidRPr="00B9101B">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59C66585" w14:textId="616FAFD8" w:rsidR="0023085E" w:rsidRDefault="0023085E" w:rsidP="0023085E">
            <w:pPr>
              <w:pStyle w:val="RSR"/>
              <w:spacing w:after="0"/>
              <w:ind w:firstLine="0"/>
              <w:jc w:val="center"/>
            </w:pPr>
            <w:r>
              <w:t>(1)</w:t>
            </w:r>
          </w:p>
        </w:tc>
      </w:tr>
    </w:tbl>
    <w:p w14:paraId="1AE9E566" w14:textId="57B6B686" w:rsidR="00B9101B" w:rsidRPr="00B9101B" w:rsidRDefault="00B9101B" w:rsidP="0023085E">
      <w:pPr>
        <w:pStyle w:val="RSR"/>
        <w:ind w:firstLine="0"/>
      </w:pPr>
    </w:p>
    <w:p w14:paraId="1A1247E8" w14:textId="4CB55338"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t xml:space="preserve"> </w:t>
      </w:r>
      <w:r w:rsidRPr="00B9101B">
        <w:t xml:space="preserve">denotes the number of computational events executed by node </w:t>
      </w:r>
      <m:oMath>
        <m:r>
          <w:rPr>
            <w:rFonts w:ascii="Cambria Math" w:hAnsi="Cambria Math"/>
          </w:rPr>
          <m:t>i</m:t>
        </m:r>
      </m:oMath>
      <w:r w:rsidRPr="00B9101B">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t xml:space="preserve"> </w:t>
      </w:r>
      <w:r w:rsidRPr="00B9101B">
        <w:t xml:space="preserve">represents the energy cost of the </w:t>
      </w:r>
      <m:oMath>
        <m:r>
          <w:rPr>
            <w:rFonts w:ascii="Cambria Math" w:hAnsi="Cambria Math"/>
          </w:rPr>
          <m:t>k</m:t>
        </m:r>
      </m:oMath>
      <w:r w:rsidRPr="00B9101B">
        <w:t>-th computational event.</w:t>
      </w:r>
    </w:p>
    <w:p w14:paraId="4A5D5E8E" w14:textId="302993C4" w:rsidR="00B9101B" w:rsidRDefault="00B9101B" w:rsidP="00B9101B">
      <w:pPr>
        <w:pStyle w:val="RSR"/>
      </w:pPr>
      <w:r w:rsidRPr="00B9101B">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B9101B">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7668EE57" w14:textId="77777777" w:rsidTr="00973390">
        <w:tc>
          <w:tcPr>
            <w:tcW w:w="3964" w:type="dxa"/>
            <w:vAlign w:val="center"/>
          </w:tcPr>
          <w:p w14:paraId="4C01FBA5" w14:textId="5E5A726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031FCF86" w14:textId="1AA9C630" w:rsidR="0023085E" w:rsidRDefault="0023085E" w:rsidP="00973390">
            <w:pPr>
              <w:pStyle w:val="RSR"/>
              <w:spacing w:after="0"/>
              <w:ind w:firstLine="0"/>
              <w:jc w:val="center"/>
            </w:pPr>
            <w:r>
              <w:t>(2)</w:t>
            </w:r>
          </w:p>
        </w:tc>
      </w:tr>
    </w:tbl>
    <w:p w14:paraId="075FBB35" w14:textId="77777777" w:rsidR="0023085E" w:rsidRPr="00B9101B" w:rsidRDefault="0023085E" w:rsidP="0023085E">
      <w:pPr>
        <w:pStyle w:val="RSR"/>
        <w:ind w:firstLine="0"/>
      </w:pPr>
    </w:p>
    <w:p w14:paraId="7C20A6A0" w14:textId="459CFCF1" w:rsidR="00B9101B" w:rsidRPr="00B9101B" w:rsidRDefault="00B9101B" w:rsidP="00B9101B">
      <w:pPr>
        <w:pStyle w:val="RSR"/>
      </w:pPr>
      <w:r w:rsidRPr="00B9101B">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t xml:space="preserve"> </w:t>
      </w:r>
      <w:r w:rsidRPr="00B9101B">
        <w:t xml:space="preserve">is the number of hash computations performed by node </w:t>
      </w:r>
      <m:oMath>
        <m:r>
          <w:rPr>
            <w:rFonts w:ascii="Cambria Math" w:hAnsi="Cambria Math"/>
          </w:rPr>
          <m:t>i</m:t>
        </m:r>
      </m:oMath>
      <w:r w:rsidRPr="00B9101B">
        <w:t xml:space="preserve">, and </w:t>
      </w:r>
      <m:oMath>
        <m:r>
          <w:rPr>
            <w:rFonts w:ascii="Cambria Math" w:hAnsi="Cambria Math"/>
          </w:rPr>
          <m:t>α</m:t>
        </m:r>
      </m:oMath>
      <w:r w:rsidR="007E4C18">
        <w:t xml:space="preserve"> </w:t>
      </w:r>
      <w:r w:rsidRPr="00B9101B">
        <w:t>is the energy cost per hash operation, consistent with prior empirical analyses of blockchain energy usage [</w:t>
      </w:r>
      <w:r w:rsidR="009B5EE1">
        <w:t>2</w:t>
      </w:r>
      <w:r w:rsidRPr="00B9101B">
        <w:t>]. For less computation-intensive consensus mechanisms, fixed or lower per-event energy coefficients are applied, reflecting reduced processing requirements [</w:t>
      </w:r>
      <w:r w:rsidR="00D6049E">
        <w:t>12</w:t>
      </w:r>
      <w:r w:rsidRPr="00B9101B">
        <w:t>].</w:t>
      </w:r>
    </w:p>
    <w:p w14:paraId="0BA5549E" w14:textId="77777777" w:rsidR="00B9101B" w:rsidRPr="00B9101B" w:rsidRDefault="00B9101B" w:rsidP="00B9101B">
      <w:pPr>
        <w:pStyle w:val="Heading2"/>
      </w:pPr>
      <w:r w:rsidRPr="00B9101B">
        <w:t>B. Communication Energy Model</w:t>
      </w:r>
    </w:p>
    <w:p w14:paraId="60ABFB0D" w14:textId="32A090E1" w:rsidR="00B9101B" w:rsidRDefault="00B9101B" w:rsidP="00B9101B">
      <w:pPr>
        <w:pStyle w:val="RSR"/>
      </w:pPr>
      <w:r w:rsidRPr="00B9101B">
        <w:t xml:space="preserve">Communication energy consumption accounts for message transmission and reception events in the network layer. The communication energy for node </w:t>
      </w:r>
      <m:oMath>
        <m:r>
          <w:rPr>
            <w:rFonts w:ascii="Cambria Math" w:hAnsi="Cambria Math"/>
          </w:rPr>
          <m:t>i</m:t>
        </m:r>
      </m:oMath>
      <w:r w:rsidR="007E4C18">
        <w:t xml:space="preserve"> </w:t>
      </w:r>
      <w:r w:rsidRPr="00B9101B">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13EB72D" w14:textId="77777777" w:rsidTr="00973390">
        <w:tc>
          <w:tcPr>
            <w:tcW w:w="3964" w:type="dxa"/>
            <w:vAlign w:val="center"/>
          </w:tcPr>
          <w:p w14:paraId="161BD395" w14:textId="67D3D5AA" w:rsidR="0023085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4490C768" w14:textId="0033DDE2" w:rsidR="0023085E" w:rsidRDefault="0023085E" w:rsidP="00973390">
            <w:pPr>
              <w:pStyle w:val="RSR"/>
              <w:spacing w:after="0"/>
              <w:ind w:firstLine="0"/>
              <w:jc w:val="center"/>
            </w:pPr>
            <w:r>
              <w:t>(3)</w:t>
            </w:r>
          </w:p>
        </w:tc>
      </w:tr>
    </w:tbl>
    <w:p w14:paraId="6920459F" w14:textId="77777777" w:rsidR="0023085E" w:rsidRPr="00B9101B" w:rsidRDefault="0023085E" w:rsidP="0023085E">
      <w:pPr>
        <w:pStyle w:val="RSR"/>
        <w:ind w:firstLine="0"/>
      </w:pPr>
    </w:p>
    <w:p w14:paraId="40CB10C4" w14:textId="6450501D" w:rsidR="00B9101B" w:rsidRPr="00B9101B" w:rsidRDefault="00B9101B" w:rsidP="00B9101B">
      <w:pPr>
        <w:pStyle w:val="RSR"/>
      </w:pPr>
    </w:p>
    <w:p w14:paraId="494F1063" w14:textId="365213BE"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t xml:space="preserve"> </w:t>
      </w:r>
      <w:r w:rsidRPr="00B9101B">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t xml:space="preserve"> </w:t>
      </w:r>
      <w:r w:rsidRPr="00B9101B">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B9101B">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t xml:space="preserve"> </w:t>
      </w:r>
      <w:r w:rsidRPr="00B9101B">
        <w:t>denote the energy costs of transmission and reception. This formulation aligns with packet-level energy models commonly used in network simulators such as ns-3 [</w:t>
      </w:r>
      <w:r w:rsidR="00D6049E">
        <w:t>9</w:t>
      </w:r>
      <w:r w:rsidRPr="00B9101B">
        <w:t>].</w:t>
      </w:r>
    </w:p>
    <w:p>
      <w:r>
        <w:rPr>
          <w:rFonts w:ascii="Times New Roman" w:hAnsi="Times New Roman"/>
          <w:b w:val="0"/>
          <w:i w:val="0"/>
          <w:color w:val="C00000"/>
          <w:sz w:val="22"/>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9346FFE" w14:textId="77777777" w:rsidR="00B9101B" w:rsidRPr="00B9101B" w:rsidRDefault="00B9101B" w:rsidP="00B9101B">
      <w:pPr>
        <w:pStyle w:val="Heading2"/>
      </w:pPr>
      <w:r w:rsidRPr="00B9101B">
        <w:t>C. Total Energy Consumption</w:t>
      </w:r>
    </w:p>
    <w:p w14:paraId="6BB94ECB" w14:textId="77777777" w:rsidR="00B9101B" w:rsidRDefault="00B9101B" w:rsidP="00B9101B">
      <w:pPr>
        <w:pStyle w:val="RSR"/>
      </w:pPr>
      <w:r w:rsidRPr="00B9101B">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5B5252D5" w14:textId="77777777" w:rsidTr="00973390">
        <w:tc>
          <w:tcPr>
            <w:tcW w:w="3964" w:type="dxa"/>
            <w:vAlign w:val="center"/>
          </w:tcPr>
          <w:p w14:paraId="3EFC7EA2" w14:textId="1E9F0DF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7792F1C7" w14:textId="1222BBB1" w:rsidR="0023085E" w:rsidRDefault="0023085E" w:rsidP="00973390">
            <w:pPr>
              <w:pStyle w:val="RSR"/>
              <w:spacing w:after="0"/>
              <w:ind w:firstLine="0"/>
              <w:jc w:val="center"/>
            </w:pPr>
            <w:r>
              <w:t>(4)</w:t>
            </w:r>
          </w:p>
        </w:tc>
      </w:tr>
    </w:tbl>
    <w:p w14:paraId="3F10B4C3" w14:textId="36BBA995" w:rsidR="00B9101B" w:rsidRPr="00B9101B" w:rsidRDefault="00B9101B" w:rsidP="00B9101B">
      <w:pPr>
        <w:pStyle w:val="RSR"/>
      </w:pPr>
    </w:p>
    <w:p w14:paraId="47237822" w14:textId="6CDDF54E" w:rsidR="000D0362" w:rsidRDefault="00B9101B" w:rsidP="007114E1">
      <w:pPr>
        <w:pStyle w:val="RSR"/>
      </w:pPr>
      <w:r w:rsidRPr="00B9101B">
        <w:t xml:space="preserve">This integrated energy model enables </w:t>
      </w:r>
      <w:proofErr w:type="spellStart"/>
      <w:r w:rsidRPr="00B9101B">
        <w:t>BlockSim</w:t>
      </w:r>
      <w:proofErr w:type="spellEnd"/>
      <w:r w:rsidRPr="00B9101B">
        <w:t xml:space="preserve"> to quantify energy usage per block, per transaction, and per simulation run, forming a foundation for subsequent carbon footprint analysis.</w:t>
      </w:r>
    </w:p>
    <w:p>
      <w:pPr>
        <w:pStyle w:val="Heading2"/>
      </w:pPr>
      <w:r>
        <w:rPr>
          <w:rFonts w:ascii="Times New Roman" w:hAnsi="Times New Roman"/>
          <w:b w:val="0"/>
          <w:i w:val="0"/>
          <w:color w:val="C00000"/>
          <w:sz w:val="22"/>
        </w:rPr>
        <w:t>D. Proof-of-Work Economic Energy Model</w:t>
      </w:r>
    </w:p>
    <w:p>
      <w:r>
        <w:rPr>
          <w:rFonts w:ascii="Times New Roman" w:hAnsi="Times New Roman"/>
          <w:color w:val="C00000"/>
          <w:sz w:val="22"/>
        </w:rPr>
        <w:t xml:space="preserve">Because PoW energy is bounded by mining economics, we add an economic model. The expected per-block reward in fiat is given by Eq. (8), where </w:t>
      </w:r>
      <m:oMath>
        <m:sSub>
          <m:e>
            <m:r>
              <m:rPr>
                <m:sty m:val="i"/>
              </m:rPr>
              <w:rPr>
                <w:color w:val="C00000"/>
              </w:rPr>
              <m:t xml:space="preserve">B</m:t>
            </m:r>
          </m:e>
          <m:sub>
            <m:r>
              <m:rPr>
                <m:sty m:val="i"/>
              </m:rPr>
              <w:rPr>
                <w:color w:val="C00000"/>
              </w:rPr>
              <m:t xml:space="preserve">t</m:t>
            </m:r>
          </m:sub>
        </m:sSub>
      </m:oMath>
      <w:r>
        <w:rPr>
          <w:rFonts w:ascii="Times New Roman" w:hAnsi="Times New Roman"/>
          <w:color w:val="C00000"/>
          <w:sz w:val="22"/>
        </w:rPr>
        <w:t xml:space="preserve"> is the block subsidy, </w:t>
      </w:r>
      <m:oMath>
        <m:sSub>
          <m:e>
            <m:r>
              <m:rPr>
                <m:sty m:val="i"/>
              </m:rPr>
              <w:rPr>
                <w:color w:val="C00000"/>
              </w:rPr>
              <m:t xml:space="preserve">F</m:t>
            </m:r>
          </m:e>
          <m:sub>
            <m:r>
              <m:rPr>
                <m:sty m:val="i"/>
              </m:rPr>
              <w:rPr>
                <w:color w:val="C00000"/>
              </w:rPr>
              <m:t xml:space="preserve">t</m:t>
            </m:r>
          </m:sub>
        </m:sSub>
      </m:oMath>
      <w:r>
        <w:rPr>
          <w:rFonts w:ascii="Times New Roman" w:hAnsi="Times New Roman"/>
          <w:color w:val="C00000"/>
          <w:sz w:val="22"/>
        </w:rPr>
        <w:t xml:space="preserve"> the transaction fees, and </w:t>
      </w:r>
      <m:oMath>
        <m:sSub>
          <m:e>
            <m:r>
              <m:rPr>
                <m:sty m:val="i"/>
              </m:rPr>
              <w:rPr>
                <w:color w:val="C00000"/>
              </w:rPr>
              <m:t xml:space="preserve">P</m:t>
            </m:r>
          </m:e>
          <m:sub>
            <m:r>
              <m:rPr>
                <m:sty m:val="i"/>
              </m:rPr>
              <w:rPr>
                <w:color w:val="C00000"/>
              </w:rPr>
              <m:t xml:space="preserve">t</m:t>
            </m:r>
          </m:sub>
        </m:sSub>
      </m:oMath>
      <w:r>
        <w:rPr>
          <w:rFonts w:ascii="Times New Roman" w:hAnsi="Times New Roman"/>
          <w:color w:val="C00000"/>
          <w:sz w:val="22"/>
        </w:rPr>
        <w:t xml:space="preserve"> the coin price. A rational mining market spends a fraction </w:t>
      </w:r>
      <m:oMath>
        <m:r>
          <m:rPr>
            <m:sty m:val="i"/>
          </m:rPr>
          <w:rPr>
            <w:color w:val="C00000"/>
          </w:rPr>
          <m:t xml:space="preserve">κ</m:t>
        </m:r>
      </m:oMath>
      <w:r>
        <w:rPr>
          <w:rFonts w:ascii="Times New Roman" w:hAnsi="Times New Roman"/>
          <w:color w:val="C00000"/>
          <w:sz w:val="22"/>
        </w:rPr>
        <w:t xml:space="preserve"> ∈ [0,1] of this reward on electricity, giving the economic energy budget per block in Eq. (9), where </w:t>
      </w:r>
      <m:oMath>
        <m:sSub>
          <m:e>
            <m:r>
              <m:rPr>
                <m:sty m:val="i"/>
              </m:rPr>
              <w:rPr>
                <w:color w:val="C00000"/>
              </w:rPr>
              <m:t xml:space="preserve">C</m:t>
            </m:r>
          </m:e>
          <m:sub>
            <m:r>
              <m:rPr>
                <m:sty m:val="p"/>
              </m:rPr>
              <w:rPr>
                <w:color w:val="C00000"/>
              </w:rPr>
              <m:t xml:space="preserve">elec,</m:t>
            </m:r>
            <m:r>
              <m:rPr>
                <m:sty m:val="i"/>
              </m:rPr>
              <w:rPr>
                <w:color w:val="C00000"/>
              </w:rPr>
              <m:t xml:space="preserve">t</m:t>
            </m:r>
          </m:sub>
        </m:sSub>
      </m:oMath>
      <w:r>
        <w:rPr>
          <w:rFonts w:ascii="Times New Roman" w:hAnsi="Times New Roman"/>
          <w:color w:val="C00000"/>
          <w:sz w:val="22"/>
        </w:rPr>
        <w:t xml:space="preserve"> is the electricity price per kWh. When hardware data are available, a technical bound </w:t>
      </w:r>
      <m:oMath>
        <m:sSub>
          <m:e>
            <m:r>
              <m:rPr>
                <m:sty m:val="i"/>
              </m:rPr>
              <w:rPr>
                <w:color w:val="C00000"/>
              </w:rPr>
              <m:t xml:space="preserve">E</m:t>
            </m:r>
          </m:e>
          <m:sub>
            <m:r>
              <m:rPr>
                <m:sty m:val="p"/>
              </m:rPr>
              <w:rPr>
                <w:color w:val="C00000"/>
              </w:rPr>
              <m:t xml:space="preserve">technical</m:t>
            </m:r>
          </m:sub>
        </m:sSub>
        <m:r>
          <m:rPr>
            <m:sty m:val="p"/>
          </m:rPr>
          <w:rPr>
            <w:color w:val="C00000"/>
          </w:rPr>
          <m:t xml:space="preserve">=</m:t>
        </m:r>
        <m:sSub>
          <m:e>
            <m:r>
              <m:rPr>
                <m:sty m:val="i"/>
              </m:rPr>
              <w:rPr>
                <w:color w:val="C00000"/>
              </w:rPr>
              <m:t xml:space="preserve">H</m:t>
            </m:r>
          </m:e>
          <m:sub>
            <m:r>
              <m:rPr>
                <m:sty m:val="p"/>
              </m:rPr>
              <w:rPr>
                <w:color w:val="C00000"/>
              </w:rPr>
              <m:t xml:space="preserve">block</m:t>
            </m:r>
          </m:sub>
        </m:sSub>
        <m:r>
          <m:rPr>
            <m:sty m:val="p"/>
          </m:rPr>
          <w:rPr>
            <w:color w:val="C00000"/>
          </w:rPr>
          <m:t xml:space="preserve">·</m:t>
        </m:r>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2"/>
        </w:rPr>
        <w:t xml:space="preserve"> is derived from the expected hashes per block (</w:t>
      </w:r>
      <m:oMath>
        <m:sSub>
          <m:e>
            <m:r>
              <m:rPr>
                <m:sty m:val="i"/>
              </m:rPr>
              <w:rPr>
                <w:color w:val="C00000"/>
              </w:rPr>
              <m:t xml:space="preserve">H</m:t>
            </m:r>
          </m:e>
          <m:sub>
            <m:r>
              <m:rPr>
                <m:sty m:val="p"/>
              </m:rPr>
              <w:rPr>
                <w:color w:val="C00000"/>
              </w:rPr>
              <m:t xml:space="preserve">block</m:t>
            </m:r>
          </m:sub>
        </m:sSub>
        <m:r>
          <m:rPr>
            <m:sty m:val="p"/>
          </m:rPr>
          <w:rPr>
            <w:color w:val="C00000"/>
          </w:rPr>
          <m:t xml:space="preserve">=</m:t>
        </m:r>
        <m:r>
          <m:rPr>
            <m:sty m:val="i"/>
          </m:rPr>
          <w:rPr>
            <w:color w:val="C00000"/>
          </w:rPr>
          <m:t xml:space="preserve">D</m:t>
        </m:r>
        <m:r>
          <m:rPr>
            <m:sty m:val="p"/>
          </m:rPr>
          <w:rPr>
            <w:color w:val="C00000"/>
          </w:rPr>
          <m:t xml:space="preserve">·</m:t>
        </m:r>
        <m:sSup>
          <m:e>
            <m:r>
              <m:rPr>
                <m:sty m:val="p"/>
              </m:rPr>
              <w:rPr>
                <w:color w:val="C00000"/>
              </w:rPr>
              <m:t xml:space="preserve">2</m:t>
            </m:r>
          </m:e>
          <m:sup>
            <m:r>
              <m:rPr>
                <m:sty m:val="p"/>
              </m:rPr>
              <w:rPr>
                <w:color w:val="C00000"/>
              </w:rPr>
              <m:t xml:space="preserve">32</m:t>
            </m:r>
          </m:sup>
        </m:sSup>
      </m:oMath>
      <w:r>
        <w:rPr>
          <w:rFonts w:ascii="Times New Roman" w:hAnsi="Times New Roman"/>
          <w:color w:val="C00000"/>
          <w:sz w:val="22"/>
        </w:rPr>
        <w:t xml:space="preserve">) and the per-hash efficiency </w:t>
      </w:r>
      <m:oMath>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2"/>
        </w:rPr>
        <w:t xml:space="preserve">, and the network per-block energy is </w:t>
      </w:r>
      <m:oMath>
        <m:sSub>
          <m:e>
            <m:r>
              <m:rPr>
                <m:sty m:val="i"/>
              </m:rPr>
              <w:rPr>
                <w:color w:val="C00000"/>
              </w:rPr>
              <m:t xml:space="preserve">E</m:t>
            </m:r>
          </m:e>
          <m:sub>
            <m:r>
              <m:rPr>
                <m:sty m:val="p"/>
              </m:rPr>
              <w:rPr>
                <w:color w:val="C00000"/>
              </w:rPr>
              <m:t xml:space="preserve">PoW,</m:t>
            </m:r>
            <m:r>
              <m:rPr>
                <m:sty m:val="i"/>
              </m:rPr>
              <w:rPr>
                <w:color w:val="C00000"/>
              </w:rPr>
              <m:t xml:space="preserve">t</m:t>
            </m:r>
          </m:sub>
        </m:sSub>
        <m:r>
          <m:rPr>
            <m:sty m:val="p"/>
          </m:rPr>
          <w:rPr>
            <w:color w:val="C00000"/>
          </w:rPr>
          <m:t xml:space="preserve">=</m:t>
        </m:r>
        <m:r>
          <m:rPr>
            <m:sty m:val="p"/>
          </m:rPr>
          <w:rPr>
            <w:color w:val="C00000"/>
          </w:rPr>
          <m:t xml:space="preserve">min</m:t>
        </m:r>
        <m:d>
          <m:e>
            <m:sSub>
              <m:e>
                <m:r>
                  <m:rPr>
                    <m:sty m:val="i"/>
                  </m:rPr>
                  <w:rPr>
                    <w:color w:val="C00000"/>
                  </w:rPr>
                  <m:t xml:space="preserve">E</m:t>
                </m:r>
              </m:e>
              <m:sub>
                <m:r>
                  <m:rPr>
                    <m:sty m:val="p"/>
                  </m:rPr>
                  <w:rPr>
                    <w:color w:val="C00000"/>
                  </w:rPr>
                  <m:t xml:space="preserve">technical</m:t>
                </m:r>
              </m:sub>
            </m:sSub>
            <m:r>
              <m:rPr>
                <m:sty m:val="p"/>
              </m:rPr>
              <w:rPr>
                <w:color w:val="C00000"/>
              </w:rPr>
              <m:t xml:space="preserve">, </m:t>
            </m:r>
            <m:sSub>
              <m:e>
                <m:r>
                  <m:rPr>
                    <m:sty m:val="i"/>
                  </m:rPr>
                  <w:rPr>
                    <w:color w:val="C00000"/>
                  </w:rPr>
                  <m:t xml:space="preserve">E</m:t>
                </m:r>
              </m:e>
              <m:sub>
                <m:r>
                  <m:rPr>
                    <m:sty m:val="p"/>
                  </m:rPr>
                  <w:rPr>
                    <w:color w:val="C00000"/>
                  </w:rPr>
                  <m:t xml:space="preserve">budget,</m:t>
                </m:r>
                <m:r>
                  <m:rPr>
                    <m:sty m:val="i"/>
                  </m:rPr>
                  <w:rPr>
                    <w:color w:val="C00000"/>
                  </w:rPr>
                  <m:t xml:space="preserve">t</m:t>
                </m:r>
              </m:sub>
            </m:sSub>
          </m:e>
        </m:d>
      </m:oMath>
      <w:r>
        <w:rPr>
          <w:rFonts w:ascii="Times New Roman" w:hAnsi="Times New Roman"/>
          <w:color w:val="C00000"/>
          <w:sz w:val="22"/>
        </w:rPr>
        <w:t xml:space="preserve">. The miner-level allocation by hashpower share </w:t>
      </w:r>
      <m:oMath>
        <m:sSub>
          <m:e>
            <m:r>
              <m:rPr>
                <m:sty m:val="i"/>
              </m:rPr>
              <w:rPr>
                <w:color w:val="C00000"/>
              </w:rPr>
              <m:t xml:space="preserve">s</m:t>
            </m:r>
          </m:e>
          <m:sub>
            <m:r>
              <m:rPr>
                <m:sty m:val="i"/>
              </m:rPr>
              <w:rPr>
                <w:color w:val="C00000"/>
              </w:rPr>
              <m:t xml:space="preserve">i,t</m:t>
            </m:r>
          </m:sub>
        </m:sSub>
      </m:oMath>
      <w:r>
        <w:rPr>
          <w:rFonts w:ascii="Times New Roman" w:hAnsi="Times New Roman"/>
          <w:color w:val="C00000"/>
          <w:sz w:val="22"/>
        </w:rPr>
        <w:t xml:space="preserve"> is given by Eq. (10). Thus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R</m:t>
                    </m:r>
                  </m:e>
                  <m:sub>
                    <m:r>
                      <m:rPr>
                        <m:sty m:val="i"/>
                      </m:rPr>
                      <w:rPr>
                        <w:color w:val="C00000"/>
                      </w:rPr>
                      <m:t xml:space="preserve">t</m:t>
                    </m:r>
                  </m:sub>
                </m:sSub>
                <m:r>
                  <m:rPr>
                    <m:sty m:val="p"/>
                  </m:rPr>
                  <w:rPr>
                    <w:color w:val="C00000"/>
                  </w:rPr>
                  <m:t xml:space="preserve">=</m:t>
                </m:r>
                <m:d>
                  <m:e>
                    <m:sSub>
                      <m:e>
                        <m:r>
                          <m:rPr>
                            <m:sty m:val="i"/>
                          </m:rPr>
                          <w:rPr>
                            <w:color w:val="C00000"/>
                          </w:rPr>
                          <m:t xml:space="preserve">B</m:t>
                        </m:r>
                      </m:e>
                      <m:sub>
                        <m:r>
                          <m:rPr>
                            <m:sty m:val="i"/>
                          </m:rPr>
                          <w:rPr>
                            <w:color w:val="C00000"/>
                          </w:rPr>
                          <m:t xml:space="preserve">t</m:t>
                        </m:r>
                      </m:sub>
                    </m:sSub>
                    <m:r>
                      <m:rPr>
                        <m:sty m:val="p"/>
                      </m:rPr>
                      <w:rPr>
                        <w:color w:val="C00000"/>
                      </w:rPr>
                      <m:t xml:space="preserve">+</m:t>
                    </m:r>
                    <m:sSub>
                      <m:e>
                        <m:r>
                          <m:rPr>
                            <m:sty m:val="i"/>
                          </m:rPr>
                          <w:rPr>
                            <w:color w:val="C00000"/>
                          </w:rPr>
                          <m:t xml:space="preserve">F</m:t>
                        </m:r>
                      </m:e>
                      <m:sub>
                        <m:r>
                          <m:rPr>
                            <m:sty m:val="i"/>
                          </m:rPr>
                          <w:rPr>
                            <w:color w:val="C00000"/>
                          </w:rPr>
                          <m:t xml:space="preserve">t</m:t>
                        </m:r>
                      </m:sub>
                    </m:sSub>
                  </m:e>
                </m:d>
                <m:r>
                  <m:rPr>
                    <m:sty m:val="p"/>
                  </m:rPr>
                  <w:rPr>
                    <w:color w:val="C00000"/>
                  </w:rPr>
                  <m:t xml:space="preserve">·</m:t>
                </m:r>
                <m:sSub>
                  <m:e>
                    <m:r>
                      <m:rPr>
                        <m:sty m:val="i"/>
                      </m:rPr>
                      <w:rPr>
                        <w:color w:val="C00000"/>
                      </w:rPr>
                      <m:t xml:space="preserve">P</m:t>
                    </m:r>
                  </m:e>
                  <m:sub>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(8)</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budget,</m:t>
                    </m:r>
                    <m:r>
                      <m:rPr>
                        <m:sty m:val="i"/>
                      </m:rPr>
                      <w:rPr>
                        <w:color w:val="C00000"/>
                      </w:rPr>
                      <m:t xml:space="preserve">t</m:t>
                    </m:r>
                  </m:sub>
                </m:sSub>
                <m:r>
                  <m:rPr>
                    <m:sty m:val="p"/>
                  </m:rPr>
                  <w:rPr>
                    <w:color w:val="C00000"/>
                  </w:rPr>
                  <m:t xml:space="preserve">=</m:t>
                </m:r>
                <m:f>
                  <m:num>
                    <m:r>
                      <m:rPr>
                        <m:sty m:val="i"/>
                      </m:rPr>
                      <w:rPr>
                        <w:color w:val="C00000"/>
                      </w:rPr>
                      <m:t xml:space="preserve">κ</m:t>
                    </m:r>
                    <m:r>
                      <m:rPr>
                        <m:sty m:val="p"/>
                      </m:rPr>
                      <w:rPr>
                        <w:color w:val="C00000"/>
                      </w:rPr>
                      <m:t xml:space="preserve">·</m:t>
                    </m:r>
                    <m:sSub>
                      <m:e>
                        <m:r>
                          <m:rPr>
                            <m:sty m:val="i"/>
                          </m:rPr>
                          <w:rPr>
                            <w:color w:val="C00000"/>
                          </w:rPr>
                          <m:t xml:space="preserve">R</m:t>
                        </m:r>
                      </m:e>
                      <m:sub>
                        <m:r>
                          <m:rPr>
                            <m:sty m:val="i"/>
                          </m:rPr>
                          <w:rPr>
                            <w:color w:val="C00000"/>
                          </w:rPr>
                          <m:t xml:space="preserve">t</m:t>
                        </m:r>
                      </m:sub>
                    </m:sSub>
                  </m:num>
                  <m:den>
                    <m:sSub>
                      <m:e>
                        <m:r>
                          <m:rPr>
                            <m:sty m:val="i"/>
                          </m:rPr>
                          <w:rPr>
                            <w:color w:val="C00000"/>
                          </w:rPr>
                          <m:t xml:space="preserve">C</m:t>
                        </m:r>
                      </m:e>
                      <m:sub>
                        <m:r>
                          <m:rPr>
                            <m:sty m:val="p"/>
                          </m:rPr>
                          <w:rPr>
                            <w:color w:val="C00000"/>
                          </w:rPr>
                          <m:t xml:space="preserve">elec,</m:t>
                        </m:r>
                        <m:r>
                          <m:rPr>
                            <m:sty m:val="i"/>
                          </m:rPr>
                          <w:rPr>
                            <w:color w:val="C00000"/>
                          </w:rPr>
                          <m:t xml:space="preserve">t</m:t>
                        </m:r>
                      </m:sub>
                    </m:sSub>
                  </m:den>
                </m:f>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(9)</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i"/>
                      </m:rPr>
                      <w:rPr>
                        <w:color w:val="C00000"/>
                      </w:rPr>
                      <m:t xml:space="preserve">i,t</m:t>
                    </m:r>
                  </m:sub>
                </m:sSub>
                <m:r>
                  <m:rPr>
                    <m:sty m:val="p"/>
                  </m:rPr>
                  <w:rPr>
                    <w:color w:val="C00000"/>
                  </w:rPr>
                  <m:t xml:space="preserve">=</m:t>
                </m:r>
                <m:sSub>
                  <m:e>
                    <m:r>
                      <m:rPr>
                        <m:sty m:val="i"/>
                      </m:rPr>
                      <w:rPr>
                        <w:color w:val="C00000"/>
                      </w:rPr>
                      <m:t xml:space="preserve">s</m:t>
                    </m:r>
                  </m:e>
                  <m:sub>
                    <m:r>
                      <m:rPr>
                        <m:sty m:val="i"/>
                      </m:rPr>
                      <w:rPr>
                        <w:color w:val="C00000"/>
                      </w:rPr>
                      <m:t xml:space="preserve">i,t</m:t>
                    </m:r>
                  </m:sub>
                </m:sSub>
                <m:r>
                  <m:rPr>
                    <m:sty m:val="p"/>
                  </m:rPr>
                  <w:rPr>
                    <w:color w:val="C00000"/>
                  </w:rPr>
                  <m:t xml:space="preserve">·</m:t>
                </m:r>
                <m:sSub>
                  <m:e>
                    <m:r>
                      <m:rPr>
                        <m:sty m:val="i"/>
                      </m:rPr>
                      <w:rPr>
                        <w:color w:val="C00000"/>
                      </w:rPr>
                      <m:t xml:space="preserve">E</m:t>
                    </m:r>
                  </m:e>
                  <m:sub>
                    <m:r>
                      <m:rPr>
                        <m:sty m:val="p"/>
                      </m:rPr>
                      <w:rPr>
                        <w:color w:val="C00000"/>
                      </w:rPr>
                      <m:t xml:space="preserve">PoW,</m:t>
                    </m:r>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(10)</w:t>
            </w:r>
          </w:p>
        </w:tc>
      </w:tr>
    </w:tbl>
    <w:p/>
    <w:p>
      <w:pPr>
        <w:pStyle w:val="Heading2"/>
      </w:pPr>
      <w:r>
        <w:rPr>
          <w:rFonts w:ascii="Times New Roman" w:hAnsi="Times New Roman"/>
          <w:b w:val="0"/>
          <w:i w:val="0"/>
          <w:color w:val="C00000"/>
          <w:sz w:val="22"/>
        </w:rPr>
        <w:t>E. Proof-of-Stake Validator Energy Model</w:t>
      </w:r>
    </w:p>
    <w:p>
      <w:r>
        <w:rPr>
          <w:rFonts w:ascii="Times New Roman" w:hAnsi="Times New Roman"/>
          <w:color w:val="C00000"/>
          <w:sz w:val="22"/>
        </w:rPr>
        <w:t xml:space="preserve">For PoS we add a validator-count model: the network energy is given by Eq. (11), where </w:t>
      </w:r>
      <m:oMath>
        <m:sSub>
          <m:e>
            <m:r>
              <m:rPr>
                <m:sty m:val="i"/>
              </m:rPr>
              <w:rPr>
                <w:color w:val="C00000"/>
              </w:rPr>
              <m:t xml:space="preserve">P</m:t>
            </m:r>
          </m:e>
          <m:sub>
            <m:r>
              <m:rPr>
                <m:sty m:val="i"/>
              </m:rPr>
              <w:rPr>
                <w:color w:val="C00000"/>
              </w:rPr>
              <m:t xml:space="preserve">v</m:t>
            </m:r>
          </m:sub>
        </m:sSub>
      </m:oMath>
      <w:r>
        <w:rPr>
          <w:rFonts w:ascii="Times New Roman" w:hAnsi="Times New Roman"/>
          <w:color w:val="C00000"/>
          <w:sz w:val="22"/>
        </w:rPr>
        <w:t xml:space="preserve"> is per-validator power (W), </w:t>
      </w:r>
      <m:oMath>
        <m:r>
          <m:rPr>
            <m:sty m:val="i"/>
          </m:rPr>
          <w:rPr>
            <w:color w:val="C00000"/>
          </w:rPr>
          <m:t xml:space="preserve">T</m:t>
        </m:r>
      </m:oMath>
      <w:r>
        <w:rPr>
          <w:rFonts w:ascii="Times New Roman" w:hAnsi="Times New Roman"/>
          <w:color w:val="C00000"/>
          <w:sz w:val="22"/>
        </w:rPr>
        <w:t xml:space="preserve"> the horizon (h), </w:t>
      </w:r>
      <m:oMath>
        <m:sSub>
          <m:e>
            <m:r>
              <m:rPr>
                <m:sty m:val="i"/>
              </m:rPr>
              <w:rPr>
                <w:color w:val="C00000"/>
              </w:rPr>
              <m:t xml:space="preserve">u</m:t>
            </m:r>
          </m:e>
          <m:sub>
            <m:r>
              <m:rPr>
                <m:sty m:val="i"/>
              </m:rPr>
              <w:rPr>
                <w:color w:val="C00000"/>
              </w:rPr>
              <m:t xml:space="preserve">v</m:t>
            </m:r>
          </m:sub>
        </m:sSub>
      </m:oMath>
      <w:r>
        <w:rPr>
          <w:rFonts w:ascii="Times New Roman" w:hAnsi="Times New Roman"/>
          <w:color w:val="C00000"/>
          <w:sz w:val="22"/>
        </w:rPr>
        <w:t xml:space="preserve"> ∈ [0,1] the uptime, </w:t>
      </w:r>
      <m:oMath>
        <m:r>
          <m:rPr>
            <m:sty m:val="i"/>
          </m:rPr>
          <w:rPr>
            <w:color w:val="C00000"/>
          </w:rPr>
          <m:t xml:space="preserve">V</m:t>
        </m:r>
      </m:oMath>
      <w:r>
        <w:rPr>
          <w:rFonts w:ascii="Times New Roman" w:hAnsi="Times New Roman"/>
          <w:color w:val="C00000"/>
          <w:sz w:val="22"/>
        </w:rPr>
        <w:t xml:space="preserve"> the number of validators, and </w:t>
      </w:r>
      <m:oMath>
        <m:sSub>
          <m:e>
            <m:r>
              <m:rPr>
                <m:sty m:val="i"/>
              </m:rPr>
              <w:rPr>
                <w:color w:val="C00000"/>
              </w:rPr>
              <m:t xml:space="preserve">E</m:t>
            </m:r>
          </m:e>
          <m:sub>
            <m:r>
              <m:rPr>
                <m:sty m:val="p"/>
              </m:rPr>
              <w:rPr>
                <w:color w:val="C00000"/>
              </w:rPr>
              <m:t xml:space="preserve">comm</m:t>
            </m:r>
          </m:sub>
        </m:sSub>
      </m:oMath>
      <w:r>
        <w:rPr>
          <w:rFonts w:ascii="Times New Roman" w:hAnsi="Times New Roman"/>
          <w:color w:val="C00000"/>
          <w:sz w:val="22"/>
        </w:rPr>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PoS</m:t>
                    </m:r>
                  </m:sub>
                </m:sSub>
                <m:r>
                  <m:rPr>
                    <m:sty m:val="p"/>
                  </m:rPr>
                  <w:rPr>
                    <w:color w:val="C00000"/>
                  </w:rPr>
                  <m:t xml:space="preserve">=</m:t>
                </m:r>
                <m:f>
                  <m:num>
                    <m:nary>
                      <m:naryPr>
                        <m:chr m:val="∑"/>
                        <m:limLoc m:val="undOvr"/>
                        <m:grow m:val="1"/>
                      </m:naryPr>
                      <m:sub>
                        <m:r>
                          <m:rPr>
                            <m:sty m:val="i"/>
                          </m:rPr>
                          <w:rPr>
                            <w:color w:val="C00000"/>
                          </w:rPr>
                          <m:t xml:space="preserve">v</m:t>
                        </m:r>
                        <m:r>
                          <m:rPr>
                            <m:sty m:val="p"/>
                          </m:rPr>
                          <w:rPr>
                            <w:color w:val="C00000"/>
                          </w:rPr>
                          <m:t xml:space="preserve">=</m:t>
                        </m:r>
                        <m:r>
                          <m:rPr>
                            <m:sty m:val="p"/>
                          </m:rPr>
                          <w:rPr>
                            <w:color w:val="C00000"/>
                          </w:rPr>
                          <m:t xml:space="preserve">1</m:t>
                        </m:r>
                      </m:sub>
                      <m:sup>
                        <m:r>
                          <m:rPr>
                            <m:sty m:val="i"/>
                          </m:rPr>
                          <w:rPr>
                            <w:color w:val="C00000"/>
                          </w:rPr>
                          <m:t xml:space="preserve">V</m:t>
                        </m:r>
                      </m:sup>
                      <m:e>
                        <m:d>
                          <m:e>
                            <m:sSub>
                              <m:e>
                                <m:r>
                                  <m:rPr>
                                    <m:sty m:val="i"/>
                                  </m:rPr>
                                  <w:rPr>
                                    <w:color w:val="C00000"/>
                                  </w:rPr>
                                  <m:t xml:space="preserve">P</m:t>
                                </m:r>
                              </m:e>
                              <m:sub>
                                <m:r>
                                  <m:rPr>
                                    <m:sty m:val="i"/>
                                  </m:rPr>
                                  <w:rPr>
                                    <w:color w:val="C00000"/>
                                  </w:rPr>
                                  <m:t xml:space="preserve">v</m:t>
                                </m:r>
                              </m:sub>
                            </m:sSub>
                            <m:r>
                              <m:rPr>
                                <m:sty m:val="p"/>
                              </m:rPr>
                              <w:rPr>
                                <w:color w:val="C00000"/>
                              </w:rPr>
                              <m:t xml:space="preserve">·</m:t>
                            </m:r>
                            <m:r>
                              <m:rPr>
                                <m:sty m:val="i"/>
                              </m:rPr>
                              <w:rPr>
                                <w:color w:val="C00000"/>
                              </w:rPr>
                              <m:t xml:space="preserve">T</m:t>
                            </m:r>
                            <m:r>
                              <m:rPr>
                                <m:sty m:val="p"/>
                              </m:rPr>
                              <w:rPr>
                                <w:color w:val="C00000"/>
                              </w:rPr>
                              <m:t xml:space="preserve">·</m:t>
                            </m:r>
                            <m:sSub>
                              <m:e>
                                <m:r>
                                  <m:rPr>
                                    <m:sty m:val="i"/>
                                  </m:rPr>
                                  <w:rPr>
                                    <w:color w:val="C00000"/>
                                  </w:rPr>
                                  <m:t xml:space="preserve">u</m:t>
                                </m:r>
                              </m:e>
                              <m:sub>
                                <m:r>
                                  <m:rPr>
                                    <m:sty m:val="i"/>
                                  </m:rPr>
                                  <w:rPr>
                                    <w:color w:val="C00000"/>
                                  </w:rPr>
                                  <m:t xml:space="preserve">v</m:t>
                                </m:r>
                              </m:sub>
                            </m:sSub>
                          </m:e>
                        </m:d>
                      </m:e>
                    </m:nary>
                  </m:num>
                  <m:den>
                    <m:r>
                      <m:rPr>
                        <m:sty m:val="p"/>
                      </m:rPr>
                      <w:rPr>
                        <w:color w:val="C00000"/>
                      </w:rPr>
                      <m:t xml:space="preserve">1000</m:t>
                    </m:r>
                  </m:den>
                </m:f>
                <m:r>
                  <m:rPr>
                    <m:sty m:val="p"/>
                  </m:rPr>
                  <w:rPr>
                    <w:color w:val="C00000"/>
                  </w:rPr>
                  <m:t xml:space="preserve">+</m:t>
                </m:r>
                <m:sSub>
                  <m:e>
                    <m:r>
                      <m:rPr>
                        <m:sty m:val="i"/>
                      </m:rPr>
                      <w:rPr>
                        <w:color w:val="C00000"/>
                      </w:rPr>
                      <m:t xml:space="preserve">E</m:t>
                    </m:r>
                  </m:e>
                  <m:sub>
                    <m:r>
                      <m:rPr>
                        <m:sty m:val="p"/>
                      </m:rPr>
                      <w:rPr>
                        <w:color w:val="C00000"/>
                      </w:rPr>
                      <m:t xml:space="preserve">comm</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(11)</w:t>
            </w:r>
          </w:p>
        </w:tc>
      </w:tr>
    </w:tbl>
    <w:p/>
    <w:p w14:paraId="19E730A7" w14:textId="77D59F24" w:rsidR="00B9101B" w:rsidRPr="00532EA6" w:rsidRDefault="00B9101B" w:rsidP="00B9101B">
      <w:pPr>
        <w:pStyle w:val="Heading1"/>
        <w:numPr>
          <w:ilvl w:val="0"/>
          <w:numId w:val="1"/>
        </w:numPr>
        <w:ind w:left="360"/>
      </w:pPr>
      <w:r w:rsidRPr="00B9101B">
        <w:t>Carbon Footprint Modeling</w:t>
      </w:r>
    </w:p>
    <w:p w14:paraId="36E7860B" w14:textId="77777777" w:rsidR="00B9101B" w:rsidRPr="007E4C18" w:rsidRDefault="00B9101B" w:rsidP="00B9101B">
      <w:pPr>
        <w:pStyle w:val="RSR"/>
      </w:pPr>
      <w:r w:rsidRPr="007E4C18">
        <w:t xml:space="preserve">While energy consumption provides a direct measure of resource usage, assessing the environmental impact of blockchain systems requires translating energy demand into associated carbon dioxide (CO₂) emissions. Carbon </w:t>
      </w:r>
      <w:r w:rsidRPr="007E4C18">
        <w:t>footprint modeling enables sustainability-oriented evaluation by linking simulated energy consumption to greenhouse gas emissions attributable to electricity generation.</w:t>
      </w:r>
    </w:p>
    <w:p w14:paraId="6B0E2631" w14:textId="5F59A214" w:rsidR="00B9101B" w:rsidRPr="00B9101B" w:rsidRDefault="00B9101B" w:rsidP="00B9101B">
      <w:pPr>
        <w:pStyle w:val="RSR"/>
      </w:pPr>
      <w:r w:rsidRPr="00B9101B">
        <w:t xml:space="preserve">In this work, carbon emissions are derived directly from the energy consumption metrics produced by the extended </w:t>
      </w:r>
      <w:proofErr w:type="spellStart"/>
      <w:r w:rsidRPr="00B9101B">
        <w:t>BlockSim</w:t>
      </w:r>
      <w:proofErr w:type="spellEnd"/>
      <w:r w:rsidRPr="00B9101B">
        <w:t xml:space="preserve"> framework. Following widely adopted carbon accounting practices, total CO₂ emissions are modeled as a linear function of energy usage and an emission factor that represents the carbon intensity of electricity generation [</w:t>
      </w:r>
      <w:r w:rsidR="00D6049E">
        <w:t>13</w:t>
      </w:r>
      <w:r w:rsidRPr="00B9101B">
        <w:t>], [</w:t>
      </w:r>
      <w:r w:rsidR="00D6049E">
        <w:t>14</w:t>
      </w:r>
      <w:r w:rsidRPr="00B9101B">
        <w:t>].</w:t>
      </w:r>
    </w:p>
    <w:p w14:paraId="18DC099C" w14:textId="77777777" w:rsidR="00B9101B" w:rsidRPr="00B9101B" w:rsidRDefault="00B9101B" w:rsidP="00B9101B">
      <w:pPr>
        <w:pStyle w:val="Heading2"/>
      </w:pPr>
      <w:r w:rsidRPr="00B9101B">
        <w:t>A. Carbon Emission Model</w:t>
      </w:r>
    </w:p>
    <w:p w14:paraId="4C69570D" w14:textId="318A29EA" w:rsidR="00B9101B" w:rsidRDefault="00B9101B" w:rsidP="00B9101B">
      <w:pPr>
        <w:pStyle w:val="RSR"/>
      </w:pPr>
      <w:r w:rsidRPr="00B9101B">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t xml:space="preserve"> </w:t>
      </w:r>
      <w:r w:rsidRPr="00B9101B">
        <w:t xml:space="preserve">denote the total energy consumption of node </w:t>
      </w:r>
      <m:oMath>
        <m:r>
          <w:rPr>
            <w:rFonts w:ascii="Cambria Math" w:hAnsi="Cambria Math"/>
          </w:rPr>
          <m:t>i</m:t>
        </m:r>
      </m:oMath>
      <w:r w:rsidRPr="00B9101B">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t xml:space="preserve"> </w:t>
      </w:r>
      <w:r w:rsidRPr="00B9101B">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3DD1BD6" w14:textId="77777777" w:rsidTr="00973390">
        <w:tc>
          <w:tcPr>
            <w:tcW w:w="3964" w:type="dxa"/>
            <w:vAlign w:val="center"/>
          </w:tcPr>
          <w:p w14:paraId="29D3E72F" w14:textId="7ADC8E4B"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4158B9CF" w14:textId="4B5A64BF" w:rsidR="0023085E" w:rsidRDefault="0023085E" w:rsidP="00973390">
            <w:pPr>
              <w:pStyle w:val="RSR"/>
              <w:spacing w:after="0"/>
              <w:ind w:firstLine="0"/>
              <w:jc w:val="center"/>
            </w:pPr>
            <w:r>
              <w:t>(5)</w:t>
            </w:r>
          </w:p>
        </w:tc>
      </w:tr>
    </w:tbl>
    <w:p w14:paraId="30E3AF96" w14:textId="77777777" w:rsidR="0023085E" w:rsidRPr="00B9101B" w:rsidRDefault="0023085E" w:rsidP="0023085E">
      <w:pPr>
        <w:pStyle w:val="RSR"/>
        <w:ind w:firstLine="0"/>
      </w:pPr>
    </w:p>
    <w:p w14:paraId="4D0304C5" w14:textId="49BCEF65" w:rsidR="00B9101B" w:rsidRPr="00B9101B" w:rsidRDefault="00B9101B" w:rsidP="00B9101B">
      <w:pPr>
        <w:pStyle w:val="RSR"/>
      </w:pPr>
      <w:r w:rsidRPr="00B9101B">
        <w:t xml:space="preserve">where </w:t>
      </w:r>
      <m:oMath>
        <m:r>
          <w:rPr>
            <w:rFonts w:ascii="Cambria Math" w:hAnsi="Cambria Math"/>
          </w:rPr>
          <m:t>γ</m:t>
        </m:r>
      </m:oMath>
      <w:r w:rsidRPr="00B9101B">
        <w:t xml:space="preserve">is the electricity emission factor expressed in kilograms of CO₂ per kilowatt-hour (kgCO₂/kWh). The value of </w:t>
      </w:r>
      <m:oMath>
        <m:r>
          <w:rPr>
            <w:rFonts w:ascii="Cambria Math" w:hAnsi="Cambria Math"/>
          </w:rPr>
          <m:t>γ</m:t>
        </m:r>
      </m:oMath>
      <w:r w:rsidR="007E4C18">
        <w:t xml:space="preserve"> </w:t>
      </w:r>
      <w:r w:rsidRPr="00B9101B">
        <w:t>depends on the energy mix of the assumed electricity grid and can be configured to represent global averages or region-specific scenarios, consistent with prior studies on blockchain carbon emissions [</w:t>
      </w:r>
      <w:r w:rsidR="009B5EE1">
        <w:t>3</w:t>
      </w:r>
      <w:r w:rsidRPr="00B9101B">
        <w:t>], [</w:t>
      </w:r>
      <w:r w:rsidR="00D6049E">
        <w:t>15</w:t>
      </w:r>
      <w:r w:rsidRPr="00B9101B">
        <w:t>].</w:t>
      </w:r>
    </w:p>
    <w:p>
      <w:r>
        <w:rPr>
          <w:rFonts w:ascii="Times New Roman" w:hAnsi="Times New Roman"/>
          <w:b w:val="0"/>
          <w:i w:val="0"/>
          <w:color w:val="C00000"/>
          <w:sz w:val="22"/>
        </w:rPr>
        <w:t>Because γ captures the carbon intensity of the underlying grid, the same energy yields very different emissions across regions and times. We therefore treat γ as an experimental variable with three scenarios: a low-carbon grid (γ = 0.05 kgCO₂e/kWh), a global-average grid (γ = 0.475), and a high-carbon grid (γ = 0.82); the sensitivity is reported in the Results.</w:t>
      </w:r>
    </w:p>
    <w:p w14:paraId="07DAE3AC" w14:textId="77777777" w:rsidR="00B9101B" w:rsidRDefault="00B9101B" w:rsidP="00B9101B">
      <w:pPr>
        <w:pStyle w:val="RSR"/>
      </w:pPr>
      <w:r w:rsidRPr="00B9101B">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EB1CB99" w14:textId="77777777" w:rsidTr="00973390">
        <w:tc>
          <w:tcPr>
            <w:tcW w:w="3964" w:type="dxa"/>
            <w:vAlign w:val="center"/>
          </w:tcPr>
          <w:p w14:paraId="046891B3" w14:textId="1148034D"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3AAA34A1" w14:textId="05D264E9" w:rsidR="0023085E" w:rsidRDefault="0023085E" w:rsidP="00973390">
            <w:pPr>
              <w:pStyle w:val="RSR"/>
              <w:spacing w:after="0"/>
              <w:ind w:firstLine="0"/>
              <w:jc w:val="center"/>
            </w:pPr>
            <w:r>
              <w:t>(6)</w:t>
            </w:r>
          </w:p>
        </w:tc>
      </w:tr>
    </w:tbl>
    <w:p w14:paraId="735CE0C6" w14:textId="2AE087C8" w:rsidR="00B9101B" w:rsidRPr="00B9101B" w:rsidRDefault="00B9101B" w:rsidP="00B9101B">
      <w:pPr>
        <w:pStyle w:val="RSR"/>
      </w:pPr>
    </w:p>
    <w:p w14:paraId="4D27FAF9" w14:textId="7038D4D9" w:rsidR="00B9101B" w:rsidRPr="00B9101B" w:rsidRDefault="00B9101B" w:rsidP="00B9101B">
      <w:pPr>
        <w:pStyle w:val="RSR"/>
      </w:pPr>
      <w:r w:rsidRPr="00B9101B">
        <w:t xml:space="preserve">where </w:t>
      </w:r>
      <m:oMath>
        <m:r>
          <w:rPr>
            <w:rFonts w:ascii="Cambria Math" w:hAnsi="Cambria Math"/>
          </w:rPr>
          <m:t>N</m:t>
        </m:r>
      </m:oMath>
      <w:r w:rsidR="007E4C18">
        <w:t xml:space="preserve"> </w:t>
      </w:r>
      <w:r w:rsidRPr="00B9101B">
        <w:t>denotes the total number of participating nodes.</w:t>
      </w:r>
    </w:p>
    <w:p w14:paraId="11D403CB" w14:textId="77777777" w:rsidR="00B9101B" w:rsidRPr="00B9101B" w:rsidRDefault="00B9101B" w:rsidP="00B9101B">
      <w:pPr>
        <w:pStyle w:val="Heading2"/>
      </w:pPr>
      <w:r w:rsidRPr="00B9101B">
        <w:t>B. Granular Emission Metrics</w:t>
      </w:r>
    </w:p>
    <w:p w14:paraId="0DA2345A" w14:textId="77A644F7" w:rsidR="00B9101B" w:rsidRDefault="00B9101B" w:rsidP="00B9101B">
      <w:pPr>
        <w:pStyle w:val="RSR"/>
      </w:pPr>
      <w:r w:rsidRPr="00B9101B">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t xml:space="preserve"> </w:t>
      </w:r>
      <w:r w:rsidRPr="00B9101B">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t xml:space="preserve"> </w:t>
      </w:r>
      <w:r w:rsidRPr="00B9101B">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48D5F059" w14:textId="77777777" w:rsidTr="00973390">
        <w:tc>
          <w:tcPr>
            <w:tcW w:w="3964" w:type="dxa"/>
            <w:vAlign w:val="center"/>
          </w:tcPr>
          <w:p w14:paraId="1E882074" w14:textId="4D51D20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6751D143" w14:textId="532DCE35" w:rsidR="0023085E" w:rsidRDefault="0023085E" w:rsidP="00973390">
            <w:pPr>
              <w:pStyle w:val="RSR"/>
              <w:spacing w:after="0"/>
              <w:ind w:firstLine="0"/>
              <w:jc w:val="center"/>
            </w:pPr>
            <w:r>
              <w:t>(7)</w:t>
            </w:r>
          </w:p>
        </w:tc>
      </w:tr>
    </w:tbl>
    <w:p w14:paraId="0C5B1D85" w14:textId="77777777" w:rsidR="0023085E" w:rsidRPr="00B9101B" w:rsidRDefault="0023085E" w:rsidP="0023085E">
      <w:pPr>
        <w:pStyle w:val="RSR"/>
        <w:ind w:firstLine="0"/>
      </w:pPr>
    </w:p>
    <w:p w14:paraId="18DFDD5D" w14:textId="4C0084C1" w:rsidR="00B9101B" w:rsidRPr="00B9101B" w:rsidRDefault="00B9101B" w:rsidP="00B9101B">
      <w:pPr>
        <w:pStyle w:val="RSR"/>
      </w:pPr>
      <w:r w:rsidRPr="00B9101B">
        <w:t xml:space="preserve">where </w:t>
      </w:r>
      <m:oMath>
        <m:r>
          <w:rPr>
            <w:rFonts w:ascii="Cambria Math" w:hAnsi="Cambria Math"/>
          </w:rPr>
          <m:t>B</m:t>
        </m:r>
      </m:oMath>
      <w:r w:rsidR="007E4C18">
        <w:t xml:space="preserve"> </w:t>
      </w:r>
      <w:r w:rsidRPr="00B9101B">
        <w:t xml:space="preserve">is the total number of confirmed blocks and </w:t>
      </w:r>
      <m:oMath>
        <m:r>
          <w:rPr>
            <w:rFonts w:ascii="Cambria Math" w:hAnsi="Cambria Math"/>
          </w:rPr>
          <m:t>T</m:t>
        </m:r>
      </m:oMath>
      <w:r w:rsidR="007E4C18">
        <w:t xml:space="preserve"> </w:t>
      </w:r>
      <w:r w:rsidRPr="00B9101B">
        <w:t>is the total number of processed transactions during the simulation. These normalized metrics are commonly used in empirical blockchain sustainability studies to compare protocol efficiency across different workloads and configurations [3], [</w:t>
      </w:r>
      <w:r w:rsidR="00D6049E">
        <w:t>16</w:t>
      </w:r>
      <w:r w:rsidRPr="00B9101B">
        <w:t>].</w:t>
      </w:r>
    </w:p>
    <w:p w14:paraId="5F3BFDA5" w14:textId="77777777" w:rsidR="00B9101B" w:rsidRPr="00B9101B" w:rsidRDefault="00B9101B" w:rsidP="00B9101B">
      <w:pPr>
        <w:pStyle w:val="Heading2"/>
      </w:pPr>
      <w:r w:rsidRPr="00B9101B">
        <w:t>C. Integration with BlockSim</w:t>
      </w:r>
    </w:p>
    <w:p w14:paraId="3B9A33BB" w14:textId="1B7CB8CE" w:rsidR="000D0362" w:rsidRDefault="00B9101B" w:rsidP="007114E1">
      <w:pPr>
        <w:pStyle w:val="RSR"/>
      </w:pPr>
      <w:r w:rsidRPr="00B9101B">
        <w:t xml:space="preserve">By embedding carbon footprint computation directly into </w:t>
      </w:r>
      <w:proofErr w:type="spellStart"/>
      <w:r w:rsidRPr="00B9101B">
        <w:t>BlockSim’s</w:t>
      </w:r>
      <w:proofErr w:type="spellEnd"/>
      <w:r w:rsidRPr="00B9101B">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61EDE899" w14:textId="138EA952" w:rsidR="00B9101B" w:rsidRPr="004806CA" w:rsidRDefault="00C80214" w:rsidP="00B9101B">
      <w:pPr>
        <w:pStyle w:val="Heading1"/>
        <w:numPr>
          <w:ilvl w:val="0"/>
          <w:numId w:val="1"/>
        </w:numPr>
        <w:ind w:left="360"/>
      </w:pPr>
      <w:r>
        <w:lastRenderedPageBreak/>
        <mc:AlternateContent>
          <mc:Choice Requires="wps">
            <w:drawing>
              <wp:anchor distT="0" distB="0" distL="114300" distR="114300" simplePos="0" relativeHeight="251661312" behindDoc="0" locked="0" layoutInCell="1" allowOverlap="1" wp14:anchorId="4D696BEC" wp14:editId="710BDBF2">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v:textbox>
                <w10:wrap type="topAndBottom"/>
              </v:shape>
            </w:pict>
          </mc:Fallback>
        </mc:AlternateContent>
      </w:r>
      <w:r>
        <w:drawing>
          <wp:anchor distT="0" distB="0" distL="114300" distR="114300" simplePos="0" relativeHeight="251659264" behindDoc="0" locked="0" layoutInCell="1" allowOverlap="1" wp14:anchorId="4E7222C5" wp14:editId="5FE722A6">
            <wp:simplePos x="0" y="0"/>
            <wp:positionH relativeFrom="column">
              <wp:posOffset>795655</wp:posOffset>
            </wp:positionH>
            <wp:positionV relativeFrom="paragraph">
              <wp:posOffset>191</wp:posOffset>
            </wp:positionV>
            <wp:extent cx="4321810" cy="2493645"/>
            <wp:effectExtent l="0" t="0" r="2540" b="1905"/>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r w:rsidR="00B9101B" w:rsidRPr="004806CA">
        <w:t>Experimental Setup</w:t>
      </w:r>
    </w:p>
    <w:p w14:paraId="6B478F4F" w14:textId="20E886F8" w:rsidR="00B9101B" w:rsidRPr="00B9101B" w:rsidRDefault="00B9101B" w:rsidP="00B9101B">
      <w:pPr>
        <w:pStyle w:val="RSR"/>
      </w:pPr>
      <w:r w:rsidRPr="00B9101B">
        <w:t xml:space="preserve">To evaluate the effectiveness of the proposed energy and carbon footprint extensions, a series of controlled simulation experiments were conducted using the extended </w:t>
      </w:r>
      <w:proofErr w:type="spellStart"/>
      <w:r w:rsidRPr="00B9101B">
        <w:t>BlockSim</w:t>
      </w:r>
      <w:proofErr w:type="spellEnd"/>
      <w:r w:rsidRPr="00B9101B">
        <w:t xml:space="preserve"> framework. The experimental design follows best practices for blockchain performance evaluation, ensuring reproducibility and comparability with prior studies [</w:t>
      </w:r>
      <w:r w:rsidR="009B5EE1">
        <w:t>4</w:t>
      </w:r>
      <w:r w:rsidRPr="00B9101B">
        <w:t>], [</w:t>
      </w:r>
      <w:r w:rsidR="00D6049E">
        <w:t>16</w:t>
      </w:r>
      <w:r w:rsidRPr="00B9101B">
        <w:t>].</w:t>
      </w:r>
    </w:p>
    <w:p w14:paraId="3351A9E9" w14:textId="7530BF0A" w:rsidR="00B9101B" w:rsidRPr="00B9101B" w:rsidRDefault="00B9101B" w:rsidP="00B9101B">
      <w:pPr>
        <w:pStyle w:val="Heading2"/>
      </w:pPr>
      <w:r w:rsidRPr="00B9101B">
        <w:t>A. Network and System Configuration</w:t>
      </w:r>
    </w:p>
    <w:p w14:paraId="5EF022E3" w14:textId="4C1E978C" w:rsidR="00B9101B" w:rsidRPr="00B9101B" w:rsidRDefault="00B9101B" w:rsidP="00B9101B">
      <w:pPr>
        <w:pStyle w:val="RSR"/>
      </w:pPr>
      <w:r w:rsidRPr="00B9101B">
        <w:t xml:space="preserve">The simulated blockchain network consists of </w:t>
      </w:r>
      <m:oMath>
        <m:r>
          <w:rPr>
            <w:rFonts w:ascii="Cambria Math" w:hAnsi="Cambria Math"/>
          </w:rPr>
          <m:t>N</m:t>
        </m:r>
      </m:oMath>
      <w:r w:rsidR="007E4C18">
        <w:t xml:space="preserve"> </w:t>
      </w:r>
      <w:r w:rsidRPr="00B9101B">
        <w:t xml:space="preserve">nodes, where </w:t>
      </w:r>
      <m:oMath>
        <m:r>
          <w:rPr>
            <w:rFonts w:ascii="Cambria Math" w:hAnsi="Cambria Math"/>
          </w:rPr>
          <m:t>N∈{50,100,500,1000}</m:t>
        </m:r>
      </m:oMath>
      <w:r w:rsidRPr="00B9101B">
        <w:t>, representing small to moderately sized permissionless networks commonly analyzed in the literature [</w:t>
      </w:r>
      <w:r w:rsidR="009B5EE1">
        <w:t>6</w:t>
      </w:r>
      <w:r w:rsidRPr="00B9101B">
        <w:t>]. Nodes are connected via a peer-to-peer overlay with randomly assigned propagation delays drawn from a bounded distribution, consistent with established modeling approaches for blockchain network latency [</w:t>
      </w:r>
      <w:r w:rsidR="009B5EE1">
        <w:t>8</w:t>
      </w:r>
      <w:r w:rsidRPr="00B9101B">
        <w:t xml:space="preserve">]. </w:t>
      </w:r>
      <w:proofErr w:type="spellStart"/>
      <w:r w:rsidRPr="00B9101B">
        <w:t>BlockSim’s</w:t>
      </w:r>
      <w:proofErr w:type="spellEnd"/>
      <w:r w:rsidRPr="00B9101B">
        <w:t xml:space="preserve"> discrete-event scheduler is used to model message dissemination, block arrival, and chain updates.</w:t>
      </w:r>
    </w:p>
    <w:p w14:paraId="3D77571A" w14:textId="678CF651" w:rsidR="00B9101B" w:rsidRPr="00B9101B" w:rsidRDefault="00B9101B" w:rsidP="00B9101B">
      <w:pPr>
        <w:pStyle w:val="Heading2"/>
      </w:pPr>
      <w:r w:rsidRPr="00B9101B">
        <w:t>B. Consensus and Workload Parameters</w:t>
      </w:r>
    </w:p>
    <w:p w14:paraId="5B99FA9C" w14:textId="343D3422" w:rsidR="007B242B" w:rsidRDefault="007B242B" w:rsidP="007B242B">
      <w:pPr>
        <w:pStyle w:val="RSR"/>
      </w:pPr>
      <w:r>
        <w:t>The primary evaluation scenario is based on a Proof of Work–style consensus mechanism, which serves as a baseline due to its well-documented energy characteristics [</w:t>
      </w:r>
      <w:r w:rsidR="008A0DE1">
        <w:t>2</w:t>
      </w:r>
      <w:r>
        <w:t xml:space="preserve">]. Two PoW-based reference models were evaluated: </w:t>
      </w:r>
      <w:r>
        <w:rPr>
          <w:color w:val="C00000"/>
        </w:rPr>
        <w:t xml:space="preserve">Bitcoin (Model 1) and a historical Ethereum-like PoW configuration (Model 2). The latter reflects the pre-Merge GPU-mining regime and does not represent current Ethereum, which has used Proof-of-Stake since The Merge</w:t>
      </w:r>
      <w:r>
        <w:t xml:space="preserve">. Block generation intervals follow the default targets of each model (Bitcoin: ~10 minutes; Ethereum: ~12–13 seconds), which directly affects the number of block events observed during the same simulation horizon. Transaction workloads are modeled as a Poisson process, a common assumption in blockchain performance studies [</w:t>
      </w:r>
      <w:r w:rsidR="008A0DE1">
        <w:t>4</w:t>
      </w:r>
      <w:r>
        <w:t>], [</w:t>
      </w:r>
      <w:r w:rsidR="008A0DE1">
        <w:t>17</w:t>
      </w:r>
      <w:r>
        <w:t>]. To assess scaling effects on sustainability metrics, miner population was varied while maintaining the same simulation time window.</w:t>
      </w:r>
    </w:p>
    <w:p w14:paraId="303F592E" w14:textId="739A216D" w:rsidR="00B9101B" w:rsidRPr="00B9101B" w:rsidRDefault="007B242B" w:rsidP="007B242B">
      <w:pPr>
        <w:pStyle w:val="RSR"/>
      </w:pPr>
      <w:r>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B9101B">
        <w:t>.</w:t>
      </w:r>
    </w:p>
    <w:p w14:paraId="094D0877" w14:textId="25C2DCE2" w:rsidR="00B9101B" w:rsidRPr="00B9101B" w:rsidRDefault="00B9101B" w:rsidP="00B9101B">
      <w:pPr>
        <w:pStyle w:val="Heading2"/>
      </w:pPr>
      <w:r w:rsidRPr="00B9101B">
        <w:t>C. Energy and Carbon Parameters</w:t>
      </w:r>
    </w:p>
    <w:p w14:paraId="6B4A6D08" w14:textId="425C76F4" w:rsidR="00B9101B" w:rsidRPr="00B9101B" w:rsidRDefault="007B242B" w:rsidP="00B9101B">
      <w:pPr>
        <w:pStyle w:val="RSR"/>
      </w:pPr>
      <w:r w:rsidRPr="007B242B">
        <w:t xml:space="preserve">Energy consumption is computed at runtime using mining-interval accounting (start/stop events). In the evaluated configuration, Bitcoin uses a </w:t>
      </w:r>
      <w:proofErr w:type="spellStart"/>
      <w:r w:rsidRPr="007B242B">
        <w:t>hashrate</w:t>
      </w:r>
      <w:proofErr w:type="spellEnd"/>
      <w:r w:rsidRPr="007B242B">
        <w:t xml:space="preserve">-and-efficiency-based power derivation, while Ethereum uses a direct fixed per-miner power configuration (e.g., 2500 W/miner). Carbon emissions are computed using a </w:t>
      </w:r>
      <w:r w:rsidRPr="007B242B">
        <w:rPr>
          <w:color w:val="C00000"/>
        </w:rPr>
        <w:t xml:space="preserve">configurable electricity emission factor; in this revision it is varied across low, average, and high grid scenarios (see Results) rather than held fixed</w:t>
      </w:r>
      <w:r w:rsidRPr="007B242B">
        <w:t xml:space="preserve">, following established blockchain carbon footprint analyses [</w:t>
      </w:r>
      <w:r w:rsidR="008A0DE1">
        <w:t>3</w:t>
      </w:r>
      <w:r w:rsidRPr="007B242B">
        <w:t>]. Concretely, carbon is derived via the standard emission-factor formulation (electricity use × emissions factor), consistent with common GHG accounting practice</w:t>
      </w:r>
      <w:r w:rsidR="00B9101B" w:rsidRPr="00B9101B">
        <w:t>.</w:t>
      </w:r>
    </w:p>
    <w:p w14:paraId="2145C7C4" w14:textId="31AD0F19" w:rsidR="00B9101B" w:rsidRPr="00B9101B" w:rsidRDefault="00B9101B" w:rsidP="00B9101B">
      <w:pPr>
        <w:pStyle w:val="Heading2"/>
      </w:pPr>
      <w:r w:rsidRPr="00B9101B">
        <w:t>D. Evaluation Metrics and Methodology</w:t>
      </w:r>
    </w:p>
    <w:p w14:paraId="21382A1A" w14:textId="2E3E3D99" w:rsidR="000D0362" w:rsidRDefault="007B242B" w:rsidP="007114E1">
      <w:pPr>
        <w:pStyle w:val="RSR"/>
      </w:pPr>
      <w:r>
        <w:rPr>
          <w:rFonts w:ascii="Times New Roman" w:hAnsi="Times New Roman"/>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Pr>
          <w:rFonts w:ascii="Times New Roman" w:hAnsi="Times New Roman"/>
          <w:color w:val="C00000"/>
          <w:sz w:val="22"/>
        </w:rPr>
        <w:t>Each scenario is replicated across 30 independent random seeds (generated deterministically as base + i, i = 0..29), and results are reported as the mean with sample standard deviation and 95% confidence interval (Student t).</w:t>
      </w:r>
    </w:p>
    <w:p w14:paraId="64FB9EB3" w14:textId="5270D06B" w:rsidR="00234B0E" w:rsidRPr="00B9101B" w:rsidRDefault="004E2EB7" w:rsidP="004E2EB7">
      <w:pPr>
        <w:pStyle w:val="RSR"/>
      </w:pPr>
      <w:r>
        <w:t>T</w:t>
      </w:r>
      <w:r w:rsidR="00234B0E">
        <w:t>he</w:t>
      </w:r>
      <w:r>
        <w:t xml:space="preserve"> </w:t>
      </w:r>
      <w:r w:rsidR="00234B0E">
        <w:t xml:space="preserve">extended implementation and all code-level modifications to the </w:t>
      </w:r>
      <w:proofErr w:type="spellStart"/>
      <w:r w:rsidR="00234B0E">
        <w:t>BlockSim</w:t>
      </w:r>
      <w:proofErr w:type="spellEnd"/>
      <w:r w:rsidR="00234B0E">
        <w:t xml:space="preserve"> simulator (including the added energy-consumption and carbon-footprint modeling components) are made publicly available in a version-controlled GitHub repository </w:t>
      </w:r>
      <w:r>
        <w:t>at [18]</w:t>
      </w:r>
      <w:r w:rsidR="00234B0E">
        <w:t>.</w:t>
      </w:r>
    </w:p>
    <w:p w14:paraId="4560BEC7" w14:textId="79A1D7BB" w:rsidR="00B9101B" w:rsidRPr="00532EA6" w:rsidRDefault="00B9101B" w:rsidP="00B9101B">
      <w:pPr>
        <w:pStyle w:val="Heading1"/>
        <w:numPr>
          <w:ilvl w:val="0"/>
          <w:numId w:val="1"/>
        </w:numPr>
        <w:ind w:left="360"/>
      </w:pPr>
      <w:r w:rsidRPr="00B9101B">
        <w:t>Results and Analysis</w:t>
      </w:r>
    </w:p>
    <w:p w14:paraId="7586AEF1" w14:textId="3D6BC84C" w:rsidR="008A0DE1" w:rsidRDefault="007B242B" w:rsidP="00B9101B">
      <w:pPr>
        <w:pStyle w:val="RSR"/>
      </w:pPr>
      <w:r w:rsidRPr="007B242B">
        <w:t xml:space="preserve">The simulation results demonstrate that integrating energy and carbon footprint modeling into </w:t>
      </w:r>
      <w:proofErr w:type="spellStart"/>
      <w:r w:rsidRPr="007B242B">
        <w:t>BlockSim</w:t>
      </w:r>
      <w:proofErr w:type="spellEnd"/>
      <w:r w:rsidRPr="007B242B">
        <w:t xml:space="preserve"> enables meaningful sustainability analysis while preserving the simulator’s original performance evaluation capabilities. Across all tested network sizes, total energy and CO₂ increased with network scale, confirming trends reported in prior empirical and simulation-based blockchain studies [</w:t>
      </w:r>
      <w:r w:rsidR="008A0DE1">
        <w:t>4</w:t>
      </w:r>
      <w:r w:rsidRPr="007B242B">
        <w:t>], [</w:t>
      </w:r>
      <w:r w:rsidR="008A0DE1">
        <w:t>16</w:t>
      </w:r>
      <w:r w:rsidRPr="007B242B">
        <w:t xml:space="preserve">]. </w:t>
      </w:r>
    </w:p>
    <w:p w14:paraId="5436DAFC" w14:textId="657E3196" w:rsidR="00B9101B" w:rsidRPr="00B9101B" w:rsidRDefault="00C80214" w:rsidP="00B9101B">
      <w:pPr>
        <w:pStyle w:val="RSR"/>
      </w:pPr>
      <w:r>
        <w:rPr>
          <w:noProof/>
        </w:rPr>
        <w:lastRenderedPageBreak/>
        <mc:AlternateContent>
          <mc:Choice Requires="wps">
            <w:drawing>
              <wp:anchor distT="0" distB="0" distL="114300" distR="114300" simplePos="0" relativeHeight="251669504" behindDoc="0" locked="0" layoutInCell="1" allowOverlap="1" wp14:anchorId="4F895C18" wp14:editId="5B1BEAB2">
                <wp:simplePos x="0" y="0"/>
                <wp:positionH relativeFrom="column">
                  <wp:posOffset>3264816</wp:posOffset>
                </wp:positionH>
                <wp:positionV relativeFrom="paragraph">
                  <wp:posOffset>1790227</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8" type="#_x0000_t202" style="position:absolute;left:0;text-align:left;margin-left:257.05pt;margin-top:140.9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bLI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" stroked="f">
                <v:textbox style="mso-fit-shape-to-text:t" inset="0,0,0,0">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v:textbox>
                <w10:wrap type="topAndBottom"/>
              </v:shape>
            </w:pict>
          </mc:Fallback>
        </mc:AlternateContent>
      </w:r>
      <w:r>
        <w:rPr>
          <w:noProof/>
        </w:rPr>
        <mc:AlternateContent>
          <mc:Choice Requires="wps">
            <w:drawing>
              <wp:anchor distT="0" distB="0" distL="114300" distR="114300" simplePos="0" relativeHeight="251665408" behindDoc="0" locked="0" layoutInCell="1" allowOverlap="1" wp14:anchorId="1C6D882B" wp14:editId="66CAB4D6">
                <wp:simplePos x="0" y="0"/>
                <wp:positionH relativeFrom="column">
                  <wp:posOffset>-27807</wp:posOffset>
                </wp:positionH>
                <wp:positionV relativeFrom="paragraph">
                  <wp:posOffset>1792635</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9" type="#_x0000_t202" style="position:absolute;left:0;text-align:left;margin-left:-2.2pt;margin-top:141.15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wu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" stroked="f">
                <v:textbox style="mso-fit-shape-to-text:t" inset="0,0,0,0">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v:textbox>
                <w10:wrap type="topAndBottom"/>
              </v:shape>
            </w:pict>
          </mc:Fallback>
        </mc:AlternateContent>
      </w:r>
      <w:r>
        <w:rPr>
          <w:noProof/>
        </w:rPr>
        <w:drawing>
          <wp:anchor distT="0" distB="0" distL="114300" distR="114300" simplePos="0" relativeHeight="251667456" behindDoc="0" locked="0" layoutInCell="1" allowOverlap="1" wp14:anchorId="7B6A9DA7" wp14:editId="79D11291">
            <wp:simplePos x="0" y="0"/>
            <wp:positionH relativeFrom="column">
              <wp:posOffset>3268980</wp:posOffset>
            </wp:positionH>
            <wp:positionV relativeFrom="paragraph">
              <wp:posOffset>399</wp:posOffset>
            </wp:positionV>
            <wp:extent cx="2932051" cy="171000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2051" cy="1710000"/>
                    </a:xfrm>
                    <a:prstGeom prst="rect">
                      <a:avLst/>
                    </a:prstGeom>
                  </pic:spPr>
                </pic:pic>
              </a:graphicData>
            </a:graphic>
            <wp14:sizeRelH relativeFrom="margin">
              <wp14:pctWidth>0</wp14:pctWidth>
            </wp14:sizeRelH>
            <wp14:sizeRelV relativeFrom="margin">
              <wp14:pctHeight>0</wp14:pctHeight>
            </wp14:sizeRelV>
          </wp:anchor>
        </w:drawing>
      </w:r>
      <w:r w:rsidRPr="009724A3">
        <w:rPr>
          <w:noProof/>
        </w:rPr>
        <w:drawing>
          <wp:anchor distT="0" distB="0" distL="114300" distR="114300" simplePos="0" relativeHeight="251663360" behindDoc="0" locked="0" layoutInCell="1" allowOverlap="1" wp14:anchorId="0E89DEFE" wp14:editId="78B7665A">
            <wp:simplePos x="0" y="0"/>
            <wp:positionH relativeFrom="column">
              <wp:posOffset>-27172</wp:posOffset>
            </wp:positionH>
            <wp:positionV relativeFrom="paragraph">
              <wp:posOffset>473</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r w:rsidR="007B242B" w:rsidRPr="007B242B">
        <w:t>However, the magnitude difference between Bitcoin and Ethereum in these runs is dominated by the selected power modeling assumptions, as discussed below</w:t>
      </w:r>
      <w:r w:rsidR="00B9101B" w:rsidRPr="00B9101B">
        <w:t>.</w:t>
      </w:r>
    </w:p>
    <w:p w14:paraId="577BD47B" w14:textId="42314ED3" w:rsidR="00B9101B" w:rsidRPr="00B9101B" w:rsidRDefault="00B9101B" w:rsidP="00B9101B">
      <w:pPr>
        <w:pStyle w:val="Heading2"/>
      </w:pPr>
      <w:r w:rsidRPr="00B9101B">
        <w:t>A. Energy Consumption Analysis</w:t>
      </w:r>
    </w:p>
    <w:p w14:paraId="7363F177" w14:textId="786C1568" w:rsidR="007B242B" w:rsidRDefault="007B242B" w:rsidP="007B242B">
      <w:pPr>
        <w:pStyle w:val="RSR"/>
      </w:pPr>
      <w:r>
        <w:t xml:space="preserve">Total energy consumption exhibits strong scaling with miner count in both models. In the reported runs (simulation horizon = 10,000 seconds), the cumulative totals extracted from </w:t>
      </w:r>
      <w:proofErr w:type="spellStart"/>
      <w:r>
        <w:t>EnergyLog</w:t>
      </w:r>
      <w:proofErr w:type="spellEnd"/>
      <w:r>
        <w:t xml:space="preserve"> were:</w:t>
      </w:r>
    </w:p>
    <w:p w14:paraId="5C33517F" w14:textId="295071C3" w:rsidR="007B242B" w:rsidRDefault="007B242B" w:rsidP="007B242B">
      <w:pPr>
        <w:pStyle w:val="RSR"/>
        <w:numPr>
          <w:ilvl w:val="0"/>
          <w:numId w:val="41"/>
        </w:numPr>
        <w:ind w:left="426" w:hanging="137"/>
      </w:pPr>
      <w:r>
        <w:t>Bitcoin: 3.93 kWh (50 miners) → 83.84 kWh (1000 miners)</w:t>
      </w:r>
    </w:p>
    <w:p w14:paraId="37CA6B4D" w14:textId="58472F85" w:rsidR="007B242B" w:rsidRDefault="007B242B" w:rsidP="007B242B">
      <w:pPr>
        <w:pStyle w:val="RSR"/>
        <w:numPr>
          <w:ilvl w:val="0"/>
          <w:numId w:val="41"/>
        </w:numPr>
        <w:ind w:left="426" w:hanging="137"/>
      </w:pPr>
      <w:r>
        <w:t>Ethereum: 346.70 kWh (50 miners) → 6934.13 kWh (1000 miners)</w:t>
      </w:r>
    </w:p>
    <w:p w14:paraId="6B832D9B" w14:textId="0EAA2E10" w:rsidR="007B242B" w:rsidRDefault="007B242B" w:rsidP="007B242B">
      <w:pPr>
        <w:pStyle w:val="RSR"/>
      </w:pPr>
      <w:r>
        <w:t>This behavior aligns with earlier observations that computational effort scales with participating mining capacity in Proof of Work–based systems [</w:t>
      </w:r>
      <w:r w:rsidR="008A0DE1">
        <w:t>2</w:t>
      </w:r>
      <w:r>
        <w:t>]. Notably, the Ethereum totals are ~83–88× higher than Bitcoin at the same miner counts in this configuration (e.g., 6934.13/83.84 ≈ 82.7× for 1000 miners). The primary reason is that Ethereum was configured with a fixed per-miner wattage, so total network power grows proportionally with miner count, whereas Bitcoin’s effective power is substantially lower under the current parameterization.</w:t>
      </w:r>
    </w:p>
    <w:p>
      <w:r>
        <w:rPr>
          <w:rFonts w:ascii="Times New Roman" w:hAnsi="Times New Roman"/>
          <w:b w:val="0"/>
          <w:i w:val="0"/>
          <w:color w:val="C00000"/>
          <w:sz w:val="22"/>
        </w:rPr>
        <w:t>These absolute magnitudes are scenario-based model outputs, not real-world measurements, and the Ethereum-labelled curve is a historical Ethereum-like PoW configuration that does not represent current (Proof-of-Stake) Ethereum.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w:t>
      </w:r>
      <w:r>
        <w:rPr>
          <w:rFonts w:ascii="Times New Roman" w:hAnsi="Times New Roman"/>
          <w:color w:val="C00000"/>
          <w:sz w:val="22"/>
        </w:rPr>
        <w:t xml:space="preserve"> Figure 7 summarizes the sensitivity of PoW network energy to the number of miners under the revised economic model: the network total is essentially invariant to miner count, while the mean per-miner energy falls approximately as 1/N.</w:t>
      </w:r>
    </w:p>
    <w:p>
      <w:pPr>
        <w:jc w:val="center"/>
      </w:pPr>
      <w:r>
        <w:drawing>
          <wp:inline xmlns:a="http://schemas.openxmlformats.org/drawingml/2006/main" xmlns:pic="http://schemas.openxmlformats.org/drawingml/2006/picture">
            <wp:extent cx="5212080" cy="2048265"/>
            <wp:docPr id="2043341619" name="Picture 2043341619"/>
            <wp:cNvGraphicFramePr>
              <a:graphicFrameLocks noChangeAspect="1"/>
            </wp:cNvGraphicFramePr>
            <a:graphic>
              <a:graphicData uri="http://schemas.openxmlformats.org/drawingml/2006/picture">
                <pic:pic>
                  <pic:nvPicPr>
                    <pic:cNvPr id="0" name="fig_pow_energy_vs_miners.png"/>
                    <pic:cNvPicPr/>
                  </pic:nvPicPr>
                  <pic:blipFill>
                    <a:blip r:embed="rId32"/>
                    <a:stretch>
                      <a:fillRect/>
                    </a:stretch>
                  </pic:blipFill>
                  <pic:spPr>
                    <a:xfrm>
                      <a:off x="0" y="0"/>
                      <a:ext cx="5212080" cy="2048265"/>
                    </a:xfrm>
                    <a:prstGeom prst="rect"/>
                  </pic:spPr>
                </pic:pic>
              </a:graphicData>
            </a:graphic>
          </wp:inline>
        </w:drawing>
      </w:r>
    </w:p>
    <w:p>
      <w:pPr>
        <w:jc w:val="center"/>
      </w:pPr>
      <w:r>
        <w:rPr>
          <w:rFonts w:ascii="Times New Roman" w:hAnsi="Times New Roman"/>
          <w:i/>
          <w:color w:val="C00000"/>
          <w:sz w:val="19"/>
        </w:rPr>
        <w:t>Figure 7. PoW energy vs number of miners (economic model; 30 seeds, 95% CI). Total network energy is invariant to miner count (a); per-miner energy falls ~1/N (b).</w:t>
      </w:r>
    </w:p>
    <w:p>
      <w:r>
        <w:rPr>
          <w:rFonts w:ascii="Times New Roman" w:hAnsi="Times New Roman"/>
          <w:b w:val="0"/>
          <w:i w:val="0"/>
          <w:color w:val="C00000"/>
          <w:sz w:val="22"/>
        </w:rPr>
        <w:t xml:space="preserve">For Proof-of-Stake, the validator-count model yields far smaller totals: a 1000-validator network of standard 100 W servers consumes about 2387 kWh over 24 h, scaling linearly with validator count (239 kWh at 100 validators). The PoW/PoS energy ratio is on the order of 196,846×, consistent with the order-of-magnitude reductions reported in the literature [16], [19] and the ~99.95% reduction at Ethereum’s Merge [21]. As an analytical sanity check, fixed-power configurations reproduce the closed-form </w:t>
      </w:r>
      <m:oMath>
        <m:r>
          <m:rPr>
            <m:sty m:val="i"/>
          </m:rPr>
          <w:rPr>
            <w:color w:val="C00000"/>
          </w:rPr>
          <m:t xml:space="preserve">E</m:t>
        </m:r>
        <m:r>
          <m:rPr>
            <m:sty m:val="p"/>
          </m:rPr>
          <w:rPr>
            <w:color w:val="C00000"/>
          </w:rPr>
          <m:t xml:space="preserve">=</m:t>
        </m:r>
        <m:r>
          <m:rPr>
            <m:sty m:val="i"/>
          </m:rPr>
          <w:rPr>
            <w:color w:val="C00000"/>
          </w:rPr>
          <m:t xml:space="preserve">P</m:t>
        </m:r>
        <m:r>
          <m:rPr>
            <m:sty m:val="p"/>
          </m:rPr>
          <w:rPr>
            <w:color w:val="C00000"/>
          </w:rPr>
          <m:t xml:space="preserve">·</m:t>
        </m:r>
        <m:r>
          <m:rPr>
            <m:sty m:val="i"/>
          </m:rPr>
          <w:rPr>
            <w:color w:val="C00000"/>
          </w:rPr>
          <m:t xml:space="preserve">T</m:t>
        </m:r>
      </m:oMath>
      <w:r>
        <w:rPr>
          <w:rFonts w:ascii="Times New Roman" w:hAnsi="Times New Roman"/>
          <w:color w:val="C00000"/>
          <w:sz w:val="22"/>
        </w:rPr>
        <w:t xml:space="preserve"> exactly (maximum relative error 0.00e+00).</w:t>
      </w:r>
      <w:r>
        <w:rPr>
          <w:rFonts w:ascii="Times New Roman" w:hAnsi="Times New Roman"/>
          <w:color w:val="C00000"/>
          <w:sz w:val="22"/>
        </w:rPr>
        <w:t xml:space="preserve"> As shown in Figure 8, PoS total energy scales linearly with the number of validators across the low-power, standard-server, and high-power hardware classes.</w:t>
      </w:r>
    </w:p>
    <w:p>
      <w:pPr>
        <w:jc w:val="center"/>
      </w:pPr>
      <w:r>
        <w:drawing>
          <wp:inline xmlns:a="http://schemas.openxmlformats.org/drawingml/2006/main" xmlns:pic="http://schemas.openxmlformats.org/drawingml/2006/picture">
            <wp:extent cx="5212080" cy="3166523"/>
            <wp:docPr id="2043341620" name="Picture 2043341620"/>
            <wp:cNvGraphicFramePr>
              <a:graphicFrameLocks noChangeAspect="1"/>
            </wp:cNvGraphicFramePr>
            <a:graphic>
              <a:graphicData uri="http://schemas.openxmlformats.org/drawingml/2006/picture">
                <pic:pic>
                  <pic:nvPicPr>
                    <pic:cNvPr id="0" name="fig_pos_energy_vs_validators.png"/>
                    <pic:cNvPicPr/>
                  </pic:nvPicPr>
                  <pic:blipFill>
                    <a:blip r:embed="rId33"/>
                    <a:stretch>
                      <a:fillRect/>
                    </a:stretch>
                  </pic:blipFill>
                  <pic:spPr>
                    <a:xfrm>
                      <a:off x="0" y="0"/>
                      <a:ext cx="5212080" cy="3166523"/>
                    </a:xfrm>
                    <a:prstGeom prst="rect"/>
                  </pic:spPr>
                </pic:pic>
              </a:graphicData>
            </a:graphic>
          </wp:inline>
        </w:drawing>
      </w:r>
    </w:p>
    <w:p>
      <w:pPr>
        <w:jc w:val="center"/>
      </w:pPr>
      <w:r>
        <w:rPr>
          <w:rFonts w:ascii="Times New Roman" w:hAnsi="Times New Roman"/>
          <w:i/>
          <w:color w:val="C00000"/>
          <w:sz w:val="19"/>
        </w:rPr>
        <w:t>Figure 8. PoS total energy vs validator count for three hardware classes (30 seeds, 95% CI).</w:t>
      </w:r>
    </w:p>
    <w:p>
      <w:r>
        <w:rPr>
          <w:rFonts w:ascii="Times New Roman" w:hAnsi="Times New Roman"/>
          <w:b w:val="0"/>
          <w:i w:val="0"/>
          <w:color w:val="C00000"/>
          <w:sz w:val="22"/>
        </w:rPr>
        <w:t>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w:t>
      </w:r>
      <w:r>
        <w:rPr>
          <w:rFonts w:ascii="Times New Roman" w:hAnsi="Times New Roman"/>
          <w:color w:val="C00000"/>
          <w:sz w:val="22"/>
        </w:rPr>
        <w:t xml:space="preserve"> Figure 9 compares computational (consensus) energy with communication energy under the evaluated scenarios on logarithmic axes.</w:t>
      </w:r>
    </w:p>
    <w:p>
      <w:pPr>
        <w:jc w:val="center"/>
      </w:pPr>
      <w:r>
        <w:drawing>
          <wp:inline xmlns:a="http://schemas.openxmlformats.org/drawingml/2006/main" xmlns:pic="http://schemas.openxmlformats.org/drawingml/2006/picture">
            <wp:extent cx="5212080" cy="2981633"/>
            <wp:docPr id="2043341621" name="Picture 2043341621"/>
            <wp:cNvGraphicFramePr>
              <a:graphicFrameLocks noChangeAspect="1"/>
            </wp:cNvGraphicFramePr>
            <a:graphic>
              <a:graphicData uri="http://schemas.openxmlformats.org/drawingml/2006/picture">
                <pic:pic>
                  <pic:nvPicPr>
                    <pic:cNvPr id="0" name="fig_computation_vs_communication.png"/>
                    <pic:cNvPicPr/>
                  </pic:nvPicPr>
                  <pic:blipFill>
                    <a:blip r:embed="rId34"/>
                    <a:stretch>
                      <a:fillRect/>
                    </a:stretch>
                  </pic:blipFill>
                  <pic:spPr>
                    <a:xfrm>
                      <a:off x="0" y="0"/>
                      <a:ext cx="5212080" cy="2981633"/>
                    </a:xfrm>
                    <a:prstGeom prst="rect"/>
                  </pic:spPr>
                </pic:pic>
              </a:graphicData>
            </a:graphic>
          </wp:inline>
        </w:drawing>
      </w:r>
    </w:p>
    <w:p>
      <w:pPr>
        <w:jc w:val="center"/>
      </w:pPr>
      <w:r>
        <w:rPr>
          <w:rFonts w:ascii="Times New Roman" w:hAnsi="Times New Roman"/>
          <w:i/>
          <w:color w:val="C00000"/>
          <w:sz w:val="19"/>
        </w:rPr>
        <w:t>Figure 9. Computation vs communication energy (log-log; peer degree 8, 1 MB blocks, 30 seeds).</w:t>
      </w:r>
    </w:p>
    <w:p w14:paraId="22797BD6" w14:textId="31B5D73B" w:rsidR="007B242B" w:rsidRDefault="00C80214" w:rsidP="007B242B">
      <w:pPr>
        <w:pStyle w:val="RSR"/>
      </w:pPr>
      <w:r>
        <w:rPr>
          <w:noProof/>
        </w:rPr>
        <w:drawing>
          <wp:anchor distT="0" distB="0" distL="114300" distR="114300" simplePos="0" relativeHeight="251671552" behindDoc="0" locked="0" layoutInCell="1" allowOverlap="1" wp14:anchorId="102976E2" wp14:editId="1E7A77F8">
            <wp:simplePos x="0" y="0"/>
            <wp:positionH relativeFrom="column">
              <wp:posOffset>835025</wp:posOffset>
            </wp:positionH>
            <wp:positionV relativeFrom="paragraph">
              <wp:posOffset>583860</wp:posOffset>
            </wp:positionV>
            <wp:extent cx="4273550" cy="2492375"/>
            <wp:effectExtent l="0" t="0" r="0" b="3175"/>
            <wp:wrapTopAndBottom/>
            <wp:docPr id="82846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6724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3550" cy="24923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3600" behindDoc="0" locked="0" layoutInCell="1" allowOverlap="1" wp14:anchorId="2A13397B" wp14:editId="41E79E56">
                <wp:simplePos x="0" y="0"/>
                <wp:positionH relativeFrom="column">
                  <wp:posOffset>952618</wp:posOffset>
                </wp:positionH>
                <wp:positionV relativeFrom="paragraph">
                  <wp:posOffset>3136088</wp:posOffset>
                </wp:positionV>
                <wp:extent cx="4273550" cy="635"/>
                <wp:effectExtent l="0" t="0" r="0" b="0"/>
                <wp:wrapTopAndBottom/>
                <wp:docPr id="1827465085"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A13397B" id="_x0000_s1030" type="#_x0000_t202" style="position:absolute;left:0;text-align:left;margin-left:75pt;margin-top:246.95pt;width:33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awB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" stroked="f">
                <v:textbox style="mso-fit-shape-to-text:t" inset="0,0,0,0">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v:textbox>
                <w10:wrap type="topAndBottom"/>
              </v:shape>
            </w:pict>
          </mc:Fallback>
        </mc:AlternateContent>
      </w:r>
      <w:r w:rsidR="007B242B">
        <w:t>Because Ethereum’s modeled block interval is much shorter than Bitcoin’s, Ethereum produces hundreds of blocks within the same simulation window while Bitcoin produces tens of blocks. Consequently, energy per block is less extreme than total energy (since Ethereum divides its total energy across many more blocks). This effect is visible in the “step density” of event-based curves: Ethereum rises more frequently due to more block events.</w:t>
      </w:r>
    </w:p>
    <w:p w14:paraId="1927B0C4" w14:textId="43896718" w:rsidR="00CB1A51" w:rsidRDefault="007B242B" w:rsidP="00CB1A51">
      <w:pPr>
        <w:pStyle w:val="RSR"/>
      </w:pPr>
      <w:r>
        <w:t>Figure 1. shows the event-based cumulative energy sampled at block timestamps for both models and all miner counts. Ethereum curves rise much more steeply, and scaling with miner count is near-linear</w:t>
      </w:r>
      <w:r w:rsidR="00B9101B" w:rsidRPr="00B9101B">
        <w:t>.</w:t>
      </w:r>
    </w:p>
    <w:p w14:paraId="7E91E93E" w14:textId="65B19ECA" w:rsidR="007B242B" w:rsidRDefault="009724A3" w:rsidP="007B242B">
      <w:pPr>
        <w:pStyle w:val="RSR"/>
      </w:pPr>
      <w:r w:rsidRPr="009724A3">
        <w:t>Each figure 2-3 compares Bitcoin vs Ethereum for the same miner count 50 miners and 1000 miners respectively, illustrating that the gap widens predictably with network scale under the current power assumptions</w:t>
      </w:r>
      <w:r w:rsidR="007B242B">
        <w:t>.</w:t>
      </w:r>
    </w:p>
    <w:p w14:paraId="68B09162" w14:textId="0BEE3791" w:rsidR="007B242B" w:rsidRPr="00B9101B" w:rsidRDefault="007B242B" w:rsidP="004549E2">
      <w:pPr>
        <w:pStyle w:val="RSR"/>
      </w:pPr>
      <w:r w:rsidRPr="007B242B">
        <w:t>Overall, these results reinforce the well-known performance-energy relationship in PoW: increasing participating mining capacity increases total energy demand [</w:t>
      </w:r>
      <w:r w:rsidR="008A0DE1">
        <w:t>2</w:t>
      </w:r>
      <w:r w:rsidRPr="007B242B">
        <w:t>], [</w:t>
      </w:r>
      <w:r w:rsidR="008A0DE1">
        <w:t>17</w:t>
      </w:r>
      <w:r w:rsidRPr="007B242B">
        <w:t>]. Additionally, skewed mining power distributions (not shown here) tend to increase aggregate energy because dominant miners perform a larger share of work, consistent with centralization concerns that can worsen efficiency without necessarily improving throughput [</w:t>
      </w:r>
      <w:r w:rsidR="008A0DE1">
        <w:t>8</w:t>
      </w:r>
      <w:r w:rsidRPr="007B242B">
        <w:t>].</w:t>
      </w:r>
    </w:p>
    <w:p w14:paraId="387BEE53" w14:textId="5454084D" w:rsidR="00B9101B" w:rsidRPr="00B9101B" w:rsidRDefault="00B9101B" w:rsidP="00B9101B">
      <w:pPr>
        <w:pStyle w:val="Heading2"/>
      </w:pPr>
      <w:r w:rsidRPr="00B9101B">
        <w:t>B. Carbon Footprint Analysis</w:t>
      </w:r>
    </w:p>
    <w:p w14:paraId="4CC80AA3" w14:textId="4F5027A1" w:rsidR="004549E2" w:rsidRDefault="004549E2" w:rsidP="004549E2">
      <w:pPr>
        <w:pStyle w:val="RSR"/>
      </w:pPr>
      <w:r>
        <w:rPr>
          <w:rFonts w:ascii="Times New Roman" w:hAnsi="Times New Roman"/>
          <w:sz w:val="22"/>
        </w:rPr>
        <w:t xml:space="preserve">Carbon emissions closely follow energy consumption because emissions are computed directly from electricity usage </w:t>
      </w:r>
      <w:r>
        <w:rPr>
          <w:rFonts w:ascii="Times New Roman" w:hAnsi="Times New Roman"/>
          <w:color w:val="C00000"/>
          <w:sz w:val="22"/>
        </w:rPr>
        <w:t>via an emission factor that, in this revision, is varied across low/average/high grid scenarios rather than held fixed [3]</w:t>
      </w:r>
      <w:r>
        <w:rPr>
          <w:rFonts w:ascii="Times New Roman" w:hAnsi="Times New Roman"/>
          <w:sz w:val="22"/>
        </w:rPr>
        <w:t>. In the evaluated configuration, cumulative CO₂ totals increased proportionally with miner count:</w:t>
      </w:r>
    </w:p>
    <w:p w14:paraId="314CE981" w14:textId="493776F1" w:rsidR="004549E2" w:rsidRDefault="004549E2" w:rsidP="004549E2">
      <w:pPr>
        <w:pStyle w:val="RSR"/>
        <w:numPr>
          <w:ilvl w:val="0"/>
          <w:numId w:val="41"/>
        </w:numPr>
        <w:ind w:left="426" w:hanging="137"/>
      </w:pPr>
      <w:r>
        <w:t xml:space="preserve">Bitcoin: 1.75 kg </w:t>
      </w:r>
      <w:proofErr w:type="spellStart"/>
      <w:r>
        <w:t>CO₂e</w:t>
      </w:r>
      <w:proofErr w:type="spellEnd"/>
      <w:r>
        <w:t xml:space="preserve"> (50 miners) → 37.31 kg </w:t>
      </w:r>
      <w:proofErr w:type="spellStart"/>
      <w:r>
        <w:t>CO₂e</w:t>
      </w:r>
      <w:proofErr w:type="spellEnd"/>
      <w:r>
        <w:t xml:space="preserve"> (1000 miners)</w:t>
      </w:r>
    </w:p>
    <w:p w14:paraId="6EA6CEFB" w14:textId="5EB0429B" w:rsidR="004549E2" w:rsidRDefault="004549E2" w:rsidP="004549E2">
      <w:pPr>
        <w:pStyle w:val="RSR"/>
        <w:numPr>
          <w:ilvl w:val="0"/>
          <w:numId w:val="41"/>
        </w:numPr>
        <w:ind w:left="426" w:hanging="137"/>
      </w:pPr>
      <w:r>
        <w:t xml:space="preserve">Ethereum: 154.28 kg </w:t>
      </w:r>
      <w:proofErr w:type="spellStart"/>
      <w:r>
        <w:t>CO₂e</w:t>
      </w:r>
      <w:proofErr w:type="spellEnd"/>
      <w:r>
        <w:t xml:space="preserve"> (50 miners) → 3085.69 kg </w:t>
      </w:r>
      <w:proofErr w:type="spellStart"/>
      <w:r>
        <w:t>CO₂e</w:t>
      </w:r>
      <w:proofErr w:type="spellEnd"/>
      <w:r>
        <w:t xml:space="preserve"> (1000 miners)</w:t>
      </w:r>
    </w:p>
    <w:p w14:paraId="105F5A37" w14:textId="2B4EF9A7" w:rsidR="004549E2" w:rsidRDefault="004549E2" w:rsidP="004549E2">
      <w:pPr>
        <w:pStyle w:val="RSR"/>
      </w:pPr>
      <w:r>
        <w:t xml:space="preserve">As expected, the carbon curves preserve the same ordering and near-linear scaling as energy because the model uses a constant grid factor. This follows standard emissions accounting (kWh × </w:t>
      </w:r>
      <w:proofErr w:type="spellStart"/>
      <w:r>
        <w:t>kgCO₂e</w:t>
      </w:r>
      <w:proofErr w:type="spellEnd"/>
      <w:r>
        <w:t>/kWh).</w:t>
      </w:r>
    </w:p>
    <w:p>
      <w:r>
        <w:rPr>
          <w:rFonts w:ascii="Times New Roman" w:hAnsi="Times New Roman"/>
          <w:b w:val="0"/>
          <w:i w:val="0"/>
          <w:color w:val="C00000"/>
          <w:sz w:val="22"/>
        </w:rPr>
        <w:t>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w:t>
      </w:r>
      <w:r>
        <w:rPr>
          <w:rFonts w:ascii="Times New Roman" w:hAnsi="Times New Roman"/>
          <w:color w:val="C00000"/>
          <w:sz w:val="22"/>
        </w:rPr>
        <w:t xml:space="preserve"> Figure 10 reports the carbon-emission sensitivity under low, average, and high electricity emission factors γ.</w:t>
      </w:r>
    </w:p>
    <w:p>
      <w:pPr>
        <w:jc w:val="center"/>
      </w:pPr>
      <w:r>
        <w:drawing>
          <wp:inline xmlns:a="http://schemas.openxmlformats.org/drawingml/2006/main" xmlns:pic="http://schemas.openxmlformats.org/drawingml/2006/picture">
            <wp:extent cx="5212080" cy="2938201"/>
            <wp:docPr id="2043341622" name="Picture 2043341622"/>
            <wp:cNvGraphicFramePr>
              <a:graphicFrameLocks noChangeAspect="1"/>
            </wp:cNvGraphicFramePr>
            <a:graphic>
              <a:graphicData uri="http://schemas.openxmlformats.org/drawingml/2006/picture">
                <pic:pic>
                  <pic:nvPicPr>
                    <pic:cNvPr id="0" name="fig_carbon_vs_gamma.png"/>
                    <pic:cNvPicPr/>
                  </pic:nvPicPr>
                  <pic:blipFill>
                    <a:blip r:embed="rId35"/>
                    <a:stretch>
                      <a:fillRect/>
                    </a:stretch>
                  </pic:blipFill>
                  <pic:spPr>
                    <a:xfrm>
                      <a:off x="0" y="0"/>
                      <a:ext cx="5212080" cy="2938201"/>
                    </a:xfrm>
                    <a:prstGeom prst="rect"/>
                  </pic:spPr>
                </pic:pic>
              </a:graphicData>
            </a:graphic>
          </wp:inline>
        </w:drawing>
      </w:r>
    </w:p>
    <w:p>
      <w:pPr>
        <w:jc w:val="center"/>
      </w:pPr>
      <w:r>
        <w:rPr>
          <w:rFonts w:ascii="Times New Roman" w:hAnsi="Times New Roman"/>
          <w:i/>
          <w:color w:val="C00000"/>
          <w:sz w:val="19"/>
        </w:rPr>
        <w:t>Figure 10. Carbon emissions under low/average/high grid emission factors (log axis; 30 seeds, 95% CI).</w:t>
      </w:r>
    </w:p>
    <w:p w14:paraId="0572A89E" w14:textId="5EA3AEB2" w:rsidR="00B9101B" w:rsidRPr="00B9101B" w:rsidRDefault="004549E2" w:rsidP="004549E2">
      <w:pPr>
        <w:pStyle w:val="RSR"/>
      </w:pPr>
      <w:r>
        <w:t xml:space="preserve">Figure. 4 shows cumulative </w:t>
      </w:r>
      <w:proofErr w:type="spellStart"/>
      <w:r>
        <w:t>CO₂e</w:t>
      </w:r>
      <w:proofErr w:type="spellEnd"/>
      <w:r>
        <w:t xml:space="preserve"> (kg) sampled at block timestamps, highlighting the same scaling behavior observed for energy</w:t>
      </w:r>
      <w:r w:rsidR="00B9101B" w:rsidRPr="00B9101B">
        <w:t>.</w:t>
      </w:r>
    </w:p>
    <w:p w14:paraId="1E5E3721" w14:textId="5CCCE0B9" w:rsidR="004549E2" w:rsidRPr="009724A3" w:rsidRDefault="009724A3" w:rsidP="00B9101B">
      <w:pPr>
        <w:pStyle w:val="RSR"/>
      </w:pPr>
      <w:r>
        <w:t>F</w:t>
      </w:r>
      <w:r w:rsidRPr="009724A3">
        <w:t>igure</w:t>
      </w:r>
      <w:r>
        <w:t>s</w:t>
      </w:r>
      <w:r w:rsidRPr="009724A3">
        <w:t xml:space="preserve"> 5-6 compares Bitcoin vs Ethereum for the same miner count 50 miners and 1000 miners respectively, illustrating that the gap widens predictably with network scale under the current power assumptions.</w:t>
      </w:r>
    </w:p>
    <w:p w14:paraId="4A9EC8BE" w14:textId="470D71CC" w:rsidR="009724A3" w:rsidRPr="00B9101B" w:rsidRDefault="004549E2" w:rsidP="009724A3">
      <w:pPr>
        <w:pStyle w:val="RSR"/>
      </w:pPr>
      <w:r w:rsidRPr="009724A3">
        <w:t>By normalizing emissions at the block and transaction levels, the simulator enables direct comparison between protocol configurations, a feature that is often missing in retrospective carbon analyses [</w:t>
      </w:r>
      <w:r w:rsidR="008A0DE1">
        <w:t>3</w:t>
      </w:r>
      <w:r w:rsidRPr="009724A3">
        <w:t>], [</w:t>
      </w:r>
      <w:r w:rsidR="008A0DE1">
        <w:t>15</w:t>
      </w:r>
      <w:r w:rsidRPr="009724A3">
        <w:t>]. These metrics provide actionable insights into how protocol parameters and workloads influence environmental impa</w:t>
      </w:r>
      <w:r w:rsidRPr="004549E2">
        <w:t>ct</w:t>
      </w:r>
      <w:r w:rsidR="00B9101B" w:rsidRPr="00B9101B">
        <w:t>.</w:t>
      </w:r>
    </w:p>
    <w:p w14:paraId="235CC36B" w14:textId="3EB69A95" w:rsidR="00B9101B" w:rsidRPr="00B9101B" w:rsidRDefault="00B9101B" w:rsidP="00B9101B">
      <w:pPr>
        <w:pStyle w:val="Heading2"/>
      </w:pPr>
      <w:r w:rsidRPr="00B9101B">
        <w:t>C. Performance and Sustainability Trade-offs</w:t>
      </w:r>
    </w:p>
    <w:p w14:paraId="5FDE74AD" w14:textId="7C769EE8" w:rsidR="009724A3" w:rsidRDefault="009724A3" w:rsidP="009724A3">
      <w:pPr>
        <w:pStyle w:val="RSR"/>
      </w:pPr>
      <w:r>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t>2</w:t>
      </w:r>
      <w:r>
        <w:t>], [</w:t>
      </w:r>
      <w:r w:rsidR="008A0DE1">
        <w:t>17</w:t>
      </w:r>
      <w:r>
        <w:t>]. The integrated results demonstrate the value of a unified simulation framework that captures performance, energy, and carbon metrics simultaneously.</w:t>
      </w:r>
    </w:p>
    <w:p w14:paraId="149F5A7F" w14:textId="2D47C075" w:rsidR="009724A3" w:rsidRDefault="009724A3" w:rsidP="004E2EB7">
      <w:pPr>
        <w:pStyle w:val="RSR"/>
      </w:pPr>
      <w:r>
        <w:t xml:space="preserve">Overall, the results confirm that the proposed extensions enable </w:t>
      </w:r>
      <w:proofErr w:type="spellStart"/>
      <w:r>
        <w:t>BlockSim</w:t>
      </w:r>
      <w:proofErr w:type="spellEnd"/>
      <w:r>
        <w:t xml:space="preserve"> to serve as an effective tool for sustainability-aware blockchain evaluation, bridging the gap between performance analysis and environmental impact assessment</w:t>
      </w:r>
      <w:r w:rsidR="00B9101B" w:rsidRPr="00B9101B">
        <w:t>.</w:t>
      </w:r>
    </w:p>
    <w:p w14:paraId="47D7E9F7" w14:textId="55558448" w:rsidR="00B9101B" w:rsidRPr="00532EA6" w:rsidRDefault="000D0362" w:rsidP="00B9101B">
      <w:pPr>
        <w:pStyle w:val="Heading1"/>
        <w:numPr>
          <w:ilvl w:val="0"/>
          <w:numId w:val="1"/>
        </w:numPr>
        <w:ind w:left="360"/>
      </w:pPr>
      <w:r w:rsidRPr="000D0362">
        <w:t>Discussion and Threats to Validity</w:t>
      </w:r>
    </w:p>
    <w:p w14:paraId="36BE9959" w14:textId="0C3934FF" w:rsidR="00B9101B" w:rsidRPr="00B9101B" w:rsidRDefault="00B9101B" w:rsidP="00B9101B">
      <w:pPr>
        <w:pStyle w:val="Heading2"/>
        <w:rPr>
          <w:spacing w:val="-1"/>
        </w:rPr>
      </w:pPr>
      <w:r w:rsidRPr="00B9101B">
        <w:rPr>
          <w:spacing w:val="-1"/>
        </w:rPr>
        <w:t xml:space="preserve">A. </w:t>
      </w:r>
      <w:r w:rsidRPr="00B9101B">
        <w:rPr>
          <w:rStyle w:val="Heading2Char"/>
        </w:rPr>
        <w:t>Discussion</w:t>
      </w:r>
    </w:p>
    <w:p w14:paraId="3EF7B290" w14:textId="25D71B06" w:rsidR="00E22C62" w:rsidRDefault="00E22C62" w:rsidP="00E22C62">
      <w:pPr>
        <w:pStyle w:val="RSR"/>
      </w:pPr>
      <w:r>
        <w:t xml:space="preserve">The findings underscore the necessity of incorporating sustainability metrics directly into blockchain simulation frameworks. This study's extension of </w:t>
      </w:r>
      <w:proofErr w:type="spellStart"/>
      <w:r>
        <w:t>BlockSim</w:t>
      </w:r>
      <w:proofErr w:type="spellEnd"/>
      <w:r>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t>4</w:t>
      </w:r>
      <w:r>
        <w:t>], [</w:t>
      </w:r>
      <w:r w:rsidR="008A0DE1">
        <w:t>17</w:t>
      </w:r>
      <w:r>
        <w:t>].</w:t>
      </w:r>
    </w:p>
    <w:p w14:paraId="3F8A22DE" w14:textId="5CDB6E4A" w:rsidR="00E22C62" w:rsidRDefault="00E22C62" w:rsidP="00E22C62">
      <w:pPr>
        <w:pStyle w:val="RSR"/>
      </w:pPr>
      <w:r>
        <w:t>A key observation in the Bitcoin vs Ethereum comparison is that energy and CO₂ outcomes are highly sensitive to the chosen power model. In these experiments, Ethereum is configured with a fixed high per-miner power, which causes total network power to scale directly with miner count. This makes Ethereum’s cumulative energy and carbon footprint substantially larger than Bitcoin in absolute terms, even though Ethereum also produces many more blocks during the same simulation window. Methodologically, this emphasizes the need to clearly distinguish between (</w:t>
      </w:r>
      <w:proofErr w:type="spellStart"/>
      <w:r>
        <w:t>i</w:t>
      </w:r>
      <w:proofErr w:type="spellEnd"/>
      <w:r>
        <w:t xml:space="preserve">) scenarios that represent a growing mining industry (more miners = more total watts) and (ii) scenarios that represent redistribution of a fixed global </w:t>
      </w:r>
      <w:proofErr w:type="spellStart"/>
      <w:r>
        <w:t>hashrate</w:t>
      </w:r>
      <w:proofErr w:type="spellEnd"/>
      <w:r>
        <w:t xml:space="preserve"> across more participants.</w:t>
      </w:r>
    </w:p>
    <w:p w14:paraId="31686F59" w14:textId="567346B4" w:rsidR="00E22C62" w:rsidRDefault="00E22C62" w:rsidP="00E22C62">
      <w:pPr>
        <w:pStyle w:val="RSR"/>
      </w:pPr>
      <w:r>
        <w:t>The results corroborate that energy and carbon metrics exhibit predictable scaling in relation to network size and workload intensity, consistent with empirical data derived from actual blockchain systems [</w:t>
      </w:r>
      <w:r w:rsidR="008A0DE1">
        <w:t>3</w:t>
      </w:r>
      <w:r>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t>15</w:t>
      </w:r>
      <w:r>
        <w:t>]. Consequently, this strengthens the efficacy of simulation-based methodologies for investigating "what-if" scenarios during the design phase of blockchain protocols.</w:t>
      </w:r>
    </w:p>
    <w:p w14:paraId="2AC2E2E8" w14:textId="76A00FDF" w:rsidR="00B9101B" w:rsidRPr="00B9101B" w:rsidRDefault="00E22C62" w:rsidP="00E22C62">
      <w:pPr>
        <w:pStyle w:val="RSR"/>
      </w:pPr>
      <w:r>
        <w:t xml:space="preserve">Incorporating energy and carbon accounting into </w:t>
      </w:r>
      <w:proofErr w:type="spellStart"/>
      <w:r>
        <w:t>BlockSim</w:t>
      </w:r>
      <w:proofErr w:type="spellEnd"/>
      <w:r>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t>16</w:t>
      </w:r>
      <w:r>
        <w:t>]</w:t>
      </w:r>
      <w:r w:rsidR="00B9101B" w:rsidRPr="00B9101B">
        <w:t>.</w:t>
      </w:r>
    </w:p>
    <w:p w14:paraId="11879D26" w14:textId="7E2E5AAF" w:rsidR="00B9101B" w:rsidRPr="00B9101B" w:rsidRDefault="00B9101B" w:rsidP="00B9101B">
      <w:pPr>
        <w:pStyle w:val="Heading2"/>
      </w:pPr>
      <w:r w:rsidRPr="00B9101B">
        <w:lastRenderedPageBreak/>
        <w:t>B. Threats to Validity</w:t>
      </w:r>
    </w:p>
    <w:p w14:paraId="02759139" w14:textId="2C4F0397" w:rsidR="00E22C62" w:rsidRDefault="00E22C62" w:rsidP="00E22C62">
      <w:pPr>
        <w:pStyle w:val="RSR"/>
      </w:pPr>
      <w:r>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t>9</w:t>
      </w:r>
      <w:r>
        <w:t>].</w:t>
      </w:r>
    </w:p>
    <w:p w14:paraId="7350F8EE" w14:textId="1263A043" w:rsidR="00E22C62" w:rsidRDefault="00E22C62" w:rsidP="00E22C62">
      <w:pPr>
        <w:pStyle w:val="RSR"/>
      </w:pPr>
      <w:r>
        <w:t>The use of a fixed electricity emission factor to calculate carbon emissions limits external validity. In practice, carbon intensity varies significantly across different regions and over time, depending on the energy sources used [</w:t>
      </w:r>
      <w:r w:rsidR="008A0DE1">
        <w:t>3</w:t>
      </w:r>
      <w:r>
        <w:t>], [</w:t>
      </w:r>
      <w:r w:rsidR="008A0DE1">
        <w:t>15</w:t>
      </w:r>
      <w:r>
        <w:t>]. Although the model allows for adjustable emission factors, the results presented here reflect average conditions and may not apply to all situations where the model is used.</w:t>
      </w:r>
    </w:p>
    <w:p w14:paraId="25922ADC" w14:textId="4B28A674" w:rsidR="000D0362" w:rsidRPr="00B9101B" w:rsidRDefault="00E22C62" w:rsidP="00E22C62">
      <w:pPr>
        <w:pStyle w:val="RSR"/>
      </w:pPr>
      <w:r>
        <w:t xml:space="preserve">Construct validity is, in the final analysis, shaped by the degree of abstraction present within </w:t>
      </w:r>
      <w:proofErr w:type="spellStart"/>
      <w:r>
        <w:t>BlockSim</w:t>
      </w:r>
      <w:proofErr w:type="spellEnd"/>
      <w:r>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t>4</w:t>
      </w:r>
      <w:r>
        <w:t>], [</w:t>
      </w:r>
      <w:r w:rsidR="008A0DE1">
        <w:t>16</w:t>
      </w:r>
      <w:r>
        <w:t>]</w:t>
      </w:r>
      <w:r w:rsidR="00B9101B" w:rsidRPr="00B9101B">
        <w:t>.</w:t>
      </w:r>
    </w:p>
    <w:p>
      <w:r>
        <w:rPr>
          <w:rFonts w:ascii="Times New Roman" w:hAnsi="Times New Roman"/>
          <w:b w:val="0"/>
          <w:i w:val="0"/>
          <w:color w:val="C00000"/>
          <w:sz w:val="22"/>
        </w:rPr>
        <w:t>Additional limitations follow from the revised scope. First, the framework is a scenario-based explorer; the absolute energy and carbon values are model outputs for the chosen assumptions and are not intended to predict the exact real-world consumption of Bitcoin or Ethereum.</w:t>
      </w:r>
    </w:p>
    <w:p>
      <w:r>
        <w:rPr>
          <w:rFonts w:ascii="Times New Roman" w:hAnsi="Times New Roman"/>
          <w:b w:val="0"/>
          <w:i w:val="0"/>
          <w:color w:val="C00000"/>
          <w:sz w:val="22"/>
        </w:rPr>
        <w:t>Second, PoW energy is sensitive to coin price, block reward, transaction fees, electricity price, mining efficiency, and difficulty/hashrate dynamics, and to the spend ratio κ; PoS energy is sensitive to validator count, node hardware, uptime, redundancy, and communication overhead.</w:t>
      </w:r>
    </w:p>
    <w:p>
      <w:r>
        <w:rPr>
          <w:rFonts w:ascii="Times New Roman" w:hAnsi="Times New Roman"/>
          <w:b w:val="0"/>
          <w:i w:val="0"/>
          <w:color w:val="C00000"/>
          <w:sz w:val="22"/>
        </w:rPr>
        <w:t>Third, carbon depends strongly on region- and time-specific grid mixes; the γ scenarios bracket but do not resolve this variability. Finally, historical Ethereum-like PoW results must not be read as current Ethereum, which uses Proof-of-Stake, and communication energy, while small under PoW, can matter in PoS and high-throughput scenarios.</w:t>
      </w:r>
    </w:p>
    <w:p w14:paraId="315BB2CA" w14:textId="151A7298" w:rsidR="00B9101B" w:rsidRPr="00532EA6" w:rsidRDefault="00B9101B" w:rsidP="00B9101B">
      <w:pPr>
        <w:pStyle w:val="Heading1"/>
        <w:numPr>
          <w:ilvl w:val="0"/>
          <w:numId w:val="1"/>
        </w:numPr>
        <w:ind w:left="360"/>
      </w:pPr>
      <w:r w:rsidRPr="00B9101B">
        <w:t>Conclusion and Future Work</w:t>
      </w:r>
    </w:p>
    <w:p w14:paraId="3338A812" w14:textId="77777777" w:rsidR="00E22C62" w:rsidRDefault="00E22C62" w:rsidP="00E22C62">
      <w:pPr>
        <w:pStyle w:val="RSR"/>
      </w:pPr>
      <w:r>
        <w:t xml:space="preserve">This paper presented an extension of the </w:t>
      </w:r>
      <w:proofErr w:type="spellStart"/>
      <w:r>
        <w:t>BlockSim</w:t>
      </w:r>
      <w:proofErr w:type="spellEnd"/>
      <w:r>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1F9490C9" w14:textId="513C9127" w:rsidR="00E22C62" w:rsidRDefault="00E22C62" w:rsidP="00E22C62">
      <w:pPr>
        <w:pStyle w:val="RSR"/>
      </w:pPr>
      <w:r>
        <w:t>The experimental results demonstrate that energy usage and carbon emissions scale predictably with network size, workload intensity, and consensus configuration, in line with prior empirical and analytical studies of blockchain systems [</w:t>
      </w:r>
      <w:r w:rsidR="008A0DE1">
        <w:t>16</w:t>
      </w:r>
      <w:r>
        <w:t>], [</w:t>
      </w:r>
      <w:r w:rsidR="008A0DE1">
        <w:t>2</w:t>
      </w:r>
      <w:r>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t>4</w:t>
      </w:r>
      <w:r>
        <w:t xml:space="preserve">]. These results corroborate that augmenting </w:t>
      </w:r>
      <w:proofErr w:type="spellStart"/>
      <w:r>
        <w:t>BlockSim</w:t>
      </w:r>
      <w:proofErr w:type="spellEnd"/>
      <w:r>
        <w:t xml:space="preserve"> maintains its advantages in terms of flexibility and abstraction, while simultaneously expanding its utility for research centered on sustainability.</w:t>
      </w:r>
    </w:p>
    <w:p w14:paraId="2183251F" w14:textId="22DCFB19" w:rsidR="00E22C62" w:rsidRDefault="00E22C62" w:rsidP="00E22C62">
      <w:pPr>
        <w:pStyle w:val="RSR"/>
      </w:pPr>
      <w:r>
        <w:t>Several avenues for future research are suggested by the findings of this study. Initially, the energy model's accuracy could be enhanced by integrating hardware-</w:t>
      </w:r>
      <w:r>
        <w:t>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t>3</w:t>
      </w:r>
      <w:r>
        <w:t>]. Furthermore, the framework's scope could be broadened to incorporate emerging low-energy consensus mechanisms, thus facilitating direct comparisons between traditional Proof of Work and alternative, sustainability-oriented designs [</w:t>
      </w:r>
      <w:r w:rsidR="008A0DE1">
        <w:t>12</w:t>
      </w:r>
      <w:r>
        <w:t xml:space="preserve">]. Ultimately, integrating the improved </w:t>
      </w:r>
      <w:proofErr w:type="spellStart"/>
      <w:r>
        <w:t>BlockSim</w:t>
      </w:r>
      <w:proofErr w:type="spellEnd"/>
      <w:r>
        <w:t xml:space="preserve"> with more advanced network simulators or real-world data offers a potentially effective approach to reconcile the gap between theoretical modeling and practical blockchain applications.</w:t>
      </w:r>
    </w:p>
    <w:p w14:paraId="208234C1" w14:textId="3F33CF48" w:rsidR="00B9101B" w:rsidRPr="00B9101B" w:rsidRDefault="00E22C62" w:rsidP="00E22C62">
      <w:pPr>
        <w:pStyle w:val="RSR"/>
      </w:pPr>
      <w:r>
        <w:t>Overall, this work contributes a practical and extensible foundation for sustainability-aware blockchain simulation, supporting future research on environmentally responsible decentralized systems</w:t>
      </w:r>
      <w:r w:rsidR="00B9101B" w:rsidRPr="00B9101B">
        <w:t>.</w:t>
      </w:r>
    </w:p>
    <w:bookmarkEnd w:id="0"/>
    <w:p w14:paraId="73DC09C0" w14:textId="77777777" w:rsidR="004E2EB7" w:rsidRDefault="004E2EB7">
      <w:pPr>
        <w:spacing w:after="0" w:line="240" w:lineRule="auto"/>
        <w:rPr>
          <w:rFonts w:ascii="Times New Roman" w:eastAsia="SimSun" w:hAnsi="Times New Roman"/>
          <w:smallCaps/>
          <w:noProof/>
          <w:sz w:val="20"/>
          <w:szCs w:val="20"/>
          <w:lang w:val="en-US"/>
        </w:rPr>
      </w:pPr>
      <w:r>
        <w:br w:type="page"/>
      </w:r>
    </w:p>
    <w:p w14:paraId="523F5F2E" w14:textId="77777777" w:rsidR="00CC5DD6" w:rsidRPr="00CC5DD6" w:rsidRDefault="00CC5DD6" w:rsidP="00CC5DD6">
      <w:pPr>
        <w:spacing w:after="0" w:line="240" w:lineRule="auto"/>
        <w:rPr>
          <w:b/>
          <w:bCs/>
          <w:i/>
          <w:iCs/>
          <w:sz w:val="28"/>
          <w:szCs w:val="28"/>
        </w:rPr>
      </w:pPr>
      <w:r w:rsidRPr="00CC5DD6">
        <w:rPr>
          <w:b/>
          <w:bCs/>
          <w:i/>
          <w:iCs/>
          <w:sz w:val="28"/>
          <w:szCs w:val="28"/>
        </w:rPr>
        <w:lastRenderedPageBreak/>
        <w:t>Declarations</w:t>
      </w:r>
    </w:p>
    <w:p w14:paraId="64334931" w14:textId="77777777" w:rsidR="00CC5DD6" w:rsidRDefault="00CC5DD6" w:rsidP="00CC5DD6">
      <w:pPr>
        <w:spacing w:after="0" w:line="240" w:lineRule="auto"/>
      </w:pPr>
    </w:p>
    <w:p w14:paraId="1E8BC2B5" w14:textId="77777777" w:rsidR="00CC5DD6" w:rsidRDefault="00CC5DD6" w:rsidP="00CC5DD6">
      <w:pPr>
        <w:spacing w:after="0" w:line="240" w:lineRule="auto"/>
      </w:pPr>
      <w:r w:rsidRPr="00CC5DD6">
        <w:rPr>
          <w:b/>
          <w:bCs/>
        </w:rPr>
        <w:t>Ethics approval:</w:t>
      </w:r>
      <w:r>
        <w:t xml:space="preserve"> Not applicable. This study is based solely on simulation and does not involve human participants, human data, human tissue, or animals; therefore, ethics committee/IRB approval was not required.</w:t>
      </w:r>
    </w:p>
    <w:p w14:paraId="72B94E6D" w14:textId="77777777" w:rsidR="00CC5DD6" w:rsidRDefault="00CC5DD6" w:rsidP="00CC5DD6">
      <w:pPr>
        <w:spacing w:after="0" w:line="240" w:lineRule="auto"/>
      </w:pPr>
    </w:p>
    <w:p w14:paraId="4A02A009" w14:textId="77777777" w:rsidR="00CC5DD6" w:rsidRDefault="00CC5DD6" w:rsidP="00CC5DD6">
      <w:pPr>
        <w:spacing w:after="0" w:line="240" w:lineRule="auto"/>
      </w:pPr>
      <w:r w:rsidRPr="00CC5DD6">
        <w:rPr>
          <w:b/>
          <w:bCs/>
        </w:rPr>
        <w:t>Consent to participate:</w:t>
      </w:r>
      <w:r>
        <w:t xml:space="preserve"> Not applicable.</w:t>
      </w:r>
    </w:p>
    <w:p w14:paraId="61C25D99" w14:textId="77777777" w:rsidR="00CC5DD6" w:rsidRDefault="00CC5DD6" w:rsidP="00CC5DD6">
      <w:pPr>
        <w:spacing w:after="0" w:line="240" w:lineRule="auto"/>
      </w:pPr>
    </w:p>
    <w:p w14:paraId="788D98BC" w14:textId="77777777" w:rsidR="00CC5DD6" w:rsidRDefault="00CC5DD6" w:rsidP="00CC5DD6">
      <w:pPr>
        <w:spacing w:after="0" w:line="240" w:lineRule="auto"/>
      </w:pPr>
      <w:r w:rsidRPr="00CC5DD6">
        <w:rPr>
          <w:b/>
          <w:bCs/>
        </w:rPr>
        <w:t>Consent for publication:</w:t>
      </w:r>
      <w:r>
        <w:t xml:space="preserve"> Not applicable. This manuscript does not contain any individual person’s data in any form (including identifiable details, images, or videos).</w:t>
      </w:r>
    </w:p>
    <w:p w14:paraId="6B29628C" w14:textId="77777777" w:rsidR="00CC5DD6" w:rsidRDefault="00CC5DD6" w:rsidP="00CC5DD6">
      <w:pPr>
        <w:spacing w:after="0" w:line="240" w:lineRule="auto"/>
      </w:pPr>
    </w:p>
    <w:p w14:paraId="68C00B3F" w14:textId="2DB6979C" w:rsidR="00CC5DD6" w:rsidRDefault="00CC5DD6" w:rsidP="00CC5DD6">
      <w:pPr>
        <w:spacing w:after="0" w:line="240" w:lineRule="auto"/>
        <w:rPr>
          <w:rFonts w:ascii="Times New Roman" w:eastAsia="SimSun" w:hAnsi="Times New Roman"/>
          <w:smallCaps/>
          <w:noProof/>
          <w:sz w:val="20"/>
          <w:szCs w:val="20"/>
          <w:lang w:val="en-US"/>
        </w:rPr>
      </w:pPr>
      <w:r w:rsidRPr="00CC5DD6">
        <w:rPr>
          <w:b/>
          <w:bCs/>
        </w:rPr>
        <w:t>Funding:</w:t>
      </w:r>
      <w:r>
        <w:t xml:space="preserve"> No funding was received for conducting this study.</w:t>
      </w:r>
      <w:r>
        <w:br w:type="page"/>
      </w:r>
    </w:p>
    <w:p w14:paraId="68771C4F" w14:textId="401B0C9F" w:rsidR="00DC3864" w:rsidRPr="00DC3864" w:rsidRDefault="00DC3864" w:rsidP="00DC3864">
      <w:pPr>
        <w:pStyle w:val="Heading1"/>
        <w:tabs>
          <w:tab w:val="clear" w:pos="576"/>
        </w:tabs>
        <w:ind w:firstLine="0"/>
        <w:jc w:val="left"/>
        <w:divId w:val="27487803"/>
      </w:pPr>
      <w:r>
        <w:lastRenderedPageBreak/>
        <w:t>References</w:t>
      </w:r>
    </w:p>
    <w:p w14:paraId="24ABD522" w14:textId="43E3FA34" w:rsidR="007114E1" w:rsidRPr="008A0DE1"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8A0DE1">
        <w:rPr>
          <w:rFonts w:ascii="Times New Roman" w:eastAsia="SimSun" w:hAnsi="Times New Roman"/>
          <w:spacing w:val="-1"/>
          <w:sz w:val="20"/>
          <w:szCs w:val="20"/>
          <w:lang w:val="en-US"/>
        </w:rPr>
        <w:t>S. Nakamoto, “Bitcoin: A Peer-to-Peer Electronic Cash System,” 2008.</w:t>
      </w:r>
    </w:p>
    <w:p w14:paraId="3180063A" w14:textId="77777777" w:rsidR="008A0DE1" w:rsidRDefault="008A0DE1" w:rsidP="008A0DE1">
      <w:pPr>
        <w:pStyle w:val="RSR"/>
        <w:numPr>
          <w:ilvl w:val="0"/>
          <w:numId w:val="39"/>
        </w:numPr>
        <w:spacing w:after="0"/>
      </w:pPr>
      <w:r>
        <w:t>A. de Vries, “Bitcoin’s Growing Energy Problem,” Joule, vol. 2, no. 5, pp. 801–805, 2018.</w:t>
      </w:r>
    </w:p>
    <w:p w14:paraId="6F1C3E48" w14:textId="2DB7F841" w:rsidR="007114E1" w:rsidRPr="000D0362" w:rsidRDefault="008A0DE1" w:rsidP="008A0DE1">
      <w:pPr>
        <w:pStyle w:val="RSR"/>
        <w:spacing w:after="0"/>
        <w:ind w:left="360" w:firstLine="0"/>
      </w:pPr>
      <w:hyperlink r:id="rId14" w:history="1">
        <w:r w:rsidRPr="00C17E8C">
          <w:rPr>
            <w:rStyle w:val="Hyperlink"/>
          </w:rPr>
          <w:t>https://doi.org/10.1016/j.joule.2018.04.016</w:t>
        </w:r>
      </w:hyperlink>
      <w:r>
        <w:t xml:space="preserve"> </w:t>
      </w:r>
    </w:p>
    <w:p w14:paraId="270C7CAE" w14:textId="77777777" w:rsidR="008A0DE1" w:rsidRDefault="008A0DE1" w:rsidP="008A0DE1">
      <w:pPr>
        <w:pStyle w:val="RSR"/>
        <w:numPr>
          <w:ilvl w:val="0"/>
          <w:numId w:val="39"/>
        </w:numPr>
        <w:spacing w:after="0"/>
      </w:pPr>
      <w:r>
        <w:t xml:space="preserve">C. Stoll, L. </w:t>
      </w:r>
      <w:proofErr w:type="spellStart"/>
      <w:r>
        <w:t>Klaaßen</w:t>
      </w:r>
      <w:proofErr w:type="spellEnd"/>
      <w:r>
        <w:t xml:space="preserve">, and U. </w:t>
      </w:r>
      <w:proofErr w:type="spellStart"/>
      <w:r>
        <w:t>Gallersdörfer</w:t>
      </w:r>
      <w:proofErr w:type="spellEnd"/>
      <w:r>
        <w:t>, “The Carbon Footprint of Bitcoin,” Nature Climate Change, vol. 9, no. 10, pp. 798–800, 2019.</w:t>
      </w:r>
    </w:p>
    <w:p w14:paraId="298E548E" w14:textId="514B15DF" w:rsidR="007114E1" w:rsidRPr="000D0362" w:rsidRDefault="008A0DE1" w:rsidP="008A0DE1">
      <w:pPr>
        <w:pStyle w:val="RSR"/>
        <w:spacing w:after="0"/>
        <w:ind w:left="360" w:firstLine="0"/>
      </w:pPr>
      <w:hyperlink r:id="rId15" w:history="1">
        <w:r w:rsidRPr="00C17E8C">
          <w:rPr>
            <w:rStyle w:val="Hyperlink"/>
          </w:rPr>
          <w:t>https://doi.org/10.1016/j.joule.2019.05.012</w:t>
        </w:r>
      </w:hyperlink>
      <w:r>
        <w:t xml:space="preserve"> </w:t>
      </w:r>
    </w:p>
    <w:p w14:paraId="40CCB3FF" w14:textId="77777777" w:rsidR="00181B86" w:rsidRDefault="00181B86" w:rsidP="00181B86">
      <w:pPr>
        <w:pStyle w:val="RSR"/>
        <w:numPr>
          <w:ilvl w:val="0"/>
          <w:numId w:val="39"/>
        </w:numPr>
        <w:spacing w:after="0"/>
      </w:pPr>
      <w:r>
        <w:t xml:space="preserve">M. </w:t>
      </w:r>
      <w:proofErr w:type="spellStart"/>
      <w:r>
        <w:t>Alharby</w:t>
      </w:r>
      <w:proofErr w:type="spellEnd"/>
      <w:r>
        <w:t xml:space="preserve"> and A. van </w:t>
      </w:r>
      <w:proofErr w:type="spellStart"/>
      <w:r>
        <w:t>Moorsel</w:t>
      </w:r>
      <w:proofErr w:type="spellEnd"/>
      <w:r>
        <w:t>, “</w:t>
      </w:r>
      <w:proofErr w:type="spellStart"/>
      <w:r>
        <w:t>BlockSim</w:t>
      </w:r>
      <w:proofErr w:type="spellEnd"/>
      <w:r>
        <w:t>: A Simulation Framework for Blockchain Systems,” Frontiers in Blockchain, vol. 3, Art. no. 28, 2020.</w:t>
      </w:r>
    </w:p>
    <w:p w14:paraId="544EA3ED" w14:textId="765DBD29" w:rsidR="007114E1" w:rsidRPr="000D0362" w:rsidRDefault="00181B86" w:rsidP="00181B86">
      <w:pPr>
        <w:pStyle w:val="RSR"/>
        <w:spacing w:after="0"/>
        <w:ind w:left="360" w:firstLine="0"/>
      </w:pPr>
      <w:hyperlink r:id="rId16" w:history="1">
        <w:r w:rsidRPr="00C17E8C">
          <w:rPr>
            <w:rStyle w:val="Hyperlink"/>
          </w:rPr>
          <w:t>https://dl.acm.org/doi/10.1145/3308897.3308956</w:t>
        </w:r>
      </w:hyperlink>
      <w:r>
        <w:t xml:space="preserve"> </w:t>
      </w:r>
    </w:p>
    <w:p w14:paraId="4B237F17" w14:textId="77777777" w:rsidR="00181B86" w:rsidRDefault="00181B86" w:rsidP="00181B86">
      <w:pPr>
        <w:pStyle w:val="RSR"/>
        <w:numPr>
          <w:ilvl w:val="0"/>
          <w:numId w:val="39"/>
        </w:numPr>
        <w:spacing w:after="0"/>
      </w:pPr>
      <w:r w:rsidRPr="00181B86">
        <w:t xml:space="preserve">Singh, Brijendra Pratap, and Manoj Madhava Gore. "Cyber-physical energy system simulation tool: framework for network co-simulation, </w:t>
      </w:r>
      <w:proofErr w:type="spellStart"/>
      <w:r w:rsidRPr="00181B86">
        <w:t>GridLAB</w:t>
      </w:r>
      <w:proofErr w:type="spellEnd"/>
      <w:r w:rsidRPr="00181B86">
        <w:t>-D and ns-3." International Journal of Simulation and Process Modelling 18, no. 4 (2022): 314-328.</w:t>
      </w:r>
    </w:p>
    <w:p w14:paraId="67F39ADB" w14:textId="1EFD6C90" w:rsidR="007114E1" w:rsidRPr="000D0362" w:rsidRDefault="00181B86" w:rsidP="00181B86">
      <w:pPr>
        <w:pStyle w:val="RSR"/>
        <w:spacing w:after="0"/>
        <w:ind w:left="360" w:firstLine="0"/>
      </w:pPr>
      <w:hyperlink r:id="rId17" w:history="1">
        <w:r w:rsidRPr="00C17E8C">
          <w:rPr>
            <w:rStyle w:val="Hyperlink"/>
          </w:rPr>
          <w:t>https://doi.org/10.1504/IJSPM.2022.128289</w:t>
        </w:r>
      </w:hyperlink>
      <w:r>
        <w:t xml:space="preserve"> </w:t>
      </w:r>
    </w:p>
    <w:p w14:paraId="6460F30F" w14:textId="77777777" w:rsidR="00181B86" w:rsidRDefault="00181B86" w:rsidP="00181B86">
      <w:pPr>
        <w:pStyle w:val="RSR"/>
        <w:numPr>
          <w:ilvl w:val="0"/>
          <w:numId w:val="39"/>
        </w:numPr>
        <w:spacing w:after="0"/>
      </w:pPr>
      <w:r>
        <w:t xml:space="preserve">Y. Aoki, K. Otsuki, T. Kaneko, R. Banno, and K. </w:t>
      </w:r>
      <w:proofErr w:type="spellStart"/>
      <w:r>
        <w:t>Shudo</w:t>
      </w:r>
      <w:proofErr w:type="spellEnd"/>
      <w:r>
        <w:t>, “</w:t>
      </w:r>
      <w:proofErr w:type="spellStart"/>
      <w:r>
        <w:t>SimBlock</w:t>
      </w:r>
      <w:proofErr w:type="spellEnd"/>
      <w:r>
        <w:t>: A Blockchain Network Simulator,” IEEE INFOCOM Workshops, pp. 325–329, 2019.</w:t>
      </w:r>
    </w:p>
    <w:p w14:paraId="3CF668F7" w14:textId="770CD48B" w:rsidR="007114E1" w:rsidRPr="000D0362" w:rsidRDefault="00181B86" w:rsidP="00181B86">
      <w:pPr>
        <w:pStyle w:val="RSR"/>
        <w:spacing w:after="0"/>
        <w:ind w:left="360" w:firstLine="0"/>
      </w:pPr>
      <w:hyperlink r:id="rId18" w:history="1">
        <w:r w:rsidRPr="00C17E8C">
          <w:rPr>
            <w:rStyle w:val="Hyperlink"/>
          </w:rPr>
          <w:t>https://doi.org/10.1109/INFCOMW.2019.8845253</w:t>
        </w:r>
      </w:hyperlink>
      <w:r>
        <w:t xml:space="preserve"> </w:t>
      </w:r>
    </w:p>
    <w:p w14:paraId="7512D2C8" w14:textId="77777777" w:rsidR="00181B86" w:rsidRDefault="00181B86" w:rsidP="00181B86">
      <w:pPr>
        <w:pStyle w:val="RSR"/>
        <w:numPr>
          <w:ilvl w:val="0"/>
          <w:numId w:val="39"/>
        </w:numPr>
        <w:spacing w:after="0"/>
      </w:pPr>
      <w:r>
        <w:t>J. B. Schwartz et al., “JABS: A Framework for Blockchain Consensus Evaluation,” IEEE Transactions on Network and Service Management, vol. 17, no. 2, pp. 1274–1287, 2020.</w:t>
      </w:r>
    </w:p>
    <w:p w14:paraId="5425A4BF" w14:textId="655C61F4" w:rsidR="007114E1" w:rsidRPr="000D0362" w:rsidRDefault="00181B86" w:rsidP="00181B86">
      <w:pPr>
        <w:pStyle w:val="RSR"/>
        <w:spacing w:after="0"/>
        <w:ind w:left="360" w:firstLine="0"/>
      </w:pPr>
      <w:hyperlink r:id="rId19" w:history="1">
        <w:r w:rsidRPr="00C17E8C">
          <w:rPr>
            <w:rStyle w:val="Hyperlink"/>
          </w:rPr>
          <w:t>https://doi.org/10.1109/TNSE.2023.3282916</w:t>
        </w:r>
      </w:hyperlink>
      <w:r>
        <w:t xml:space="preserve"> </w:t>
      </w:r>
    </w:p>
    <w:p w14:paraId="15B98989" w14:textId="77777777" w:rsidR="00181B86" w:rsidRDefault="00181B86" w:rsidP="00181B86">
      <w:pPr>
        <w:pStyle w:val="RSR"/>
        <w:numPr>
          <w:ilvl w:val="0"/>
          <w:numId w:val="39"/>
        </w:numPr>
        <w:spacing w:after="0"/>
      </w:pPr>
      <w:r>
        <w:t>C. Gervais et al., “On the Security and Performance of Proof of Work Blockchains,” ACM CCS, pp. 3–16, 2016.</w:t>
      </w:r>
    </w:p>
    <w:p w14:paraId="432E0522" w14:textId="50B7788D" w:rsidR="007114E1" w:rsidRPr="000D0362" w:rsidRDefault="00181B86" w:rsidP="00181B86">
      <w:pPr>
        <w:pStyle w:val="RSR"/>
        <w:spacing w:after="0"/>
        <w:ind w:left="360" w:firstLine="0"/>
      </w:pPr>
      <w:hyperlink r:id="rId20" w:history="1">
        <w:r w:rsidRPr="00C17E8C">
          <w:rPr>
            <w:rStyle w:val="Hyperlink"/>
          </w:rPr>
          <w:t>https://doi.org/10.1145/2976749.2978341</w:t>
        </w:r>
      </w:hyperlink>
      <w:r>
        <w:t xml:space="preserve"> </w:t>
      </w:r>
    </w:p>
    <w:p w14:paraId="2D2631A9" w14:textId="77777777" w:rsidR="00181B86" w:rsidRDefault="00181B86" w:rsidP="00181B86">
      <w:pPr>
        <w:pStyle w:val="RSR"/>
        <w:numPr>
          <w:ilvl w:val="0"/>
          <w:numId w:val="39"/>
        </w:numPr>
        <w:spacing w:after="0"/>
      </w:pPr>
      <w:r>
        <w:t>D. R. Figueiredo et al., “An Energy Framework for the ns-3 Network Simulator (ns-3),” Simulation Modelling Practice and Theory, vol. 29, pp. 1–15, 2012.</w:t>
      </w:r>
    </w:p>
    <w:p w14:paraId="68A49532" w14:textId="4A2311CC" w:rsidR="007114E1" w:rsidRPr="000D0362" w:rsidRDefault="00181B86" w:rsidP="00181B86">
      <w:pPr>
        <w:pStyle w:val="RSR"/>
        <w:spacing w:after="0"/>
        <w:ind w:left="360" w:firstLine="0"/>
      </w:pPr>
      <w:hyperlink r:id="rId21" w:history="1">
        <w:r w:rsidRPr="00C17E8C">
          <w:rPr>
            <w:rStyle w:val="Hyperlink"/>
          </w:rPr>
          <w:t>https://doi.org/10.4108/icst.simutools.2011.245534</w:t>
        </w:r>
      </w:hyperlink>
      <w:r>
        <w:t xml:space="preserve"> </w:t>
      </w:r>
    </w:p>
    <w:p w14:paraId="35274210" w14:textId="77777777" w:rsidR="00ED4253" w:rsidRDefault="00ED4253" w:rsidP="00ED4253">
      <w:pPr>
        <w:pStyle w:val="RSR"/>
        <w:numPr>
          <w:ilvl w:val="0"/>
          <w:numId w:val="39"/>
        </w:numPr>
        <w:spacing w:after="0"/>
      </w:pPr>
      <w:r w:rsidRPr="00ED4253">
        <w:t xml:space="preserve">Lund, Eirik Harald, Letizia Jaccheri, </w:t>
      </w:r>
      <w:proofErr w:type="spellStart"/>
      <w:r w:rsidRPr="00ED4253">
        <w:t>Jingyue</w:t>
      </w:r>
      <w:proofErr w:type="spellEnd"/>
      <w:r w:rsidRPr="00ED4253">
        <w:t xml:space="preserve"> Li, Orges Cico, and Xiaoying Bai. "Blockchain and sustainability: A systematic mapping study." In 2019 IEEE/ACM 2nd International Workshop on Emerging Trends in Software Engineering for Blockchain (WETSEB), pp. 16-23. IEEE, 2019.</w:t>
      </w:r>
    </w:p>
    <w:p w14:paraId="6C655C53" w14:textId="33712287" w:rsidR="007114E1" w:rsidRDefault="00ED4253" w:rsidP="00ED4253">
      <w:pPr>
        <w:pStyle w:val="RSR"/>
        <w:spacing w:after="0"/>
        <w:ind w:left="360" w:firstLine="0"/>
      </w:pPr>
      <w:hyperlink r:id="rId22" w:history="1">
        <w:r w:rsidRPr="00C17E8C">
          <w:rPr>
            <w:rStyle w:val="Hyperlink"/>
          </w:rPr>
          <w:t>https://doi.org/10.1109/WETSEB.2019.00009</w:t>
        </w:r>
      </w:hyperlink>
      <w:r>
        <w:t xml:space="preserve"> </w:t>
      </w:r>
      <w:r w:rsidR="007114E1" w:rsidRPr="000D0362">
        <w:t>.</w:t>
      </w:r>
    </w:p>
    <w:p w14:paraId="640D1551" w14:textId="77777777" w:rsidR="00ED4253" w:rsidRDefault="00ED4253" w:rsidP="00ED4253">
      <w:pPr>
        <w:pStyle w:val="RSR"/>
        <w:numPr>
          <w:ilvl w:val="0"/>
          <w:numId w:val="39"/>
        </w:numPr>
        <w:spacing w:after="0"/>
      </w:pPr>
      <w:r>
        <w:t>L. M. Feeney and M. Nilsson, “Investigating the Energy Consumption of a Wireless Network Interface in an Ad Hoc Networking Environment,” IEEE INFOCOM, pp. 1548–1557, 2001.</w:t>
      </w:r>
    </w:p>
    <w:p w14:paraId="5A80803A" w14:textId="7DBF2504" w:rsidR="00E35852" w:rsidRDefault="00ED4253" w:rsidP="00ED4253">
      <w:pPr>
        <w:pStyle w:val="RSR"/>
        <w:spacing w:after="0"/>
        <w:ind w:left="360" w:firstLine="0"/>
      </w:pPr>
      <w:hyperlink r:id="rId23" w:history="1">
        <w:r w:rsidRPr="00C17E8C">
          <w:rPr>
            <w:rStyle w:val="Hyperlink"/>
          </w:rPr>
          <w:t>https://doi.org/10.1109/INFCOM.2001.916651</w:t>
        </w:r>
      </w:hyperlink>
      <w:r>
        <w:t xml:space="preserve"> </w:t>
      </w:r>
    </w:p>
    <w:p w14:paraId="220579CC" w14:textId="77777777" w:rsidR="00ED4253" w:rsidRDefault="00ED4253" w:rsidP="00ED4253">
      <w:pPr>
        <w:pStyle w:val="RSR"/>
        <w:numPr>
          <w:ilvl w:val="0"/>
          <w:numId w:val="39"/>
        </w:numPr>
        <w:spacing w:after="0"/>
      </w:pPr>
      <w:r>
        <w:t>Y. Xiao, N. Zhang, W. Lou, and Y. T. Hou, “A Survey of Distributed Consensus Protocols for Blockchain Networks,” IEEE Communications Surveys &amp; Tutorials, vol. 22, no. 2, pp. 1432–1465, 2020.</w:t>
      </w:r>
    </w:p>
    <w:p w14:paraId="4CA5E442" w14:textId="07DC2329" w:rsidR="00E35852" w:rsidRPr="000D0362" w:rsidRDefault="00ED4253" w:rsidP="00ED4253">
      <w:pPr>
        <w:pStyle w:val="RSR"/>
        <w:spacing w:after="0"/>
        <w:ind w:left="360" w:firstLine="0"/>
      </w:pPr>
      <w:hyperlink r:id="rId24" w:history="1">
        <w:r w:rsidRPr="00C17E8C">
          <w:rPr>
            <w:rStyle w:val="Hyperlink"/>
          </w:rPr>
          <w:t>https://doi.org/10.1109/COMST.2020.2969706</w:t>
        </w:r>
      </w:hyperlink>
      <w:r>
        <w:t xml:space="preserve"> </w:t>
      </w:r>
    </w:p>
    <w:p w14:paraId="32F7235A" w14:textId="77777777" w:rsidR="00ED4253" w:rsidRDefault="00ED4253" w:rsidP="00ED4253">
      <w:pPr>
        <w:pStyle w:val="RSR"/>
        <w:numPr>
          <w:ilvl w:val="0"/>
          <w:numId w:val="39"/>
        </w:numPr>
        <w:spacing w:after="0"/>
      </w:pPr>
      <w:r>
        <w:t xml:space="preserve">G. P. Peters, R. M. Andrew, T. Boden, J. G. </w:t>
      </w:r>
      <w:proofErr w:type="spellStart"/>
      <w:r>
        <w:t>Canadell</w:t>
      </w:r>
      <w:proofErr w:type="spellEnd"/>
      <w:r>
        <w:t xml:space="preserve">, and P. </w:t>
      </w:r>
      <w:proofErr w:type="spellStart"/>
      <w:r>
        <w:t>Friedlingstein</w:t>
      </w:r>
      <w:proofErr w:type="spellEnd"/>
      <w:r>
        <w:t>, “The Challenge to Keep Global Warming Below 2 °C,” Nature Climate Change, vol. 3, no. 1, pp. 4–6, 2013.</w:t>
      </w:r>
    </w:p>
    <w:p w14:paraId="1ACA7E05" w14:textId="3F0F9977" w:rsidR="007114E1" w:rsidRPr="000D0362" w:rsidRDefault="00ED4253" w:rsidP="00ED4253">
      <w:pPr>
        <w:pStyle w:val="RSR"/>
        <w:spacing w:after="0"/>
        <w:ind w:left="360" w:firstLine="0"/>
      </w:pPr>
      <w:hyperlink r:id="rId25" w:history="1">
        <w:r w:rsidRPr="00C17E8C">
          <w:rPr>
            <w:rStyle w:val="Hyperlink"/>
          </w:rPr>
          <w:t>https://doi.org/10.1038/nclimate1783</w:t>
        </w:r>
      </w:hyperlink>
      <w:r>
        <w:t xml:space="preserve"> </w:t>
      </w:r>
    </w:p>
    <w:p w14:paraId="1A3D4A78" w14:textId="77777777" w:rsidR="00ED4253" w:rsidRDefault="00ED4253" w:rsidP="00ED4253">
      <w:pPr>
        <w:pStyle w:val="RSR"/>
        <w:numPr>
          <w:ilvl w:val="0"/>
          <w:numId w:val="39"/>
        </w:numPr>
        <w:spacing w:after="0"/>
      </w:pPr>
      <w:r>
        <w:t>IPCC, “2019 Refinement to the 2006 IPCC Guidelines for National Greenhouse Gas Inventories,” Intergovernmental Panel on Climate Change, 2019.</w:t>
      </w:r>
    </w:p>
    <w:p w14:paraId="3C5E9497" w14:textId="785924A6" w:rsidR="00ED4253" w:rsidRDefault="00ED4253" w:rsidP="00ED4253">
      <w:pPr>
        <w:pStyle w:val="RSR"/>
        <w:spacing w:after="0"/>
        <w:ind w:left="360" w:firstLine="0"/>
      </w:pPr>
      <w:proofErr w:type="gramStart"/>
      <w:r>
        <w:t>Website:</w:t>
      </w:r>
      <w:r w:rsidRPr="00ED4253">
        <w:rPr>
          <w:i/>
          <w:iCs/>
        </w:rPr>
        <w:t>https://www.ipcc.ch/report/2019-refinement-to-the-2006-ipcc-guidelines-for-national-greenhouse-gas-inventories/</w:t>
      </w:r>
      <w:proofErr w:type="gramEnd"/>
      <w:r>
        <w:t xml:space="preserve"> </w:t>
      </w:r>
    </w:p>
    <w:p w14:paraId="65514EB8" w14:textId="13774B23" w:rsidR="007114E1" w:rsidRPr="000D0362" w:rsidRDefault="00ED4253" w:rsidP="00ED4253">
      <w:pPr>
        <w:pStyle w:val="RSR"/>
        <w:spacing w:after="0"/>
        <w:ind w:left="360" w:firstLine="0"/>
      </w:pPr>
      <w:r>
        <w:t>Last access 21/01/2026</w:t>
      </w:r>
      <w:r w:rsidR="007114E1" w:rsidRPr="000D0362">
        <w:t>.</w:t>
      </w:r>
    </w:p>
    <w:p w14:paraId="67FB5B04" w14:textId="77777777" w:rsidR="00ED4253" w:rsidRDefault="00ED4253" w:rsidP="00ED4253">
      <w:pPr>
        <w:pStyle w:val="RSR"/>
        <w:numPr>
          <w:ilvl w:val="0"/>
          <w:numId w:val="39"/>
        </w:numPr>
        <w:spacing w:after="0"/>
      </w:pPr>
      <w:r>
        <w:t>A. de Vries, “Renewable Energy Will Not Solve Bitcoin’s Sustainability Problem,” Joule, vol. 3, no. 4, pp. 893–898, 2019.</w:t>
      </w:r>
    </w:p>
    <w:p w14:paraId="4286347E" w14:textId="2BCFFB83" w:rsidR="007114E1" w:rsidRPr="000D0362" w:rsidRDefault="00ED4253" w:rsidP="00ED4253">
      <w:pPr>
        <w:pStyle w:val="RSR"/>
        <w:spacing w:after="0"/>
        <w:ind w:left="360" w:firstLine="0"/>
      </w:pPr>
      <w:hyperlink r:id="rId26" w:history="1">
        <w:r w:rsidRPr="00C17E8C">
          <w:rPr>
            <w:rStyle w:val="Hyperlink"/>
          </w:rPr>
          <w:t>https://doi.org/10.1016/j.joule.2019.02.007</w:t>
        </w:r>
      </w:hyperlink>
      <w:r>
        <w:t xml:space="preserve"> </w:t>
      </w:r>
    </w:p>
    <w:p w14:paraId="1E730AED" w14:textId="77777777" w:rsidR="00ED4253" w:rsidRDefault="007114E1" w:rsidP="00ED4253">
      <w:pPr>
        <w:pStyle w:val="RSR"/>
        <w:numPr>
          <w:ilvl w:val="0"/>
          <w:numId w:val="39"/>
        </w:numPr>
        <w:spacing w:after="0"/>
      </w:pPr>
      <w:r w:rsidRPr="000D0362">
        <w:t xml:space="preserve">] </w:t>
      </w:r>
      <w:r w:rsidR="00ED4253">
        <w:t xml:space="preserve">M. </w:t>
      </w:r>
      <w:proofErr w:type="spellStart"/>
      <w:r w:rsidR="00ED4253">
        <w:t>Sedlmeir</w:t>
      </w:r>
      <w:proofErr w:type="spellEnd"/>
      <w:r w:rsidR="00ED4253">
        <w:t>, H. U. Buhl, G. Fridgen, and R. Keller, “The Energy Consumption of Blockchain Technology: Beyond Myth,” Business &amp; Information Systems Engineering, vol. 62, no. 6, pp. 599–608, 2020.</w:t>
      </w:r>
    </w:p>
    <w:p w14:paraId="31988C22" w14:textId="3A2D18D7" w:rsidR="007114E1" w:rsidRPr="000D0362" w:rsidRDefault="00ED4253" w:rsidP="00ED4253">
      <w:pPr>
        <w:pStyle w:val="RSR"/>
        <w:spacing w:after="0"/>
        <w:ind w:left="360" w:firstLine="0"/>
      </w:pPr>
      <w:hyperlink r:id="rId27" w:history="1">
        <w:r w:rsidRPr="00C17E8C">
          <w:rPr>
            <w:rStyle w:val="Hyperlink"/>
          </w:rPr>
          <w:t>https://doi.org/10.1007/s12599-020-00656-x</w:t>
        </w:r>
      </w:hyperlink>
      <w:r>
        <w:t xml:space="preserve"> </w:t>
      </w:r>
    </w:p>
    <w:p w14:paraId="35302FE3" w14:textId="77777777" w:rsidR="00ED4253" w:rsidRDefault="00ED4253" w:rsidP="00ED4253">
      <w:pPr>
        <w:pStyle w:val="RSR"/>
        <w:numPr>
          <w:ilvl w:val="0"/>
          <w:numId w:val="39"/>
        </w:numPr>
        <w:spacing w:after="0"/>
      </w:pPr>
      <w:r>
        <w:t>K. Croman et al., “On Scaling Decentralized Blockchains,” Financial Cryptography and Data Security, pp. 106–125, 2016.</w:t>
      </w:r>
    </w:p>
    <w:p w14:paraId="6C1E186B" w14:textId="3C0660C0" w:rsidR="007114E1" w:rsidRDefault="00ED4253" w:rsidP="00ED4253">
      <w:pPr>
        <w:pStyle w:val="RSR"/>
        <w:spacing w:after="0"/>
        <w:ind w:left="360" w:firstLine="0"/>
      </w:pPr>
      <w:hyperlink r:id="rId28" w:history="1">
        <w:r w:rsidRPr="00C17E8C">
          <w:rPr>
            <w:rStyle w:val="Hyperlink"/>
          </w:rPr>
          <w:t>https://doi.org/10.1007/978-3-662-53357-4_8</w:t>
        </w:r>
      </w:hyperlink>
      <w:r>
        <w:t xml:space="preserve"> </w:t>
      </w:r>
      <w:r w:rsidR="007114E1" w:rsidRPr="000D0362">
        <w:t>.</w:t>
      </w:r>
    </w:p>
    <w:p w14:paraId="0788A2A5" w14:textId="389EAA59" w:rsidR="007114E1" w:rsidRDefault="004E2EB7" w:rsidP="004E2EB7">
      <w:pPr>
        <w:pStyle w:val="RSR"/>
        <w:numPr>
          <w:ilvl w:val="0"/>
          <w:numId w:val="39"/>
        </w:numPr>
        <w:spacing w:after="0"/>
      </w:pPr>
      <w:r w:rsidRPr="004E2EB7">
        <w:t>R. S. Rasheed, “</w:t>
      </w:r>
      <w:proofErr w:type="spellStart"/>
      <w:r w:rsidRPr="004E2EB7">
        <w:t>BlockSim</w:t>
      </w:r>
      <w:proofErr w:type="spellEnd"/>
      <w:r w:rsidRPr="004E2EB7">
        <w:t xml:space="preserve"> (modified implementation),” GitHub repository, accessed Feb. 2, 2026</w:t>
      </w:r>
      <w:r>
        <w:t xml:space="preserve"> </w:t>
      </w:r>
    </w:p>
    <w:p w14:paraId="4100BF5E" w14:textId="05051A77" w:rsidR="004E2EB7" w:rsidRDefault="004E2EB7" w:rsidP="004E2EB7">
      <w:pPr>
        <w:pStyle w:val="RSR"/>
        <w:spacing w:after="0"/>
        <w:ind w:left="360" w:firstLine="0"/>
      </w:pPr>
      <w:hyperlink r:id="rId29" w:history="1">
        <w:r w:rsidRPr="00B51F42">
          <w:rPr>
            <w:rStyle w:val="Hyperlink"/>
          </w:rPr>
          <w:t>https://github.com/raedrasheed/BlockSim</w:t>
        </w:r>
      </w:hyperlink>
      <w:r>
        <w:t xml:space="preserve"> </w:t>
      </w:r>
    </w:p>
    <w:p>
      <w:pPr>
        <w:pStyle w:val="RSR"/>
      </w:pPr>
      <w:r>
        <w:rPr>
          <w:color w:val="C00000"/>
        </w:rPr>
        <w:t>[19] M. Platt, J. Sedlmeir, D. Platt, J. Xu, P. Tasca, N. Vadgama, and J. I. Ibanez, “The Energy Footprint of Blockchain Consensus Mechanisms Beyond Proof-of-Work,” IEEE 21st Int. Conf. on Software Quality, Reliability and Security Companion (QRS-C), 2021, pp. 1135–1144. https://doi.org/10.1109/QRS-C55045.2021.00168</w:t>
      </w:r>
    </w:p>
    <w:p>
      <w:pPr>
        <w:pStyle w:val="RSR"/>
      </w:pPr>
      <w:r>
        <w:rPr>
          <w:color w:val="C00000"/>
        </w:rPr>
        <w:t>[20] M. Platt, D. Platt, and P. McBurney, “Sybil attack vulnerability trilemma,” International Journal of Parallel, Emergent and Distributed Systems, vol. 39, no. 4, pp. 446–460, 2024. https://doi.org/10.1080/17445760.2024.2352740</w:t>
      </w:r>
    </w:p>
    <w:p>
      <w:pPr>
        <w:pStyle w:val="RSR"/>
      </w:pPr>
      <w:r>
        <w:rPr>
          <w:color w:val="C00000"/>
        </w:rPr>
        <w:t>[21] A. de Vries, “Cryptocurrencies on the Road to Sustainability: Ethereum Paving the Way for Bitcoin,” Patterns, vol. 4, no. 1, art. 100633, 2023. https://doi.org/10.1016/j.patter.2022.100633</w:t>
      </w:r>
    </w:p>
    <w:p w14:paraId="2AC72CD4" w14:textId="77777777" w:rsidR="00CA1AAD" w:rsidRDefault="00CA1AAD" w:rsidP="00F2611F">
      <w:pPr>
        <w:pStyle w:val="BodyText"/>
        <w:spacing w:line="240" w:lineRule="auto"/>
        <w:ind w:firstLine="0"/>
      </w:pPr>
    </w:p>
    <w:sectPr w:rsidR="00CA1AAD"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D933" w14:textId="77777777" w:rsidR="00F57C79" w:rsidRDefault="00F57C79" w:rsidP="005B1521">
      <w:pPr>
        <w:spacing w:after="0" w:line="240" w:lineRule="auto"/>
      </w:pPr>
      <w:r>
        <w:separator/>
      </w:r>
    </w:p>
  </w:endnote>
  <w:endnote w:type="continuationSeparator" w:id="0">
    <w:p w14:paraId="25688D54" w14:textId="77777777" w:rsidR="00F57C79" w:rsidRDefault="00F57C79"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F1F9" w14:textId="77777777" w:rsidR="00F57C79" w:rsidRDefault="00F57C79" w:rsidP="005B1521">
      <w:pPr>
        <w:spacing w:after="0" w:line="240" w:lineRule="auto"/>
      </w:pPr>
      <w:r>
        <w:separator/>
      </w:r>
    </w:p>
  </w:footnote>
  <w:footnote w:type="continuationSeparator" w:id="0">
    <w:p w14:paraId="2C195C71" w14:textId="77777777" w:rsidR="00F57C79" w:rsidRDefault="00F57C79" w:rsidP="005B1521">
      <w:pPr>
        <w:spacing w:after="0" w:line="240" w:lineRule="auto"/>
      </w:pPr>
      <w:r>
        <w:continuationSeparator/>
      </w:r>
    </w:p>
  </w:footnote>
  <w:footnote w:id="1">
    <w:p w14:paraId="5BF531E1"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EFC50BD" w14:textId="188F59A9"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718"/>
    <w:rsid w:val="000134A5"/>
    <w:rsid w:val="00014DA2"/>
    <w:rsid w:val="00015B3A"/>
    <w:rsid w:val="00015E0B"/>
    <w:rsid w:val="00016092"/>
    <w:rsid w:val="0001689D"/>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54F4"/>
    <w:rsid w:val="007C56E8"/>
    <w:rsid w:val="007C5F1A"/>
    <w:rsid w:val="007C6668"/>
    <w:rsid w:val="007C6E7C"/>
    <w:rsid w:val="007C7C44"/>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AAC"/>
    <w:rsid w:val="009B5EE1"/>
    <w:rsid w:val="009B657F"/>
    <w:rsid w:val="009B766A"/>
    <w:rsid w:val="009B774B"/>
    <w:rsid w:val="009B7F99"/>
    <w:rsid w:val="009C00D2"/>
    <w:rsid w:val="009C037C"/>
    <w:rsid w:val="009C0C65"/>
    <w:rsid w:val="009C0EA6"/>
    <w:rsid w:val="009C259B"/>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6D982"/>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109/INFCOMW.2019.8845253" TargetMode="External"/><Relationship Id="rId26" Type="http://schemas.openxmlformats.org/officeDocument/2006/relationships/hyperlink" Target="https://doi.org/10.1016/j.joule.2019.02.007" TargetMode="External"/><Relationship Id="rId3" Type="http://schemas.openxmlformats.org/officeDocument/2006/relationships/styles" Target="styles.xml"/><Relationship Id="rId21" Type="http://schemas.openxmlformats.org/officeDocument/2006/relationships/hyperlink" Target="https://doi.org/10.4108/icst.simutools.2011.24553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504/IJSPM.2022.128289" TargetMode="External"/><Relationship Id="rId25" Type="http://schemas.openxmlformats.org/officeDocument/2006/relationships/hyperlink" Target="https://doi.org/10.1038/nclimate1783" TargetMode="External"/><Relationship Id="rId2" Type="http://schemas.openxmlformats.org/officeDocument/2006/relationships/numbering" Target="numbering.xml"/><Relationship Id="rId16" Type="http://schemas.openxmlformats.org/officeDocument/2006/relationships/hyperlink" Target="https://dl.acm.org/doi/10.1145/3308897.3308956" TargetMode="External"/><Relationship Id="rId20" Type="http://schemas.openxmlformats.org/officeDocument/2006/relationships/hyperlink" Target="https://doi.org/10.1145/2976749.2978341" TargetMode="External"/><Relationship Id="rId29" Type="http://schemas.openxmlformats.org/officeDocument/2006/relationships/hyperlink" Target="https://github.com/raedrasheed/BlockSi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COMST.2020.2969706" TargetMode="External"/><Relationship Id="rId5" Type="http://schemas.openxmlformats.org/officeDocument/2006/relationships/webSettings" Target="webSettings.xml"/><Relationship Id="rId15" Type="http://schemas.openxmlformats.org/officeDocument/2006/relationships/hyperlink" Target="https://doi.org/10.1016/j.joule.2019.05.012" TargetMode="External"/><Relationship Id="rId23" Type="http://schemas.openxmlformats.org/officeDocument/2006/relationships/hyperlink" Target="https://doi.org/10.1109/INFCOM.2001.916651" TargetMode="External"/><Relationship Id="rId28" Type="http://schemas.openxmlformats.org/officeDocument/2006/relationships/hyperlink" Target="https://doi.org/10.1007/978-3-662-53357-4_8" TargetMode="External"/><Relationship Id="rId10" Type="http://schemas.openxmlformats.org/officeDocument/2006/relationships/image" Target="media/image3.png"/><Relationship Id="rId19" Type="http://schemas.openxmlformats.org/officeDocument/2006/relationships/hyperlink" Target="https://doi.org/10.1109/TNSE.2023.3282916"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oule.2018.04.016" TargetMode="External"/><Relationship Id="rId22" Type="http://schemas.openxmlformats.org/officeDocument/2006/relationships/hyperlink" Target="https://doi.org/10.1109/WETSEB.2019.00009" TargetMode="External"/><Relationship Id="rId27" Type="http://schemas.openxmlformats.org/officeDocument/2006/relationships/hyperlink" Target="https://doi.org/10.1007/s12599-020-00656-x" TargetMode="External"/><Relationship Id="rId30" Type="http://schemas.openxmlformats.org/officeDocument/2006/relationships/fontTable" Target="fontTable.xml"/><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9</Pages>
  <Words>5294</Words>
  <Characters>30176</Characters>
  <Application>Microsoft Office Word</Application>
  <DocSecurity>0</DocSecurity>
  <Lines>251</Lines>
  <Paragraphs>70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35400</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9</cp:revision>
  <cp:lastPrinted>2026-02-05T12:06:00Z</cp:lastPrinted>
  <dcterms:created xsi:type="dcterms:W3CDTF">2026-02-02T11:58:00Z</dcterms:created>
  <dcterms:modified xsi:type="dcterms:W3CDTF">2026-02-16T12:51:00Z</dcterms:modified>
</cp:coreProperties>
</file>