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Empty.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27"/>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
      </w:r>
      <w:r>
        <w:rPr>
          <w:color w:val="FF0000"/>
        </w:rPr>
        <w:t xml:space="preserve">Blockchain systems secured by Proof-of-Work (PoW) provide open participation and strong security, but their uncoordinated, competitive hash-search process can consume substantial energy.</w:t>
      </w:r>
      <w:r>
        <w:t xml:space="preserve"> This thesis proposes Proof-of-Collaboration (PoCol), </w:t>
      </w:r>
      <w:r>
        <w:rPr>
          <w:color w:val="FF0000"/>
        </w:rPr>
        <w:t xml:space="preserve">a novel consensus algorithm that preserves the openness of PoW, retains its hash-based puzzle and longest-chain structure, and is designed to eliminate most of its redundant work.</w:t>
      </w:r>
      <w:r>
        <w:t xml:space="preserve">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w:t>
      </w:r>
      <w:r>
        <w:rPr>
          <w:color w:val="FF0000"/>
        </w:rPr>
        <w:t xml:space="preserve">The protocol specification includes mechanisms for miner registration, explicit and silent leaving, inactivity handling, and a proposed collaborative reward-distribution mechanism designed to improve fairness, together with a preliminary security analysis covering</w:t>
      </w:r>
      <w:r>
        <w:t xml:space="preserve"> double spending, selfish mining, Sybil attacks, and nonce-space deviations.</w:t>
      </w:r>
    </w:p>
    <w:p w14:paraId="7C1E8EB0" w14:textId="77777777" w:rsidR="00C33DAB" w:rsidRPr="006C7BCF" w:rsidRDefault="00000000">
      <w:r>
        <w:t xml:space="preserve"/>
      </w:r>
      <w:r>
        <w:rPr>
          <w:color w:val="FF0000"/>
        </w:rP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w:t>
      </w:r>
      <w:r>
        <w:t xml:space="preserve"> </w:t>
      </w:r>
      <w:r>
        <w:rPr>
          <w:color w:val="FF0000"/>
        </w:rPr>
        <w:t xml:space="preserve">Under these controlled simulation assumptions, the results show that the simulated PoCol abstraction increases average throughput at scale</w:t>
      </w:r>
      <w:r>
        <w:t xml:space="preserve"> (for example, 11.33 versus 2.87 transactions per second at 300 miners), </w:t>
      </w:r>
      <w:r>
        <w:rPr>
          <w:color w:val="FF0000"/>
        </w:rPr>
        <w:t xml:space="preserve">shortens the approximate time to obtain six main-chain confirmations at larger network sizes</w:t>
      </w:r>
      <w:r>
        <w:t xml:space="preserve">, and reduces total energy consumption by approximately 98–99% (for example, 0.454 kWh versus 33.078 kWh at 400 miners), </w:t>
      </w:r>
      <w:r>
        <w:rPr>
          <w:color w:val="FF0000"/>
        </w:rPr>
        <w:t xml:space="preserve">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t xml:space="preserve"/>
      </w:r>
    </w:p>
    <w:p w14:paraId="3B54F3BE" w14:textId="77777777" w:rsidR="00C33DAB" w:rsidRPr="006C7BCF" w:rsidRDefault="00000000">
      <w:r>
        <w:t xml:space="preserve"/>
      </w:r>
      <w:r>
        <w:rPr>
          <w:color w:val="FF0000"/>
        </w:rPr>
        <w:t xml:space="preserve">The thesis contributes a structured comparative literature review of blockchain consensus mechanisms</w:t>
      </w:r>
      <w:r>
        <w:t xml:space="preserve">, the complete PoCol protocol design, a sustainability-aware evaluation framework built on BlockSim, </w:t>
      </w:r>
      <w:r>
        <w:rPr>
          <w:color w:val="FF0000"/>
        </w:rPr>
        <w:t xml:space="preserve">and simulation-based proof-of-concept evidence that collaborative mining can make PoW-class consensus substantially more energy-efficient under the evaluated assumptions while maintaining open participation.</w:t>
      </w:r>
      <w:r>
        <w:t xml:space="preserve"/>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w:t>
      </w:r>
      <w:r>
        <w:rPr>
          <w:color w:val="FF0000"/>
          <w:rtl/>
        </w:rPr>
        <w:t xml:space="preserve">ولكن عملية البحث التنافسية غير المنسقة عن التجزئة فيها قد تستهلك قدرا كبيرا من الطاقة.</w:t>
      </w:r>
      <w:r>
        <w:rPr>
          <w:rtl/>
        </w:rPr>
        <w:t xml:space="preserve"> تقترح هذه الأطروحة خوارزمية توافق جديدة باسم إثبات التعاون (PoCol) </w:t>
      </w:r>
      <w:r>
        <w:rPr>
          <w:color w:val="FF0000"/>
          <w:rtl/>
        </w:rPr>
        <w:t xml:space="preserve">تحافظ على انفتاح إثبات العمل وتبقي على بنيته القائمة على أحجية التجزئة وقاعدة السلسلة الأطول، وهي مصممة للتخلص من معظم العمل المكرر فيه.</w:t>
      </w:r>
      <w:r>
        <w:rPr>
          <w:rtl/>
        </w:rPr>
        <w:t xml:space="preserve"> ففي PoCol يتعاون المعدنون المسجلون داخل كل جولة تعدين: إذ يقسم إجراء حتمي قائم على بذرة الجولة فضاء النونس العالمي بين المعدنين النشطين، </w:t>
      </w:r>
      <w:r>
        <w:rPr>
          <w:color w:val="FF0000"/>
          <w:rtl/>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w:t>
      </w:r>
      <w:r>
        <w:rPr>
          <w:color w:val="FF0000"/>
          <w:rtl/>
        </w:rPr>
        <w:t xml:space="preserve">وبذلك </w:t>
      </w:r>
      <w:r>
        <w:rPr>
          <w:color w:val="FF0000"/>
          <w:rtl/>
        </w:rPr>
        <w:t xml:space="preserve">لا يحسب معدنان أمينان القيمة نفسها لمدخل التجزئة خلال الجولة</w:t>
      </w:r>
      <w:r>
        <w:rPr>
          <w:color w:val="FF0000"/>
        </w:rPr>
        <w:t xml:space="preserve"/>
      </w:r>
      <w:r>
        <w:rPr>
          <w:color w:val="FF0000"/>
          <w:rtl/>
        </w:rPr>
        <w:t xml:space="preserve">،</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w:t>
      </w:r>
      <w:r>
        <w:rPr>
          <w:color w:val="FF0000"/>
          <w:rtl/>
        </w:rPr>
        <w:t xml:space="preserve">وآلية مقترحة لتوزيع المكافآت مصممة لتحسين العدالة، إضافة إلى تحليل أمني أولي يغطي</w:t>
      </w:r>
      <w:r>
        <w:rPr>
          <w:rtl/>
        </w:rPr>
        <w:t xml:space="preserve">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
      </w:r>
      <w:r>
        <w:rPr>
          <w:color w:val="FF0000"/>
          <w:rtl/>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فضاء النونس المنفصل في PoCol، مع حساب دقيق للطاقة والانبعاثات الكربونية، وجرت مقارنته بخط أساس لإثبات العمل عبر شبكات تضم من 100 إلى 500 معدن وفق افتراضات محاكاة مضبوطة متطابقة؛ أما بروتوكول الاتفاق الموزع الكامل على القالب الموحد — بما في ذلك فرض معرف القالب TemplateID والمواءمة بين تجمعات المعاملات المعلقة وفرض معاملة المكافآت الملتزم بها مسبقا — فهو محدد في الأطروحة لكنه غير قابل للتنفيذ بعد في النموذج الأولي ويبقى امتدادا تنفيذيا مطلوبا.</w:t>
      </w:r>
      <w:r>
        <w:rPr>
          <w:rtl/>
        </w:rPr>
        <w:t xml:space="preserve"> </w:t>
      </w:r>
      <w:r>
        <w:rPr>
          <w:color w:val="FF0000"/>
          <w:rtl/>
        </w:rPr>
        <w:t xml:space="preserve">وفي ظل هذه الافتراضات المضبوطة، تظهر النتائج أن تجريد PoCol المحاكى يزيد متوسط الإنتاجية عند التوسع</w:t>
      </w:r>
      <w:r>
        <w:rPr>
          <w:rtl/>
        </w:rPr>
        <w:t xml:space="preserve"> (مثلا 11.33 مقابل 2.87 معاملة في الثانية عند 300 معدن)، </w:t>
      </w:r>
      <w:r>
        <w:rPr>
          <w:color w:val="FF0000"/>
          <w:rtl/>
        </w:rPr>
        <w:t xml:space="preserve">ويقصر الزمن التقريبي للحصول على ست تأكيدات على السلسلة الرئيسة في الشبكات الكبيرة</w:t>
      </w:r>
      <w:r>
        <w:rPr>
          <w:rtl/>
        </w:rPr>
        <w:t xml:space="preserve">، </w:t>
      </w:r>
      <w:r>
        <w:rPr>
          <w:color w:val="FF0000"/>
          <w:rtl/>
        </w:rPr>
        <w:t xml:space="preserve">ويخفض استهلاك الطاقة الكلي بنحو 98 إلى 99 بالمئة</w:t>
      </w:r>
      <w:r>
        <w:rPr>
          <w:rtl/>
        </w:rPr>
        <w:t xml:space="preserve">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w:t>
      </w:r>
      <w:r>
        <w:rPr>
          <w:color w:val="FF0000"/>
        </w:rPr>
        <w:t xml:space="preserve"/>
      </w:r>
      <w:r>
        <w:rPr>
          <w:color w:val="FF0000"/>
          <w:rtl/>
        </w:rPr>
        <w:t xml:space="preserve">وتمثل هذه الأرقام أدلة إثبات صحة المفهوم لتجريد البحث التعاوني</w:t>
      </w:r>
      <w:r>
        <w:rPr>
          <w:color w:val="FF0000"/>
          <w:rtl/>
        </w:rPr>
        <w:t xml:space="preserve"> في ظل افتراضات المحاكاة، لا قياسات لتنفيذ موزع كامل. ويبقى القيد الرئيس هو </w:t>
      </w:r>
      <w:r>
        <w:rPr>
          <w:color w:val="FF0000"/>
          <w:rtl/>
        </w:rPr>
        <w:t xml:space="preserve">ارتفاع معدل الكتل المتقادمة عند أعداد المعدنين الكبيرة</w:t>
      </w:r>
      <w:r>
        <w:rPr>
          <w:color w:val="FF0000"/>
          <w:rtl/>
        </w:rPr>
        <w:t xml:space="preserve">، إضافة إلى أن الأعباء الشبكية والتزامنية للاتفاق الموزع على القالب الموحد في الشبكات الحقيقية لم تقس بعد وتتطلب تقييما مستقبليا.</w:t>
      </w:r>
      <w:r>
        <w:rPr>
          <w:rtl/>
        </w:rPr>
        <w:t xml:space="preserve"/>
      </w:r>
    </w:p>
    <w:p w14:paraId="759E8FB9" w14:textId="1865096D" w:rsidR="00C33DAB" w:rsidRPr="006C7BCF" w:rsidRDefault="00000000">
      <w:pPr>
        <w:bidi/>
      </w:pPr>
      <w:r>
        <w:rPr>
          <w:rtl/>
        </w:rPr>
        <w:t xml:space="preserve">وتسهم الأطروحة </w:t>
      </w:r>
      <w:r>
        <w:rPr>
          <w:color w:val="FF0000"/>
          <w:rtl/>
        </w:rPr>
        <w:t xml:space="preserve">بمراجعة أدبية مقارنة منظمة لآليات التوافق</w:t>
      </w:r>
      <w:r>
        <w:rPr>
          <w:rtl/>
        </w:rPr>
        <w:t xml:space="preserve"> في البلوك تشين، وبالتصميم الكامل لبروتوكول PoCol، وبإطار تقييم واع بالاستدامة مبني على BlockSim، </w:t>
      </w:r>
      <w:r>
        <w:rPr>
          <w:color w:val="FF0000"/>
        </w:rPr>
        <w:t xml:space="preserve"/>
      </w:r>
      <w:r>
        <w:rPr>
          <w:color w:val="FF0000"/>
          <w:rtl/>
        </w:rPr>
        <w:t xml:space="preserve">وبأدلة إثبات صحة المفهوم قائمة على المحاكاة</w:t>
      </w:r>
      <w:r>
        <w:rPr>
          <w:color w:val="FF0000"/>
          <w:rtl/>
        </w:rPr>
        <w:t xml:space="preserve"> على أن التعدين التعاوني يمكن أن يجعل خوارزميات التوافق من فئة إثبات العمل أكثر كفاءة </w:t>
      </w:r>
      <w:r>
        <w:rPr>
          <w:color w:val="FF0000"/>
          <w:rtl/>
        </w:rPr>
        <w:t xml:space="preserve">في استهلاك الطاقة إلى حد كبير في </w:t>
      </w:r>
      <w:r>
        <w:rPr>
          <w:color w:val="FF0000"/>
          <w:rtl/>
        </w:rPr>
        <w:t xml:space="preserve">ظل افتراضات المحاكاة المعتمدة</w:t>
      </w:r>
      <w:r>
        <w:rPr>
          <w:color w:val="FF0000"/>
        </w:rPr>
        <w:t xml:space="preserve"/>
      </w:r>
      <w:r>
        <w:rPr>
          <w:color w:val="FF0000"/>
          <w:rtl/>
        </w:rPr>
        <w:t xml:space="preserve"> مع الحفاظ على المشاركة المفتوحة.</w:t>
      </w:r>
      <w:r>
        <w:rPr>
          <w:rtl/>
        </w:rPr>
        <w:t xml:space="preserve"/>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3AD5D197" w14:textId="77777777" w:rsidR="00C33DAB" w:rsidRPr="006C7BCF" w:rsidRDefault="00000000">
      <w:r>
        <w:rPr>
          <w:color w:val="FF0000"/>
        </w:rPr>
        <w:t xml:space="preserve">First and foremost, all praise and thanks are due to Allah, the Most Gracious and Most Merciful, for granting me the strength, patience, and perseverance to complete this work.</w:t>
      </w:r>
    </w:p>
    <w:p w14:paraId="7899AEDA" w14:textId="77777777" w:rsidR="00C33DAB" w:rsidRPr="006C7BCF" w:rsidRDefault="00000000">
      <w:r>
        <w:rPr>
          <w:color w:val="FF0000"/>
        </w:rPr>
        <w:t xml:space="preserve">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1D7A519D" w14:textId="77777777" w:rsidR="00C33DAB" w:rsidRPr="006C7BCF" w:rsidRDefault="00000000">
      <w:r>
        <w:rPr>
          <w:color w:val="FF0000"/>
        </w:rPr>
        <w:t xml:space="preserve">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53781C5" w14:textId="77777777" w:rsidR="00C33DAB" w:rsidRPr="006C7BCF" w:rsidRDefault="00000000">
      <w:r>
        <w:rPr>
          <w:color w:val="FF0000"/>
        </w:rPr>
        <w:t xml:space="preserve">Finally, I owe special thanks to my family for their patience, unconditional support, and constant encouragement, without which this thesis could not have been completed.</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V</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XII</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XIII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XIV</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18</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23</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24</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25</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26</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27</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41</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48</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52</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60</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61</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63</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64</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72</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74</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74</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81</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81</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82</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83</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84</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84</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85</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86</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87</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88</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90</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91</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91</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92</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94</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94</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95</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95</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97</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98</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98</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99</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100</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102</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102</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103</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104</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104</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105</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106</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107</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107</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108</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108</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approximate confirmation time</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109</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110</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111</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111</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114</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114</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115</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115</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116</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116</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116</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117</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118</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119</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120</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121</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122</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122</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123</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126</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 xml:space="preserve">Table 3.2. Data extraction framework used in this survey .......................................................... </w:t>
      </w:r>
      <w:r>
        <w:rPr>
          <w:color w:val="FF0000"/>
        </w:rPr>
        <w:t xml:space="preserve">26</w:t>
      </w:r>
    </w:p>
    <w:p w14:paraId="0E1C8B06" w14:textId="3302F5C3" w:rsidR="00550ECC" w:rsidRPr="006C7BCF" w:rsidRDefault="00000000" w:rsidP="00B16B7F">
      <w:pPr>
        <w:spacing w:after="0" w:line="240" w:lineRule="auto"/>
        <w:rPr>
          <w:sz w:val="32"/>
          <w:szCs w:val="32"/>
        </w:rPr>
      </w:pPr>
      <w:r>
        <w:rPr>
          <w:szCs w:val="32"/>
        </w:rPr>
        <w:t xml:space="preserve">Table 3.3. Qualitative coding rubric for the security comparison table ...................................... </w:t>
      </w:r>
      <w:r>
        <w:rPr>
          <w:color w:val="FF0000"/>
        </w:rPr>
        <w:t xml:space="preserve">27</w:t>
      </w:r>
    </w:p>
    <w:p w14:paraId="780E0FBC" w14:textId="1F2FCF94" w:rsidR="00550ECC" w:rsidRPr="006C7BCF" w:rsidRDefault="00000000" w:rsidP="00B16B7F">
      <w:pPr>
        <w:spacing w:after="0" w:line="240" w:lineRule="auto"/>
        <w:rPr>
          <w:sz w:val="32"/>
          <w:szCs w:val="32"/>
        </w:rPr>
      </w:pPr>
      <w:r>
        <w:rPr>
          <w:szCs w:val="32"/>
        </w:rPr>
        <w:t xml:space="preserve">Table 3.4. Qualitative coding rubric for the comparative summary table ................................... </w:t>
      </w:r>
      <w:r>
        <w:rPr>
          <w:color w:val="FF0000"/>
        </w:rPr>
        <w:t xml:space="preserve">28</w:t>
      </w:r>
    </w:p>
    <w:p w14:paraId="4E7EA618" w14:textId="0F60D5E8" w:rsidR="00550ECC" w:rsidRPr="006C7BCF" w:rsidRDefault="00000000" w:rsidP="00B16B7F">
      <w:pPr>
        <w:spacing w:after="0" w:line="240" w:lineRule="auto"/>
        <w:rPr>
          <w:sz w:val="32"/>
          <w:szCs w:val="32"/>
        </w:rPr>
      </w:pPr>
      <w:r>
        <w:rPr>
          <w:szCs w:val="32"/>
        </w:rPr>
        <w:t xml:space="preserve">Table 3.5. Historical overview of the principal blockchain consensus algorithms ..................... </w:t>
      </w:r>
      <w:r>
        <w:rPr>
          <w:color w:val="FF0000"/>
        </w:rPr>
        <w:t xml:space="preserve">30</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46</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48</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101</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103</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108</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37</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w:t>
      </w:r>
      <w:r>
        <w:rPr>
          <w:color w:val="FF0000"/>
        </w:rPr>
        <w:t xml:space="preserve">75</w:t>
      </w:r>
    </w:p>
    <w:p w14:paraId="46CF9E07" w14:textId="778B1822" w:rsidR="00550ECC" w:rsidRPr="006C7BCF" w:rsidRDefault="00000000" w:rsidP="00B16B7F">
      <w:pPr>
        <w:spacing w:after="0" w:line="240" w:lineRule="auto"/>
      </w:pPr>
      <w:r>
        <w:t xml:space="preserve">Figure 5.2. PoCol consensus genesis round ................................................................................ </w:t>
      </w:r>
      <w:r>
        <w:rPr>
          <w:color w:val="FF0000"/>
        </w:rPr>
        <w:t xml:space="preserve">78</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86</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90</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109</w:t>
      </w:r>
    </w:p>
    <w:p w14:paraId="499B3138" w14:textId="06832BC1" w:rsidR="00550ECC" w:rsidRPr="006C7BCF" w:rsidRDefault="00000000" w:rsidP="00B16B7F">
      <w:pPr>
        <w:spacing w:after="0" w:line="240" w:lineRule="auto"/>
      </w:pPr>
      <w:r>
        <w:t xml:space="preserve"/>
      </w:r>
      <w:r>
        <w:rPr>
          <w:color w:val="FF0000"/>
        </w:rPr>
        <w:t xml:space="preserve">Figure 7.2. Approximate six-block confirmation time </w:t>
      </w:r>
      <w:r>
        <w:t xml:space="preserve">........................................................... </w:t>
      </w:r>
      <w:r>
        <w:rPr>
          <w:color w:val="FF0000"/>
        </w:rPr>
        <w:t xml:space="preserve">110</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111</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112</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113</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113</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114</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115</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
            </w:r>
            <w:r>
              <w:rPr>
                <w:color w:val="FF0000"/>
              </w:rPr>
              <w:t xml:space="preserve">CBNSI</w:t>
            </w:r>
            <w:r>
              <w:rPr>
                <w:szCs w:val="32"/>
              </w:rPr>
              <w:t xml:space="preserve"/>
            </w:r>
          </w:p>
        </w:tc>
        <w:tc>
          <w:tcPr>
            <w:tcW w:w="6798" w:type="dxa"/>
          </w:tcPr>
          <w:p w14:paraId="50E1394E" w14:textId="77777777" w:rsidR="00B95382" w:rsidRPr="006C7BCF" w:rsidRDefault="00B95382" w:rsidP="004150CA">
            <w:pPr>
              <w:spacing w:after="0" w:line="240" w:lineRule="auto"/>
              <w:rPr>
                <w:sz w:val="32"/>
                <w:szCs w:val="32"/>
              </w:rPr>
            </w:pPr>
            <w:r>
              <w:rPr>
                <w:szCs w:val="32"/>
              </w:rPr>
              <w:t/>
            </w:r>
            <w:r>
              <w:rPr>
                <w:color w:val="FF0000"/>
              </w:rPr>
              <w:t xml:space="preserve">Cambridge Blockchain Network Sustainability Index</w:t>
            </w:r>
            <w:r>
              <w:rPr>
                <w:szCs w:val="32"/>
              </w:rPr>
              <w:t xml:space="preserve"/>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footerReference w:type="default" r:id="rId9"/>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Pr>
          <w:color w:val="FF0000"/>
        </w:rPr>
        <w:t xml:space="preserve">These applications rely on blockchain's decentralized, tamper-resistant ledger [1]; surveys and domain-specific studies have shown that blockchain enables transparent and auditable processes</w:t>
      </w:r>
      <w:r>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Pr>
          <w:color w:val="FF0000"/>
        </w:rPr>
        <w:t xml:space="preserve">Proof-of-Authority (PoA); Proof of Elapsed Time (PoET)</w:t>
      </w:r>
      <w:r>
        <w:rPr>
          <w:rFonts w:eastAsiaTheme="majorEastAsia"/>
        </w:rPr>
        <w:t xml:space="preserve">; Proof-of-History (PoH); Proof-of-Contribution (PoC); and Proof-of-Reputation (PoR). </w:t>
      </w:r>
      <w:r>
        <w:rPr>
          <w:color w:val="FF0000"/>
        </w:rP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r>
        <w:rPr>
          <w:rFonts w:eastAsiaTheme="majorEastAsia"/>
        </w:rPr>
        <w:t xml:space="preserve"/>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w:t>
      </w:r>
      <w:r>
        <w:rPr>
          <w:color w:val="FF0000"/>
        </w:rPr>
        <w:t xml:space="preserve">distributed nonce allocation, and a proposed collaborative reward-distribution mechanism designed to improve fairness, to eliminate duplicate hash inputs within each mining round</w:t>
      </w:r>
      <w:r>
        <w:rPr>
          <w:color w:val="FF0000"/>
        </w:rPr>
        <w:t xml:space="preserve"> </w:t>
      </w:r>
      <w:r>
        <w:rPr>
          <w:color w:val="FF0000"/>
        </w:rPr>
        <w:t xml:space="preserve">and reduce energy consumption while aiming to retain security, decentralization, and economic incentives.</w:t>
      </w:r>
      <w:r>
        <w:rPr>
          <w:color w:val="FF0000"/>
        </w:rPr>
        <w:t xml:space="preserve"/>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w:t>
      </w:r>
      <w:r>
        <w:rPr>
          <w:color w:val="FF0000"/>
        </w:rPr>
        <w:t xml:space="preserve">creates a sustainability challenge despite the established security and open-participation properties of PoW-based blockchain technology.</w:t>
      </w:r>
      <w:r>
        <w:t xml:space="preserve"> The security of Bitcoin's PoW has demonstrated that a truly open and decentralized system can operate securely in an adversarial environment by binding the creation of blocks to computational work [1]. In fact, research shows that </w:t>
      </w:r>
      <w:r>
        <w:rPr>
          <w:color w:val="FF0000"/>
        </w:rPr>
        <w:t xml:space="preserve">Bitcoin's total annual electricity consumption has grown dramatically</w:t>
      </w:r>
      <w:r>
        <w:rPr>
          <w:color w:val="FF0000"/>
        </w:rPr>
        <w:t xml:space="preserve"> from tens of terawatt-hours per year to levels in the low hundreds of terawatt-hours per year (TWh/year)—an amount exceeding</w:t>
      </w:r>
      <w:r>
        <w:t xml:space="preserve">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w:t>
      </w:r>
      <w:r>
        <w:rPr>
          <w:color w:val="FF0000"/>
        </w:rPr>
        <w:t xml:space="preserve">Measurements of Ethereum prior to its transition to Proof of Stake (PoS) likewise indicate that full nodes and validator clients consumed substantial amounts of energy</w:t>
      </w:r>
      <w:r>
        <w:t xml:space="preserve"> [11], [12]. Increasingly, </w:t>
      </w:r>
      <w:r>
        <w:rPr>
          <w:color w:val="FF0000"/>
        </w:rPr>
        <w:t xml:space="preserve">as global climate-change mitigation and sustainability policies intensify, these levels of consumption become increasingly difficult to reconcile with sustainability goals</w:t>
      </w:r>
      <w:r>
        <w:t xml:space="preserve"> [19], [25]. </w:t>
      </w:r>
    </w:p>
    <w:p w14:paraId="0B4767A5" w14:textId="77777777" w:rsidR="00F25BB9" w:rsidRPr="006C7BCF" w:rsidRDefault="00F25BB9" w:rsidP="00F25BB9">
      <w:pPr>
        <w:rPr>
          <w:rFonts w:eastAsiaTheme="majorEastAsia"/>
        </w:rPr>
      </w:pPr>
      <w:r>
        <w:rPr>
          <w:rFonts w:eastAsiaTheme="majorEastAsia"/>
        </w:rPr>
        <w:t xml:space="preserve"/>
      </w:r>
      <w:r>
        <w:rPr>
          <w:color w:val="FF0000"/>
        </w:rP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Pr>
          <w:color w:val="FF0000"/>
        </w:rP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
      </w:r>
      <w:r>
        <w:rPr>
          <w:color w:val="FF0000"/>
        </w:rPr>
        <w:t xml:space="preserve">A growing number of studies address green consensus models</w:t>
      </w:r>
      <w:r>
        <w:t xml:space="preserve">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
      </w:r>
      <w:r>
        <w:rPr>
          <w:color w:val="FF0000"/>
        </w:rPr>
        <w:t xml:space="preserve">Based on the conclusions of the studies discussed above</w:t>
      </w:r>
      <w:r>
        <w:rPr>
          <w:rFonts w:eastAsiaTheme="majorEastAsia"/>
        </w:rPr>
        <w:t xml:space="preserve">, the primary objective of this thesis is to develop an energy-efficient consensus algorithm for open blockchain networks that: (i) utilizes less than 50% of energy used by Proof of Work, </w:t>
      </w:r>
      <w:r>
        <w:rPr>
          <w:color w:val="FF0000"/>
        </w:rPr>
        <w:t xml:space="preserve">(ii) is designed to maintain levels of decentralization and security comparable to Proof of Work — an objective that requires formal and empirical validation; and (iii) provides incentives intended to maintain fairness while preventing the over-centralization of mining.</w:t>
      </w:r>
      <w:r>
        <w:rPr>
          <w:rFonts w:eastAsiaTheme="majorEastAsia"/>
        </w:rPr>
        <w:t xml:space="preserve"> </w:t>
      </w:r>
      <w:r>
        <w:rPr>
          <w:color w:val="FF0000"/>
        </w:rPr>
        <w:t xml:space="preserve">The proposed Proof-of-Collaboration model </w:t>
      </w:r>
      <w:r>
        <w:rPr>
          <w:color w:val="FF0000"/>
        </w:rPr>
        <w:t xml:space="preserve">addresses the design challenge of creating a collaborative mining framework</w:t>
      </w:r>
      <w:r>
        <w:rPr>
          <w:color w:val="FF0000"/>
        </w:rPr>
        <w:t xml:space="preserve"> by providing a mechanism in which all miners of a round mine one immutable common block template, receive disjoint nonce ranges, </w:t>
      </w:r>
      <w:r>
        <w:rPr>
          <w:color w:val="FF0000"/>
        </w:rPr>
        <w:t xml:space="preserve">and share rewards through a mechanism designed to improve fairness.</w:t>
      </w:r>
      <w:r>
        <w:rPr>
          <w:color w:val="FF0000"/>
        </w:rPr>
        <w:t xml:space="preserve"/>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Pr>
          <w:color w:val="FF0000"/>
        </w:rPr>
        <w:t xml:space="preserve">can significantly conserve energy while aiming to retain safety and decentralization comparable to PoW-based systems — an objective that requires formal and empirical validation [1], [20].</w:t>
      </w:r>
      <w:r>
        <w:rPr>
          <w:rFonts w:eastAsiaTheme="majorEastAsia"/>
        </w:rPr>
        <w:t xml:space="preserve"/>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 xml:space="preserve">RQ1: How can the concepts of collaboration and resource sharing be integrated into a Proof-of-Work consensus mechanism </w:t>
      </w:r>
      <w:r>
        <w:rPr>
          <w:color w:val="FF0000"/>
        </w:rPr>
        <w:t xml:space="preserve">to reduce redundant computation and energy consumption while maintaining security and accessibility?</w:t>
      </w:r>
      <w:r>
        <w:rPr>
          <w:rFonts w:eastAsiaTheme="majorEastAsia"/>
        </w:rPr>
        <w:t xml:space="preserve"/>
      </w:r>
    </w:p>
    <w:p w14:paraId="005F75B3" w14:textId="77777777" w:rsidR="00A1481D" w:rsidRPr="006C7BCF" w:rsidRDefault="00FB0BFB" w:rsidP="00A1481D">
      <w:pPr>
        <w:pStyle w:val="ListParagraph"/>
        <w:numPr>
          <w:ilvl w:val="0"/>
          <w:numId w:val="24"/>
        </w:numPr>
        <w:ind w:left="709" w:hanging="349"/>
        <w:rPr>
          <w:rFonts w:eastAsiaTheme="majorEastAsia"/>
        </w:rPr>
      </w:pPr>
      <w:r>
        <w:rPr>
          <w:color w:val="FF0000"/>
        </w:rPr>
        <w:t xml:space="preserve">RQ2: Under the controlled simulation assumptions used in this thesis, to what extent does collaborative mining with distributed nonce allocation reduce block-production energy relative to classical PoW across miner populations of 100 to 500?</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
      </w:r>
      <w:r>
        <w:rPr>
          <w:color w:val="FF0000"/>
        </w:rPr>
        <w:t xml:space="preserve">RQ3: What effect does the proposed PoCol algorithm have on decentralization, fairness, and resistance to common blockchain attacks such as double spending, selfish mining, and pool centralization, compared with systems that use PoW [21], [22]?</w:t>
      </w:r>
      <w:r>
        <w:t xml:space="preserve"/>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color w:val="FF0000"/>
        </w:rPr>
        <w:t xml:space="preserve">O1: To systematically evaluate the energy consumption, security assumptions, decentralization characteristics, and operational performance of representative blockchain consensus mechanisms [39], [20].</w:t>
      </w:r>
    </w:p>
    <w:p w14:paraId="4C2AB586" w14:textId="77777777" w:rsidR="00FB0BFB" w:rsidRPr="006C7BCF" w:rsidRDefault="00FB0BFB" w:rsidP="00FB0BFB">
      <w:pPr>
        <w:pStyle w:val="ListParagraph"/>
        <w:numPr>
          <w:ilvl w:val="0"/>
          <w:numId w:val="26"/>
        </w:numPr>
        <w:ind w:left="709" w:hanging="349"/>
        <w:rPr>
          <w:rFonts w:eastAsiaTheme="majorEastAsia"/>
        </w:rPr>
      </w:pPr>
      <w:r>
        <w:t xml:space="preserve"/>
      </w:r>
      <w:r>
        <w:rPr>
          <w:color w:val="FF0000"/>
        </w:rPr>
        <w:t xml:space="preserve">O2: To propose a formal system model and design principles for Proof-of-Collaboration</w:t>
      </w:r>
      <w:r>
        <w:t xml:space="preserve">, encompassing collaborative mining, distributed nonce allocation, </w:t>
      </w:r>
      <w:r>
        <w:rPr>
          <w:color w:val="FF0000"/>
        </w:rPr>
        <w:t xml:space="preserve">and a collaborative reward-distribution mechanism designed to support fair allocation while reducing redundant computation and discouraging excessive concentration of hash power [1], [15].</w:t>
      </w:r>
      <w:r>
        <w:t xml:space="preserve"/>
      </w:r>
    </w:p>
    <w:p w14:paraId="1D82B451" w14:textId="77777777" w:rsidR="00A1481D" w:rsidRPr="006C7BCF" w:rsidRDefault="00FB0BFB" w:rsidP="00FB0BFB">
      <w:pPr>
        <w:pStyle w:val="ListParagraph"/>
        <w:numPr>
          <w:ilvl w:val="0"/>
          <w:numId w:val="26"/>
        </w:numPr>
        <w:ind w:left="709" w:hanging="349"/>
        <w:rPr>
          <w:rFonts w:eastAsiaTheme="majorEastAsia"/>
        </w:rPr>
      </w:pPr>
      <w:r>
        <w:rPr>
          <w:color w:val="FF0000"/>
        </w:rP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3A4C4AB6" w14:textId="77777777" w:rsidR="00D1047E" w:rsidRPr="006C7BCF" w:rsidRDefault="00FB0BFB" w:rsidP="00A1481D">
      <w:pPr>
        <w:rPr>
          <w:rFonts w:eastAsiaTheme="majorEastAsia"/>
        </w:rPr>
      </w:pPr>
      <w:r>
        <w:rPr>
          <w:rFonts w:eastAsiaTheme="majorEastAsia"/>
        </w:rPr>
        <w:t xml:space="preserve"/>
      </w:r>
      <w:r>
        <w:rPr>
          <w:color w:val="FF0000"/>
        </w:rPr>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color w:val="FF0000"/>
        </w:rPr>
        <w:t xml:space="preserve">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1FF9F4E6" w14:textId="77777777" w:rsidR="007C666C" w:rsidRPr="006C7BCF" w:rsidRDefault="007C666C" w:rsidP="007C666C">
      <w:pPr>
        <w:rPr>
          <w:rFonts w:eastAsiaTheme="majorEastAsia"/>
        </w:rPr>
      </w:pPr>
      <w:r>
        <w:rPr>
          <w:color w:val="FF0000"/>
        </w:rP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334D925" w14:textId="77777777" w:rsidR="007C666C" w:rsidRPr="006C7BCF" w:rsidRDefault="007C666C" w:rsidP="007C666C">
      <w:pPr>
        <w:rPr>
          <w:rFonts w:eastAsiaTheme="majorEastAsia"/>
        </w:rPr>
      </w:pPr>
      <w:r>
        <w:rPr>
          <w:color w:val="FF0000"/>
        </w:rPr>
        <w:t xml:space="preserve"/>
      </w:r>
      <w:r>
        <w:rPr>
          <w:color w:val="FF0000"/>
        </w:rPr>
        <w:t xml:space="preserve">The second phase fully specified the Proof of Collaboration (PoCol) algorithm, including the threat model</w:t>
      </w:r>
      <w:r>
        <w:rPr>
          <w:color w:val="FF0000"/>
        </w:rPr>
        <w:t xml:space="preserve">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D7B461F" w14:textId="77777777" w:rsidR="007C666C" w:rsidRPr="006C7BCF" w:rsidRDefault="007C666C" w:rsidP="007C666C">
      <w:pPr>
        <w:rPr>
          <w:rFonts w:eastAsiaTheme="majorEastAsia"/>
        </w:rPr>
      </w:pPr>
      <w:r>
        <w:t xml:space="preserve"/>
      </w:r>
      <w:r>
        <w:rPr>
          <w:color w:val="FF0000"/>
        </w:rP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w:t>
      </w:r>
      <w:r>
        <w:t xml:space="preserve"> </w:t>
      </w:r>
      <w:r>
        <w:rPr>
          <w:color w:val="FF0000"/>
        </w:rPr>
        <w:t xml:space="preserve">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r>
        <w:t xml:space="preserve"/>
      </w:r>
    </w:p>
    <w:p w14:paraId="6D3DD964" w14:textId="77777777" w:rsidR="007C666C" w:rsidRPr="006C7BCF" w:rsidRDefault="007C666C" w:rsidP="007C666C">
      <w:pPr>
        <w:rPr>
          <w:rFonts w:eastAsiaTheme="majorEastAsia"/>
        </w:rPr>
      </w:pPr>
      <w:r>
        <w:rPr>
          <w:color w:val="FF0000"/>
        </w:rPr>
        <w:t xml:space="preserve">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8C9D220" w14:textId="77777777" w:rsidR="00E9067C" w:rsidRPr="006C7BCF" w:rsidRDefault="007C666C" w:rsidP="007C666C">
      <w:pPr>
        <w:rPr>
          <w:rFonts w:eastAsiaTheme="majorEastAsia"/>
        </w:rPr>
      </w:pPr>
      <w:r>
        <w:rPr>
          <w:color w:val="FF0000"/>
        </w:rPr>
        <w:t xml:space="preserve">The methodology was designed to combine practical applicability of the PoCol algorithm with strong theoretical foundations; deployment and measurement beyond simulation remain future work.</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
      </w:r>
      <w:r>
        <w:rPr>
          <w:color w:val="FF0000"/>
        </w:rPr>
        <w:t xml:space="preserve">This thesis contributes to current research on</w:t>
      </w:r>
      <w:r>
        <w:rPr>
          <w:rFonts w:eastAsiaTheme="majorEastAsia"/>
        </w:rPr>
        <w:t xml:space="preserve"> energy-efficient distributed systems, blockchain consensus methods, and the development of sustainable digital infrastructures. </w:t>
      </w:r>
      <w:r>
        <w:rPr>
          <w:color w:val="FF0000"/>
        </w:rPr>
        <w:t xml:space="preserve">The main contributions of this thesis are summarized in the following five categories:</w:t>
      </w:r>
      <w:r>
        <w:rPr>
          <w:rFonts w:eastAsiaTheme="majorEastAsia"/>
        </w:rPr>
        <w:t xml:space="preserve"/>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
      </w:r>
      <w:r>
        <w:rPr>
          <w:color w:val="FF0000"/>
        </w:rPr>
        <w:t xml:space="preserve">C1: To provide a structured comparative examination of blockchain consensus mechanisms and their implications for energy consumption, covering established mechanisms such as PoW, PoS, DPoS, PoA, PoET, PoH, Green-PoW, and Proof-of-Useful-Randomness, together with emerging approaches such as Proof-of-Learning, DLBC, and PoFL. These mechanisms illustrate the trade-offs inherent in consensus design, primarily among security, decentralization, performance, and sustainability.</w:t>
      </w:r>
      <w:r>
        <w:rPr>
          <w:rFonts w:eastAsiaTheme="majorEastAsia"/>
        </w:rPr>
        <w:t xml:space="preserve"/>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design a collaborative mining mechanism in which miners share a common immutable block template with disjoint nonce ranges, eliminating</w:t>
      </w:r>
      <w:r>
        <w:rPr>
          <w:color w:val="FF0000"/>
        </w:rPr>
        <w:t xml:space="preserve"> duplicate hash inputs among honest miners within each mining round and reducing energy use.</w:t>
      </w:r>
      <w:r>
        <w:rPr>
          <w:rFonts w:eastAsiaTheme="majorEastAsia"/>
        </w:rPr>
        <w:t xml:space="preserve"> </w:t>
      </w:r>
      <w:r>
        <w:rPr>
          <w:color w:val="FF0000"/>
        </w:rP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r>
        <w:rPr>
          <w:rFonts w:eastAsiaTheme="majorEastAsia"/>
        </w:rPr>
        <w:t xml:space="preserve"/>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w:t>
      </w:r>
      <w:r>
        <w:rPr>
          <w:color w:val="FF0000"/>
        </w:rPr>
        <w:t xml:space="preserve">To develop an analytical framework for evaluating PoCol that integrates</w:t>
      </w:r>
      <w:r>
        <w:rPr>
          <w:color w:val="FF0000"/>
        </w:rPr>
        <w:t xml:space="preserve"> models for energy consumption and decentralization, enabling structured comparison of PoCol and PoW from a variety of operational perspectives</w:t>
      </w:r>
      <w:r>
        <w:rPr>
          <w:rFonts w:eastAsiaTheme="majorEastAsia"/>
        </w:rPr>
        <w:t xml:space="preserve">,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w:t>
      </w:r>
      <w:r>
        <w:rPr>
          <w:color w:val="FF0000"/>
        </w:rPr>
        <w:t xml:space="preserve">To implement a simulation testbed and prototype for PoCol and a PoW baseline, providing a simulation-based experimental evaluation.</w:t>
      </w:r>
      <w:r>
        <w:rPr>
          <w:color w:val="FF0000"/>
        </w:rPr>
        <w:t xml:space="preserve">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r>
        <w:rPr>
          <w:rFonts w:eastAsiaTheme="majorEastAsia"/>
        </w:rPr>
        <w:t xml:space="preserve"/>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
      </w:r>
      <w:r>
        <w:rPr>
          <w:color w:val="FF0000"/>
        </w:rPr>
        <w:t xml:space="preserve">C5: To establish a foundation for future research on collaborative and energy-efficient consensus, including extensions of PoCol toward useful-work tasks, machine-learning objectives, and application-specific goals, informed by recent developments in machine-learning and federated-learning consensus methods.</w:t>
      </w:r>
      <w:r>
        <w:rPr>
          <w:rFonts w:eastAsiaTheme="majorEastAsia"/>
        </w:rPr>
        <w:t xml:space="preserve"/>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
      </w:r>
      <w:r>
        <w:rPr>
          <w:color w:val="FF0000"/>
        </w:rPr>
        <w:t xml:space="preserve">The second chapter presents the required technical background on threat models, blockchain architecture, and consensus mechanisms.</w:t>
      </w:r>
      <w:r>
        <w:rPr>
          <w:rFonts w:eastAsiaTheme="majorEastAsia"/>
        </w:rPr>
        <w:t xml:space="preserve">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
      </w:r>
      <w:r>
        <w:rPr>
          <w:color w:val="FF0000"/>
        </w:rPr>
        <w:t xml:space="preserve">Chapter 4 presents the system model and mathematical formulation for Proof of Collaboration (PoCol).</w:t>
      </w:r>
      <w:r>
        <w:rPr>
          <w:rFonts w:eastAsiaTheme="majorEastAsia"/>
        </w:rPr>
        <w:t xml:space="preserve"/>
      </w:r>
    </w:p>
    <w:p w14:paraId="2D3337C3" w14:textId="77777777" w:rsidR="00AD3238" w:rsidRPr="006C7BCF" w:rsidRDefault="00AD3238" w:rsidP="00AD3238">
      <w:pPr>
        <w:rPr>
          <w:rFonts w:eastAsiaTheme="majorEastAsia"/>
        </w:rPr>
      </w:pPr>
      <w:r>
        <w:rPr>
          <w:rFonts w:eastAsiaTheme="majorEastAsia"/>
        </w:rPr>
        <w:t xml:space="preserve"/>
      </w:r>
      <w:r>
        <w:rPr>
          <w:color w:val="FF0000"/>
        </w:rPr>
        <w:t xml:space="preserve">Chapter 5 presents the PoCol consensus algorithm, including how rewards are shared, how blocks are produced, and how mining is performed collaboratively.</w:t>
      </w:r>
      <w:r>
        <w:rPr>
          <w:rFonts w:eastAsiaTheme="majorEastAsia"/>
        </w:rPr>
        <w:t xml:space="preserve"> In addition, </w:t>
      </w:r>
      <w:r>
        <w:rPr>
          <w:color w:val="FF0000"/>
        </w:rPr>
        <w:t xml:space="preserve">Chapter 5 provides a preliminary security and robustness analysis of the PoCol system model</w:t>
      </w:r>
      <w:r>
        <w:rPr>
          <w:rFonts w:eastAsiaTheme="majorEastAsia"/>
        </w:rPr>
        <w:t xml:space="preserve"> based on the concepts presented in Chapter 4, </w:t>
      </w:r>
      <w:r>
        <w:rPr>
          <w:color w:val="FF0000"/>
        </w:rPr>
        <w:t xml:space="preserve">and compares how consensus is achieved with PoCol against other consensus methods such as PoW.</w:t>
      </w:r>
      <w:r>
        <w:rPr>
          <w:rFonts w:eastAsiaTheme="majorEastAsia"/>
        </w:rPr>
        <w:t xml:space="preserve"/>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
      </w:r>
      <w:r>
        <w:rPr>
          <w:color w:val="FF0000"/>
        </w:rPr>
        <w:t xml:space="preserve">In Chapter 7, experimental results are presented, focusing on throughput, approximate confirmation time, stale-block rate, total energy consumption, energy per block, energy per transaction, and carbon footprint; fairness and decentralization remain analytical or future evaluation dimensions. PoCol is compared against the PoW baseline.</w:t>
      </w:r>
      <w:r>
        <w:rPr>
          <w:rFonts w:eastAsiaTheme="majorEastAsia"/>
        </w:rPr>
        <w:t xml:space="preserve"> Furthermore, the implications of the PoCol experimental results in relation to the previous 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w:t>
      </w:r>
      <w:r>
        <w:rPr>
          <w:color w:val="FF0000"/>
        </w:rPr>
        <w:t xml:space="preserve">future work aimed at improving the current PoCol design.</w:t>
      </w:r>
      <w:r>
        <w:rPr>
          <w:rFonts w:eastAsiaTheme="majorEastAsia"/>
        </w:rPr>
        <w:t xml:space="preserve"/>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 xml:space="preserve">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w:t>
      </w:r>
      <w:r>
        <w:rPr>
          <w:color w:val="FF0000"/>
        </w:rPr>
        <w:t xml:space="preserve">control of the system is decentralized and all state changes are validated according to consensus rules agreed by the participants, leaving no single participant in control of the state</w:t>
      </w:r>
      <w:r>
        <w:t xml:space="preserv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w:t>
      </w:r>
      <w:r>
        <w:rPr>
          <w:color w:val="FF0000"/>
        </w:rPr>
        <w:t xml:space="preserve">Blockchains group transactions into blocks (each block header contains the metadata necessary to identify the block within the ledger), creating a chain of blocks in which each block header identifies the previous block</w:t>
      </w:r>
      <w:r>
        <w:t xml:space="preserve"> (i.e. the timestamp for that block, the hash of the previous block, and any other consensus-related information). The chains of blocks represent the integrity of the system and provide a level of tamper-evidence to the records; </w:t>
      </w:r>
      <w:r>
        <w:rPr>
          <w:color w:val="FF0000"/>
        </w:rPr>
        <w:t xml:space="preserve">modifying the record of any previous block would change the hash of that block and thereby invalidate all subsequent blocks in the chain.</w:t>
      </w:r>
      <w:r>
        <w:t xml:space="preserve"> When looking at Bitcoin and other public cryptocurrencies </w:t>
      </w:r>
      <w:r>
        <w:rPr>
          <w:color w:val="FF0000"/>
        </w:rPr>
        <w:t xml:space="preserve">the ledger state is maintained as a set of unspent transaction outputs (UTXO): an accounting model in which each transaction consumes previously unspent outputs and creates new outputs assigned to recipient addresses [49], [50].</w:t>
      </w:r>
      <w:r>
        <w:t xml:space="preserve"> </w:t>
      </w:r>
      <w:r>
        <w:rPr>
          <w:color w:val="FF0000"/>
        </w:rPr>
        <w:t xml:space="preserve">Miners create blocks by solving a proof-of-work (PoW) puzzle and are rewarded for this work with newly created coins.</w:t>
      </w:r>
      <w:r>
        <w:t xml:space="preserve"> When dealing with private or permissioned systems, their inherent structure may be similar; but the block creation process will be assigned to an approved set of validators using Byzantine fault tolerant (BFT) models such as Practical Byzantine Fault Tolerant [8] and its variations, as well as other optimized versions for specific environments [51], [52]. </w:t>
      </w:r>
      <w:r>
        <w:rPr>
          <w:color w:val="FF0000"/>
        </w:rPr>
        <w:t xml:space="preserve">Many blockchain systems can be described as replicated state machines, in which each transaction deterministically transitions the shared state and every honest node applies the same ordered transactions to reach an identical state [7], [8].</w:t>
      </w:r>
      <w:r>
        <w:t xml:space="preserve">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t>
      </w:r>
      <w:r>
        <w:rPr>
          <w:color w:val="FF0000"/>
        </w:rPr>
        <w:t xml:space="preserve">with the different designs offering markedly different trade-offs in latency, throughput, fault tolerance, and decentralization.</w:t>
      </w:r>
      <w:r>
        <w:t xml:space="preserve"> </w:t>
      </w:r>
      <w:r>
        <w:rPr>
          <w:color w:val="FF0000"/>
        </w:rPr>
        <w:t xml:space="preserve">All of these designs maintain a shared, append-only ledger that secures the recorded transactions.</w:t>
      </w:r>
      <w:r>
        <w:t xml:space="preserve"/>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w:t>
      </w:r>
      <w:r>
        <w:rPr>
          <w:color w:val="FF0000"/>
        </w:rPr>
        <w:t xml:space="preserve">by exchanging information using a gossip protocol [1], [39].</w:t>
      </w:r>
      <w:r>
        <w:rPr>
          <w:rFonts w:eastAsiaTheme="majorEastAsia"/>
        </w:rPr>
        <w:t xml:space="preserve"> There are various kinds of nodes that may exist in a network. </w:t>
      </w:r>
      <w:r>
        <w:rPr>
          <w:color w:val="FF0000"/>
        </w:rPr>
        <w:t xml:space="preserve">Full nodes maintain and validate the full chain. Mining and validator nodes</w:t>
      </w:r>
      <w:r>
        <w:rPr>
          <w:rFonts w:eastAsiaTheme="majorEastAsia"/>
        </w:rPr>
        <w:t xml:space="preserve"> are responsible for participating in consensus and block production, while light clients are able to verify block and account balances utilizing cryptographic proofs and block headers but do not maintain the complete ledger. </w:t>
      </w:r>
      <w:r>
        <w:rPr>
          <w:color w:val="FF0000"/>
        </w:rPr>
        <w:t xml:space="preserve">The network is usually modelled as partially synchronous: after an unknown global stabilization time, messages are delivered within an unknown but bounded delay.</w:t>
      </w:r>
      <w:r>
        <w:rPr>
          <w:rFonts w:eastAsiaTheme="majorEastAsia"/>
        </w:rPr>
        <w:t xml:space="preserve"> </w:t>
      </w:r>
      <w:r>
        <w:rPr>
          <w:color w:val="FF0000"/>
        </w:rPr>
        <w:t xml:space="preserve">This model is suitable for both traditional BFT and Nakamoto‑style probabilistic consensus approaches, as shown in [7], [8].</w:t>
      </w:r>
      <w:r>
        <w:rPr>
          <w:rFonts w:eastAsiaTheme="majorEastAsia"/>
        </w:rPr>
        <w:t xml:space="preserve">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load usage through a common ledger [56]. Additional examples are provided by Li et al., who use blockchain to manage power-data assets and trading [57]. </w:t>
      </w:r>
      <w:r>
        <w:rPr>
          <w:color w:val="FF0000"/>
        </w:rPr>
        <w:t xml:space="preserve">Based on this review, there is a high potential for continued growth and development of blockchain-based business models.</w:t>
      </w:r>
      <w:r>
        <w:t xml:space="preserve">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 xml:space="preserve">Transactions are a basic function of the ledger, representing a single operation that causes the ledger state to change. </w:t>
      </w:r>
      <w:r>
        <w:rPr>
          <w:color w:val="FF0000"/>
        </w:rPr>
        <w:t xml:space="preserve">In UTXO-based models, a transaction takes in the current ledger's unspent output(s)</w:t>
      </w:r>
      <w:r>
        <w:rPr>
          <w:rFonts w:eastAsiaTheme="majorEastAsia"/>
        </w:rPr>
        <w:t xml:space="preserve"> and converts them into output to be spent later by the assigned user(s). Account-based models keep track of balances tied to the user's accounts and they apply transactions to transfer value to an account or to perform a smart contract. </w:t>
      </w:r>
      <w:r>
        <w:rPr>
          <w:color w:val="FF0000"/>
        </w:rPr>
        <w:t xml:space="preserve">Transactions must satisfy syntactic validity rules, authorization requirements such as digital signatures, and any protocol-specific state-transition or consensus conditions before inclusion in a block.</w:t>
      </w:r>
      <w:r>
        <w:rPr>
          <w:rFonts w:eastAsiaTheme="majorEastAsia"/>
        </w:rPr>
        <w:t xml:space="preserve"/>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w:t>
      </w:r>
      <w:r>
        <w:rPr>
          <w:color w:val="FF0000"/>
        </w:rPr>
        <w:t xml:space="preserve">Turing-complete (i.e., a language in which any computable function can be expressed)</w:t>
      </w:r>
      <w:r>
        <w:rPr>
          <w:rFonts w:eastAsiaTheme="majorEastAsia"/>
        </w:rPr>
        <w:t xml:space="preserve"> or limited target domain-specific languages, written and stored on the blockchain, </w:t>
      </w:r>
      <w:r>
        <w:rPr>
          <w:color w:val="FF0000"/>
        </w:rPr>
        <w:t xml:space="preserve">enabling new contracts to be deployed on the ledger and executed through transactions.</w:t>
      </w:r>
      <w:r>
        <w:rPr>
          <w:rFonts w:eastAsiaTheme="majorEastAsia"/>
        </w:rPr>
        <w:t xml:space="preserve"> Because of this paradigm, </w:t>
      </w:r>
      <w:r>
        <w:rPr>
          <w:color w:val="FF0000"/>
        </w:rPr>
        <w:t xml:space="preserve">there is no need for centralized organizations to control business logic; smart contracts allow decentralized applications (dApps) to create tokens for assets and to track and manage complex business processes</w:t>
      </w:r>
      <w:r>
        <w:rPr>
          <w:rFonts w:eastAsiaTheme="majorEastAsia"/>
        </w:rPr>
        <w:t xml:space="preserve">, such as circular supply chains which use smart contracts to record all critical performance indicators and compliance standards, according to Huang and colleagues. </w:t>
      </w:r>
      <w:r>
        <w:rPr>
          <w:color w:val="FF0000"/>
        </w:rPr>
        <w:t xml:space="preserve">Farooq et al. created an open voting platform</w:t>
      </w:r>
      <w:r>
        <w:rPr>
          <w:rFonts w:eastAsiaTheme="majorEastAsia"/>
        </w:rPr>
        <w:t xml:space="preserve"> that uses transactions to record votes and the smart contract to tally the votes. Ullah and Al-Turjman describe smart contract functions in smart cities to facilitate the transaction of real estate, as well as store real property and escrow rights within the ledger. </w:t>
      </w:r>
      <w:r>
        <w:rPr>
          <w:color w:val="FF0000"/>
        </w:rPr>
        <w:t xml:space="preserve">Vyas et al. discuss using artificial-intelligence-assisted smart contracts</w:t>
      </w:r>
      <w:r>
        <w:rPr>
          <w:rFonts w:eastAsiaTheme="majorEastAsia"/>
        </w:rPr>
        <w:t xml:space="preserve"> to bridge sensors from Agriculture and Healthcare with predictive algorithms. </w:t>
      </w:r>
      <w:r>
        <w:rPr>
          <w:color w:val="FF0000"/>
        </w:rPr>
        <w:t xml:space="preserve">Smolenski discusses the opportunities that blockchain-based credential-verification technologies provide to create new avenues of education</w:t>
      </w:r>
      <w:r>
        <w:rPr>
          <w:rFonts w:eastAsiaTheme="majorEastAsia"/>
        </w:rPr>
        <w:t xml:space="preserve">,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 xml:space="preserve"/>
      </w:r>
      <w:r>
        <w:rPr>
          <w:color w:val="FF0000"/>
        </w:rPr>
        <w:t xml:space="preserve">Distributed systems employ consensus protocols so that non-faulty nodes agree on the order of state transitions despite crashes, network faults, or adversarial behaviour [7], [8].</w:t>
      </w:r>
      <w:r>
        <w:rPr>
          <w:rFonts w:eastAsiaTheme="majorEastAsia"/>
        </w:rPr>
        <w:t xml:space="preserve"> </w:t>
      </w:r>
      <w:r>
        <w:rPr>
          <w:color w:val="FF0000"/>
        </w:rPr>
        <w:t xml:space="preserve">The manner of achieving consensus on the order of the transactions</w:t>
      </w:r>
      <w:r>
        <w:rPr>
          <w:rFonts w:eastAsiaTheme="majorEastAsia"/>
        </w:rPr>
        <w:t xml:space="preserve"> in the blockchain also determines how secure, performant, and energy efficient the systems are. </w:t>
      </w:r>
      <w:r>
        <w:rPr>
          <w:color w:val="FF0000"/>
        </w:rPr>
        <w:t xml:space="preserve">This section briefly summarizes classical consensus methods, Nakamoto consensus based on Proof of Work (PoW), the principal Proof of Stake (PoS) methods, and recent variants proposed to reduce the energy expenditure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 xml:space="preserve">The Practical Byzantine Fault Tolerance (PBFT) method, created by Castro and Liskov, </w:t>
      </w:r>
      <w:r>
        <w:rPr>
          <w:color w:val="FF0000"/>
        </w:rPr>
        <w:t xml:space="preserve">enables consensus among honest nodes provided that fewer than one-third of the nodes are Byzantine</w:t>
      </w:r>
      <w:r>
        <w:rPr>
          <w:color w:val="FF0000"/>
        </w:rPr>
        <w:t xml:space="preserve">. In the normal case, PBFT proceeds through pre-prepare, prepare, and commit message phases over a partially synchronous network, with a view-change protocol to replace a faulty leader; safety relies on the one-third fault bound, while liveness additionally depends on the partial-synchrony assumption [8]. </w:t>
      </w:r>
      <w:r>
        <w:rPr>
          <w:color w:val="FF0000"/>
        </w:rPr>
        <w:t xml:space="preserve">This work has been followed by many successful enhancements, such as the addition of proactive recovery [59]</w:t>
      </w:r>
      <w:r>
        <w:rPr>
          <w:rFonts w:eastAsiaTheme="majorEastAsia"/>
        </w:rPr>
        <w:t xml:space="preserve">,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rPr>
          <w:color w:val="FF0000"/>
        </w:rPr>
        <w:t xml:space="preserve">they also require multiple rounds of communication over authenticated channels; the all-to-all message exchange of PBFT-style protocols entails O(n²) message complexity in the number of participants, which increases coordination cost and energy consumption as the validator set grows.</w:t>
      </w:r>
      <w:r>
        <w:rPr>
          <w:rFonts w:eastAsiaTheme="majorEastAsia"/>
        </w:rPr>
        <w:t xml:space="preserve">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 xml:space="preserve">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w:t>
      </w:r>
      <w:r>
        <w:rPr>
          <w:color w:val="FF0000"/>
        </w:rPr>
        <w:t xml:space="preserve">quickly propagate throughout the Bitcoin network</w:t>
      </w:r>
      <w:r>
        <w:rPr>
          <w:rFonts w:eastAsiaTheme="majorEastAsia"/>
        </w:rPr>
        <w:t xml:space="preserve">. </w:t>
      </w:r>
      <w:r>
        <w:rPr>
          <w:color w:val="FF0000"/>
        </w:rPr>
        <w:t xml:space="preserve">Honest nodes adopt the chain that represents the greatest cumulative proof-of-work, so the history backed by the most computational work prevails; the probability that a confirmed transaction is later reversed decreases as more blocks are appended above it.</w:t>
      </w:r>
      <w:r>
        <w:rPr>
          <w:rFonts w:eastAsiaTheme="majorEastAsia"/>
        </w:rPr>
        <w:t xml:space="preserve"> </w:t>
      </w:r>
      <w:r>
        <w:rPr>
          <w:color w:val="FF0000"/>
        </w:rPr>
        <w:t xml:space="preserve">The core security argument assumes that no single attacker controls a majority of the network's total hash power and that honest nodes are sufficiently synchronized to converge on the same chain [1], [7]; even below this threshold, however, attacks such as selfish mining and double-spending against transactions with few confirmations remain possible with reduced success probability.</w:t>
      </w:r>
      <w:r>
        <w:rPr>
          <w:rFonts w:eastAsiaTheme="majorEastAsia"/>
        </w:rPr>
        <w:t xml:space="preserve"/>
      </w:r>
    </w:p>
    <w:p w14:paraId="41D7C244" w14:textId="77777777" w:rsidR="00A1363F" w:rsidRPr="006C7BCF" w:rsidRDefault="00A1363F" w:rsidP="00A1363F">
      <w:pPr>
        <w:rPr>
          <w:rFonts w:eastAsiaTheme="majorEastAsia"/>
        </w:rPr>
      </w:pPr>
      <w:r>
        <w:t xml:space="preserve">The primary benefit of using PoW as a method of validating transactions </w:t>
      </w:r>
      <w:r>
        <w:rPr>
          <w:color w:val="FF0000"/>
        </w:rPr>
        <w:t xml:space="preserve">is its openness and conceptual simplicity: any person or entity capable of performing the necessary computations to create a valid block can participate, with no restrictions based on pre-existing identity or stake holdings.</w:t>
      </w:r>
      <w:r>
        <w:t xml:space="preserve">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w:t>
      </w:r>
      <w:r>
        <w:rPr>
          <w:color w:val="FF0000"/>
        </w:rPr>
        <w:t xml:space="preserve">total energy consumption of the Bitcoin network using market</w:t>
      </w:r>
      <w:r>
        <w:t xml:space="preserve">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w:t>
      </w:r>
      <w:r>
        <w:rPr>
          <w:color w:val="FF0000"/>
        </w:rPr>
        <w:t xml:space="preserve"/>
      </w:r>
      <w:r>
        <w:rPr>
          <w:color w:val="FF0000"/>
        </w:rPr>
        <w:t xml:space="preserve">including Proof of Space, Proof of Replication, and Proof of Space-Time. Proof of Replication and Proof of Space-Time are related storage-based proofs that establish, respectively, the storage of a unique replica and its continued availability over time.</w:t>
      </w:r>
      <w:r>
        <w:rPr>
          <w:color w:val="FF0000"/>
        </w:rPr>
        <w:t xml:space="preserve"/>
      </w:r>
      <w:r>
        <w:rPr>
          <w:rFonts w:eastAsiaTheme="majorEastAsia"/>
        </w:rPr>
        <w:t xml:space="preserve">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
      </w:r>
      <w:r>
        <w:rPr>
          <w:color w:val="FF0000"/>
        </w:rPr>
        <w:t xml:space="preserve">The way blockchain consumes energy, particularly in proof-of-work (PoW) public networks [65], [66], </w:t>
      </w:r>
      <w:r>
        <w:rPr>
          <w:color w:val="FF0000"/>
        </w:rPr>
        <w:t xml:space="preserve">has become a central concern in debates over the environmental impact and operating costs of blockchain technology.</w:t>
      </w:r>
      <w:r>
        <w:rPr>
          <w:rFonts w:eastAsiaTheme="majorEastAsia"/>
        </w:rPr>
        <w:t xml:space="preserve"> </w:t>
      </w:r>
      <w:r>
        <w:rPr>
          <w:color w:val="FF0000"/>
        </w:rPr>
        <w:t xml:space="preserve">Comparing consensus mechanisms therefore requires precisely defined power and energy metrics, an understanding of how these metrics are measured empirically, and an assessment of how the environmental and economic effects of blockchain deployment arise.</w:t>
      </w:r>
      <w:r>
        <w:rPr>
          <w:rFonts w:eastAsiaTheme="majorEastAsia"/>
        </w:rPr>
        <w:t xml:space="preserve"/>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rPr>
          <w:color w:val="FF0000"/>
        </w:rPr>
        <w:t xml:space="preserve">Power is the rate of energy conversion, expressed in watts (W) or megawatts (MW); energy is power integrated over time, expressed in joules (J), watt-hours (Wh), kilowatt-hours (kWh), or, at network scale, terawatt-hours (TWh). The blockchain literature reports energy consumption using several metrics: network power demand (MW); energy per block and energy per transaction (kWh); energy per hash (J/hash) in Proof of Work systems;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525C1AB4" w14:textId="77777777" w:rsidR="008B202D" w:rsidRPr="006C7BCF" w:rsidRDefault="008B202D" w:rsidP="008B202D">
      <w:pPr>
        <w:rPr>
          <w:rFonts w:eastAsiaTheme="majorEastAsia"/>
        </w:rPr>
      </w:pPr>
      <w:r>
        <w:t xml:space="preserve">De Vries and others estimate the total power consumption of the entire network using bottom-up modeling based on observed hash rates, assumptions about mining hardware efficiencies and </w:t>
      </w:r>
      <w:r>
        <w:rPr>
          <w:color w:val="FF0000"/>
        </w:rPr>
        <w:t xml:space="preserve">Power Usage Effectiveness (PUE)</w:t>
      </w:r>
      <w:r>
        <w:t xml:space="preserv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color w:val="FF0000"/>
        </w:rPr>
        <w:t xml:space="preserve">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
      </w:r>
      <w:r>
        <w:rPr>
          <w:color w:val="FF0000"/>
        </w:rPr>
        <w:t xml:space="preserve">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r>
        <w:t xml:space="preserve"/>
      </w:r>
    </w:p>
    <w:p w14:paraId="5F58AD8B" w14:textId="77777777" w:rsidR="008B202D" w:rsidRPr="006C7BCF" w:rsidRDefault="008B202D" w:rsidP="008B202D">
      <w:pPr>
        <w:spacing w:after="160" w:line="276" w:lineRule="auto"/>
        <w:rPr>
          <w:rFonts w:eastAsia="Times New Roman"/>
          <w:sz w:val="24"/>
          <w:szCs w:val="24"/>
        </w:rPr>
      </w:pPr>
      <w:r>
        <w:rPr>
          <w:color w:val="FF0000"/>
        </w:rP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68068CCE" w14:textId="77777777" w:rsidR="008B202D" w:rsidRPr="006C7BCF" w:rsidRDefault="008B202D" w:rsidP="008B202D">
      <w:pPr>
        <w:spacing w:after="160" w:line="276" w:lineRule="auto"/>
        <w:rPr>
          <w:rFonts w:eastAsia="Times New Roman"/>
          <w:sz w:val="24"/>
          <w:szCs w:val="24"/>
        </w:rPr>
      </w:pPr>
      <w:r>
        <w:rPr>
          <w:color w:val="FF0000"/>
        </w:rPr>
        <w:t xml:space="preserve">The development of numerous consensus algorithms has enriched the consensus-design space; however, it has also made systematic comparison more difficult.</w:t>
      </w:r>
      <w:r>
        <w:t xml:space="preserve"> </w:t>
      </w:r>
      <w:r>
        <w:rPr>
          <w:color w:val="FF0000"/>
        </w:rPr>
        <w:t xml:space="preserve">Although several important surveys detail blockchain architecture, security, and consensus mechanisms, a considerable gap remains in the comparative understanding of these mechanisms.</w:t>
      </w:r>
      <w:r>
        <w:t xml:space="preserve"> </w:t>
      </w:r>
      <w:r>
        <w:rPr>
          <w:color w:val="FF0000"/>
        </w:rPr>
        <w:t xml:space="preserve">Many prior surveys have examined consensus mechanisms through one or a limited number of isolated lenses</w:t>
      </w:r>
      <w:r>
        <w:rPr>
          <w:color w:val="FF0000"/>
        </w:rPr>
        <w:t xml:space="preserve"> (e.g., taxonomy, architecture, protocol design, or application orientation), thereby failing</w:t>
      </w:r>
      <w:r>
        <w:t xml:space="preserve"> to provide an overarching comparative framework in which functionality, security and energy consumption can be integrated </w:t>
      </w:r>
      <w:r>
        <w:rPr>
          <w:color w:val="FF0000"/>
        </w:rPr>
        <w:t xml:space="preserve">to evaluate these mechanisms [73], [74]. The authors of these surveys have described the mechanisms using broad labels</w:t>
      </w:r>
      <w:r>
        <w:t xml:space="preserve"> (e.g., secure, scalable, decentralized, or energy efficient), and have not established sufficiently consistent criteria for the rigorous cross-family comparison of these mechanisms. Most of the prior reviews remain predominantly descriptive, </w:t>
      </w:r>
      <w:r>
        <w:rPr>
          <w:color w:val="FF0000"/>
        </w:rPr>
        <w:t xml:space="preserve">providing useful classification but limited decision-oriented synthesis for determining when</w:t>
      </w:r>
      <w:r>
        <w:t xml:space="preserve">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In response to this gap, </w:t>
      </w:r>
      <w:r>
        <w:rPr>
          <w:color w:val="FF0000"/>
        </w:rPr>
        <w:t xml:space="preserve">this research presents a structured comparative literature review of blockchain consensus algorithms based on three analytical dimensions</w:t>
      </w:r>
      <w:r>
        <w:rPr>
          <w:rFonts w:eastAsia="Times New Roman"/>
          <w:sz w:val="24"/>
          <w:szCs w:val="24"/>
        </w:rPr>
        <w:t xml:space="preserve">: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w:t>
      </w:r>
      <w:r>
        <w:rPr>
          <w:color w:val="FF0000"/>
        </w:rPr>
        <w:t xml:space="preserve">Second, it introduces an evaluation framework that compares all categories of consensus mechanisms along three dimensions: (1) functionality, which describes the type and scope of the system; (2) security, which encompasses both conventional protection against intentional attacks and robustness against non-adversarial faults; and (3) energy consumption and sustainability, understood as a holistic measure of efficiency and environmental impact.</w:t>
      </w:r>
      <w:r>
        <w:rPr>
          <w:rFonts w:eastAsia="Times New Roman"/>
          <w:sz w:val="24"/>
          <w:szCs w:val="24"/>
        </w:rPr>
        <w:t xml:space="preserve"> </w:t>
      </w:r>
    </w:p>
    <w:p w14:paraId="7CADEF14" w14:textId="77777777" w:rsidR="001B31C3" w:rsidRPr="006C7BCF" w:rsidRDefault="001B31C3" w:rsidP="001B31C3">
      <w:pPr>
        <w:spacing w:after="160" w:line="276" w:lineRule="auto"/>
        <w:rPr>
          <w:rFonts w:eastAsia="Times New Roman"/>
          <w:sz w:val="24"/>
          <w:szCs w:val="24"/>
        </w:rPr>
      </w:pPr>
      <w:r>
        <w:rPr>
          <w:color w:val="FF0000"/>
        </w:rPr>
        <w:t xml:space="preserve">The structured review addresses the following research 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color w:val="FF0000"/>
        </w:rPr>
        <w:t xml:space="preserve">Recent work continues to extend blockchain consensus design in new directions. Ladder, for example, is a convergence-based structured-DAG design that facilitates parallel processing of blocks, achieving increased throughput and lower confirmation latency [79]. Similarly, Orthrus accelerates Multi-BFT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Pr>
          <w:color w:val="FF0000"/>
        </w:rPr>
        <w:t xml:space="preserve">particularly in high-performance and BFT-based applications [79], [81].</w:t>
      </w:r>
      <w:r>
        <w:rPr>
          <w:rFonts w:eastAsia="Times New Roman"/>
          <w:sz w:val="24"/>
          <w:szCs w:val="24"/>
        </w:rPr>
        <w:t xml:space="preserve"/>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 xml:space="preserve">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w:t>
      </w:r>
      <w:r>
        <w:rPr>
          <w:color w:val="FF0000"/>
        </w:rPr>
        <w:t xml:space="preserve">into a single comparison framework, while linking these three dimensions to practical deployment contexts across a wide range of blockchain environments [73], [75].</w:t>
      </w:r>
      <w:r>
        <w:rPr>
          <w:rFonts w:eastAsia="Times New Roman"/>
          <w:sz w:val="24"/>
          <w:szCs w:val="24"/>
        </w:rPr>
        <w:t xml:space="preserve"/>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
      </w:r>
      <w:r>
        <w:rPr>
          <w:color w:val="FF0000"/>
        </w:rPr>
        <w:t xml:space="preserve">This research employed a structured comparative literature-review method, informed by PRISMA principles for organizing and reporting the reviewed material, to provide a clear and reproducible overview of blockchain consensus systems.</w:t>
      </w:r>
      <w:r>
        <w:t xml:space="preserve">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
      </w:r>
      <w:r>
        <w:rPr>
          <w:color w:val="FF0000"/>
        </w:rPr>
        <w:t xml:space="preserve">The selection process for the articles in this review was informed by PRISMA principles, including identifying</w:t>
      </w:r>
      <w:r>
        <w:t xml:space="preserve">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
      </w:r>
      <w:r>
        <w:rPr>
          <w:color w:val="FF0000"/>
        </w:rPr>
        <w:t xml:space="preserve">This review has several limitations. It is a structured comparative literature review rather than a statistical meta-analysis.</w:t>
      </w:r>
      <w:r>
        <w:t xml:space="preserve">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
      </w:r>
      <w:r>
        <w:rPr>
          <w:color w:val="FF0000"/>
        </w:rPr>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w:t>
      </w:r>
      <w:r>
        <w:t xml:space="preserve"> </w:t>
      </w:r>
      <w:r>
        <w:rPr>
          <w:color w:val="FF0000"/>
        </w:rPr>
        <w:t xml:space="preserve">The evaluation criteria were functionality, security, and energy consumption; these were identified as representative of the trade-offs most important to CA design, namely operational effectiveness, resilience to adversarial behaviour, and sustainability.</w:t>
      </w:r>
      <w:r>
        <w:t xml:space="preserve">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w:t>
      </w:r>
      <w:r>
        <w:rPr>
          <w:color w:val="FF0000"/>
        </w:rPr>
        <w:t xml:space="preserve">PoCol follows the same probabilistic-finality principles as PoW, and k is chosen so as to target security guarantees at least comparable to those of the baseline technology; establishing formal equivalence of these guarantees is left to future work.</w:t>
      </w:r>
      <w:r>
        <w:t xml:space="preserve"/>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 xml:space="preserve">The list of goals leads to the creation of the following functional and non-functional specifications. In particular, the protocol outlines how nonce ranges are generated and distributed, </w:t>
      </w:r>
      <w:r>
        <w:rPr>
          <w:color w:val="FF0000"/>
        </w:rPr>
        <w:t xml:space="preserve">enables verification that miners searched their assigned nonce ranges</w:t>
      </w:r>
      <w:r>
        <w:t xml:space="preserve">,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t>
      </w:r>
      <w:r>
        <w:rPr>
          <w:color w:val="FF0000"/>
        </w:rPr>
        <w:t xml:space="preserve">who are eligible to participate in PoCol mining rounds in order to earn rewards.</w:t>
      </w:r>
      <w:r>
        <w:t xml:space="preserve">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w:t>
      </w:r>
      <w:r>
        <w:rPr>
          <w:color w:val="FF0000"/>
        </w:rPr>
        <w:t xml:space="preserve">its public key will remain on the list</w:t>
      </w:r>
      <w:r>
        <w:t xml:space="preserve">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w:t>
      </w:r>
      <w:r>
        <w:rPr>
          <w:color w:val="FF0000"/>
        </w:rPr>
        <w:t xml:space="preserve">Afterward, this transaction is broadcast across the network in the same manner as other valid transactions and is included in a block by any miner.</w:t>
      </w:r>
      <w:r>
        <w:t xml:space="preserve">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w:t>
      </w:r>
      <w:r>
        <w:rPr>
          <w:color w:val="FF0000"/>
        </w:rPr>
        <w:t xml:space="preserve">meaning that it no longer contributes towards consensus</w:t>
      </w:r>
      <w:r>
        <w:t xml:space="preserv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w:t>
      </w:r>
      <w:r>
        <w:rPr>
          <w:color w:val="FF0000"/>
        </w:rPr>
        <w:t xml:space="preserve">the index of the last block in which that miner was actively involved</w:t>
      </w:r>
      <w:r>
        <w:t xml:space="preserve">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w:t>
      </w:r>
      <w:r>
        <w:rPr>
          <w:color w:val="FF0000"/>
        </w:rPr>
        <w:t xml:space="preserve">one registered miner (Miner C) is not performing its work</w:t>
      </w:r>
      <w:r>
        <w:t xml:space="preserve">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w:t>
      </w:r>
      <w:r>
        <w:rPr>
          <w:color w:val="FF0000"/>
        </w:rPr>
        <w:t xml:space="preserve">it might still receive its share of the reward if it remains registered</w:t>
      </w:r>
      <w:r>
        <w:t xml:space="preserve">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 xml:space="preserve">In a typical situation, the process of registration in the genesis sequence goes as follows. Miner A, who desires to carry out local registration record, proceeds with executing genesis registration transaction </w:t>
      </w:r>
      <w:r>
        <w:rPr>
          <w:color w:val="FF0000"/>
        </w:rPr>
        <w:t xml:space="preserve">possibly by disclosing its public key, network address, and reward address</w:t>
      </w:r>
      <w:r>
        <w:t xml:space="preserve">. However, after registration by Miner A, the two other miners – B and C – send registration requests to Miner A, </w:t>
      </w:r>
      <w:r>
        <w:rPr>
          <w:color w:val="FF0000"/>
        </w:rPr>
        <w:t xml:space="preserve">which are validated by Miner A. As soon as Miner A has approved the requests, it registers them into the system.</w:t>
      </w:r>
      <w:r>
        <w:t xml:space="preserve"/>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w:t>
      </w:r>
      <w:r>
        <w:rPr>
          <w:color w:val="FF0000"/>
        </w:rPr>
        <w:t xml:space="preserve">or use its nonce range to participate</w:t>
      </w:r>
      <w:r>
        <w:t xml:space="preserve"> in the nonce distribution function. Additionally, the next invocation of the nonce distribution function will create new partitioning for the nonce space, and </w:t>
      </w:r>
      <w:r>
        <w:rPr>
          <w:color w:val="FF0000"/>
        </w:rPr>
        <w:t xml:space="preserve">no space will be wasted on Miner C after it has left</w:t>
      </w:r>
      <w:r>
        <w:t xml:space="preserve">.</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
      </w:r>
      <w:r>
        <w:rPr>
          <w:color w:val="FF0000"/>
        </w:rPr>
        <w:t xml:space="preserve">Informally, PoCol is designed to preserve the conditions under which it can be argued that</w:t>
      </w:r>
      <w:r>
        <w:t xml:space="preserve"> the double-spend probability for a transaction with k confirmations decreases exponentially in k, for α &lt; 0.5 and partially synchronous networks, </w:t>
      </w:r>
      <w:r>
        <w:rPr>
          <w:color w:val="FF0000"/>
        </w:rPr>
        <w:t xml:space="preserve">in analogy with the Bitcoin backbone analysis [46], [34]; a complete formal proof of these properties for the full common-template protocol remains future work.</w:t>
      </w:r>
      <w:r>
        <w:t xml:space="preserve"/>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w:t>
      </w:r>
      <w:r>
        <w:rPr>
          <w:color w:val="FF0000"/>
        </w:rPr>
        <w:t xml:space="preserve">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w:t>
      </w:r>
      <w:r>
        <w:t xml:space="preserve">,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w:t>
      </w:r>
      <w:r>
        <w:rPr>
          <w:color w:val="FF0000"/>
        </w:rPr>
        <w:t xml:space="preserve">— while retaining the hash-based puzzle and longest-chain structure of PoW. The accompanying preliminary analysis (Section 5.11) suggests compatibility with PoW-style security assumptions; however, formal equivalence of common-prefix, chain-growth, chain-quality, and double-spend guarantees remains to be established for the complete protocol.</w:t>
      </w:r>
      <w:r>
        <w:rPr>
          <w:color w:val="FF0000"/>
        </w:rPr>
        <w:t xml:space="preserve"/>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w:t>
      </w:r>
      <w:r>
        <w:rPr>
          <w:color w:val="FF0000"/>
        </w:rPr>
        <w:t xml:space="preserve">arguing informally that PoCol is designed to maintain standard blockchain security properties while addressing energy efficiency and fairness concerns; formal security equivalence remains to be established.</w:t>
      </w:r>
      <w:r>
        <w:t xml:space="preserve"/>
      </w:r>
    </w:p>
    <w:p w14:paraId="3C42689F" w14:textId="77777777" w:rsidR="00683D84" w:rsidRPr="006C7BCF" w:rsidRDefault="00683D84" w:rsidP="00683D84">
      <w:r>
        <w:t xml:space="preserve"/>
      </w:r>
      <w:r>
        <w:rPr>
          <w:color w:val="FF0000"/>
        </w:rPr>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r>
        <w:t xml:space="preserve"/>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w:t>
      </w:r>
      <w:r>
        <w:rPr>
          <w:color w:val="FF0000"/>
        </w:rPr>
        <w:t xml:space="preserve">simulating the operation of Bitcoin-style networks</w:t>
      </w:r>
      <w:r>
        <w:t xml:space="preserve">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w:t>
      </w:r>
      <w:r>
        <w:rPr>
          <w:color w:val="FF0000"/>
        </w:rPr>
        <w:t xml:space="preserve">The reported results therefore evaluate the idealized behaviour of disjoint nonce-space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r>
        <w:rPr>
          <w:color w:val="FF0000"/>
        </w:rPr>
        <w:t xml:space="preserve"/>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
      </w:r>
      <w:r>
        <w:rPr>
          <w:color w:val="FF0000"/>
        </w:rPr>
        <w:t xml:space="preserve">All simulation inputs other than the miner population remained unchanged between test runs; these are included in the InputConfig sheet of each workbook.</w:t>
      </w:r>
      <w:r>
        <w:t xml:space="preserve">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w:t>
      </w:r>
      <w:r>
        <w:rPr>
          <w:color w:val="FF0000"/>
        </w:rPr>
        <w:t xml:space="preserve">A comparison of the PoW and PoCol results shows that while the latter exhibits much lower aggregate energy consumption, it also exhibits a much higher occurrence of stale blocks.</w:t>
      </w:r>
      <w:r>
        <w:t xml:space="preserve">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4671C8B8" w14:textId="77777777" w:rsidR="00A12544" w:rsidRPr="006C7BCF" w:rsidRDefault="00747645" w:rsidP="00747645">
      <w:r>
        <w:rPr>
          <w:color w:val="FF0000"/>
        </w:rP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nonce-space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w:t>
      </w:r>
      <w:r>
        <w:rPr>
          <w:color w:val="FF0000"/>
        </w:rPr>
        <w:t xml:space="preserve">described the structure of the result workbooks generated by the simulator</w:t>
      </w:r>
      <w:r>
        <w:t xml:space="preserve">, and identified the normalized performance measurements to be used for subsequent analyses. </w:t>
      </w:r>
    </w:p>
    <w:p w14:paraId="4BEDBAEC" w14:textId="77777777" w:rsidR="00747645" w:rsidRPr="006C7BCF" w:rsidRDefault="00747645" w:rsidP="00747645">
      <w:r>
        <w:t xml:space="preserve">Furthermore, </w:t>
      </w:r>
      <w:r>
        <w:rPr>
          <w:color w:val="FF0000"/>
        </w:rPr>
        <w:t xml:space="preserve">the experiment produced ten result workbooks — five PoW scenarios and five PoCol scenarios, corresponding to miner populations of 100, 200, 300, 400, and 500 — each containing the configuration, aggregate information, miner accounting data, chain history, and energy-consumption data.</w:t>
      </w:r>
      <w:r>
        <w:t xml:space="preserve"> </w:t>
      </w:r>
    </w:p>
    <w:p w14:paraId="7A28C1EE" w14:textId="77777777" w:rsidR="00A12544" w:rsidRPr="006C7BCF" w:rsidRDefault="00747645" w:rsidP="00747645">
      <w:r>
        <w:t xml:space="preserve"/>
      </w:r>
      <w:r>
        <w:rPr>
          <w:color w:val="FF0000"/>
        </w:rPr>
        <w:t xml:space="preserve">Thus, the thesis has a proof-of-concept simulation basis — one run per configuration, analysed descriptively without significance testing — for analyzing the behavior of PoCol and PoW</w:t>
      </w:r>
      <w:r>
        <w:t xml:space="preserve">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w:t>
      </w:r>
      <w:r>
        <w:rPr>
          <w:color w:val="FF0000"/>
        </w:rPr>
        <w:t xml:space="preserve">Specifically, the experiments were designed to answer three questions: Does collaborative nonce-space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r>
        <w:t xml:space="preserve"/>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rPr>
          <w:color w:val="FF0000"/>
        </w:rPr>
        <w:t xml:space="preserve">7.3.2. Latency and approximate confirmation time</w:t>
      </w:r>
      <w:bookmarkEnd w:id="236"/>
    </w:p>
    <w:p w14:paraId="646E5C4B" w14:textId="77777777" w:rsidR="00B42EA1" w:rsidRPr="006C7BCF" w:rsidRDefault="00747645" w:rsidP="00747645">
      <w:r>
        <w:t xml:space="preserve"/>
      </w:r>
      <w:r>
        <w:rPr>
          <w:color w:val="FF0000"/>
        </w:rP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w:t>
      </w:r>
      <w:r>
        <w:t xml:space="preserve"> 3189 seconds for PoCol and 3128 seconds for PoW (see Figure 7.2). </w:t>
      </w:r>
      <w:r>
        <w:rPr>
          <w:color w:val="FF0000"/>
        </w:rPr>
        <w:t xml:space="preserve">The approximate confirmation time for PoCol begins to drop rapidly</w:t>
      </w:r>
      <w:r>
        <w:t xml:space="preserve">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
      </w:r>
      <w:r>
        <w:rPr>
          <w:color w:val="FF0000"/>
        </w:rPr>
        <w:t xml:space="preserve">Figure 7.2. Approximate six-block confirmation time derived from the average main-chain block interval.</w:t>
      </w:r>
      <w:r>
        <w:rPr>
          <w:i/>
          <w:sz w:val="20"/>
        </w:rPr>
        <w:t xml:space="preserve"/>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
      </w:r>
      <w:r>
        <w:rPr>
          <w:color w:val="FF0000"/>
        </w:rPr>
        <w:t xml:space="preserve">The largest improvement observed for the simulated PoCol abstraction concerns energy consumption.</w:t>
      </w:r>
      <w:r>
        <w:t xml:space="preserve">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
      </w:r>
      <w:r>
        <w:rPr>
          <w:color w:val="FF0000"/>
        </w:rPr>
        <w:t xml:space="preserve">When comparing PoW to PoCol, the simulated PoCol abstraction achieved significantly higher energy efficiency through greater energy and carbon cost reductions than the PoW baseline. This chapter shows that</w:t>
      </w:r>
      <w:r>
        <w:t xml:space="preserve">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w:t>
      </w:r>
      <w:r>
        <w:rPr>
          <w:color w:val="FF0000"/>
        </w:rPr>
        <w:t xml:space="preserve">that the simulated PoCol abstraction has achieved a substantial improvement over the PoW baseline, and has narrowed</w:t>
      </w:r>
      <w:r>
        <w:t xml:space="preserve">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w:t>
      </w:r>
      <w:r>
        <w:rPr>
          <w:color w:val="FF0000"/>
        </w:rPr>
        <w:t xml:space="preserve">within the evaluated simulation setting, the answer is yes: by requiring</w:t>
      </w:r>
      <w:r>
        <w:rPr>
          <w:color w:val="FF0000"/>
        </w:rPr>
        <w:t xml:space="preserve">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w:t>
      </w:r>
      <w:r>
        <w:rPr>
          <w:color w:val="FF0000"/>
        </w:rPr>
        <w:t xml:space="preserve">PoCol generally improves throughput and shortens the approximate six-block confirmation time.</w:t>
      </w:r>
      <w:r>
        <w:t xml:space="preserve"> However, regarding robustness and scalability, the answer is conditional. The present prototype exhibits very high stale-block rates at larger miner counts, which means the collaboration concept is validated, but its operational design still requires refinement </w:t>
      </w:r>
      <w:r>
        <w:rPr>
          <w:color w:val="FF0000"/>
        </w:rPr>
        <w:t xml:space="preserve">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collaborative search abstraction rather than as measurements of a complete production implementation.</w:t>
      </w:r>
      <w:r>
        <w:t xml:space="preserve"/>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rPr>
          <w:color w:val="FF0000"/>
        </w:rPr>
        <w:t xml:space="preserve">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w:t>
      </w:r>
      <w:r>
        <w:rPr>
          <w:color w:val="FF0000"/>
        </w:rPr>
        <w:t xml:space="preserve">the simulated PoCol abstraction significantly reduced total energy consumption and CO2 emissions in the simulation scenarios investigated</w:t>
      </w:r>
      <w:r>
        <w:t xml:space="preserve">,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w:t>
      </w:r>
      <w:r>
        <w:rPr>
          <w:color w:val="FF0000"/>
        </w:rPr>
        <w:t xml:space="preserve">RQ1 is therefore addressed in this thesis</w:t>
      </w:r>
      <w:r>
        <w:t xml:space="preserve">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w:t>
      </w:r>
      <w:r>
        <w:rPr>
          <w:color w:val="FF0000"/>
        </w:rPr>
        <w:t xml:space="preserve">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rPr>
          <w:color w:val="FF0000"/>
        </w:rPr>
        <w:t xml:space="preserve">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
      </w:r>
      <w:r>
        <w:rPr>
          <w:color w:val="FF0000"/>
        </w:rPr>
        <w:t xml:space="preserve">At the empirical level, the thesis provides simulation-based comparative evidence. The conducted experiments show that</w:t>
      </w:r>
      <w:r>
        <w:t xml:space="preserve">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w:t>
      </w:r>
      <w:r>
        <w:rPr>
          <w:color w:val="FF0000"/>
        </w:rPr>
        <w:t xml:space="preserve">as specified in Chapter 5), measuring the communication, synchronization, latency, and energy overhead of distributed template agreement under realistic network conditions, and reducing stale-block occurrences</w:t>
      </w:r>
      <w:r>
        <w:rPr>
          <w:color w:val="FF0000"/>
        </w:rPr>
        <w:t xml:space="preserve">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erEmpty.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Empty.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