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drawing>
          <wp:inline xmlns:a="http://schemas.openxmlformats.org/drawingml/2006/main" xmlns:pic="http://schemas.openxmlformats.org/drawingml/2006/picture">
            <wp:extent cx="822960" cy="916552"/>
            <wp:docPr id="1" name="Picture 1" descr="Techionik logo" title="Techionik"/>
            <wp:cNvGraphicFramePr>
              <a:graphicFrameLocks noChangeAspect="1"/>
            </wp:cNvGraphicFramePr>
            <a:graphic>
              <a:graphicData uri="http://schemas.openxmlformats.org/drawingml/2006/picture">
                <pic:pic>
                  <pic:nvPicPr>
                    <pic:cNvPr id="0" name="TechionikIcon.png"/>
                    <pic:cNvPicPr/>
                  </pic:nvPicPr>
                  <pic:blipFill>
                    <a:blip r:embed="rId11"/>
                    <a:stretch>
                      <a:fillRect/>
                    </a:stretch>
                  </pic:blipFill>
                  <pic:spPr>
                    <a:xfrm>
                      <a:off x="0" y="0"/>
                      <a:ext cx="822960" cy="916552"/>
                    </a:xfrm>
                    <a:prstGeom prst="rect"/>
                  </pic:spPr>
                </pic:pic>
              </a:graphicData>
            </a:graphic>
          </wp:inline>
        </w:drawing>
      </w:r>
    </w:p>
    <w:p>
      <w:pPr>
        <w:spacing w:before="560" w:after="320"/>
        <w:jc w:val="center"/>
      </w:pPr>
      <w:r>
        <w:rPr>
          <w:rFonts w:ascii="Calibri" w:hAnsi="Calibri"/>
          <w:b/>
          <w:color w:val="087A3D"/>
          <w:sz w:val="20"/>
        </w:rPr>
        <w:t>CLIENT READINESS PACK</w:t>
      </w:r>
    </w:p>
    <w:p>
      <w:pPr>
        <w:spacing w:after="200"/>
        <w:jc w:val="center"/>
      </w:pPr>
      <w:r>
        <w:rPr>
          <w:rFonts w:ascii="Calibri" w:hAnsi="Calibri"/>
          <w:b/>
          <w:color w:val="0B2545"/>
          <w:sz w:val="58"/>
        </w:rPr>
        <w:t>What We Need From You for FBR Sandbox Testing</w:t>
      </w:r>
    </w:p>
    <w:p>
      <w:pPr>
        <w:spacing w:after="680"/>
        <w:jc w:val="center"/>
      </w:pPr>
      <w:r>
        <w:rPr>
          <w:rFonts w:ascii="Calibri" w:hAnsi="Calibri"/>
          <w:color w:val="667085"/>
          <w:sz w:val="28"/>
        </w:rPr>
        <w:t>A practical checklist for business registration, PRAL access, test data, approvals, and sign-off</w:t>
      </w:r>
    </w:p>
    <w:p>
      <w:pPr>
        <w:spacing w:before="1640" w:after="120"/>
        <w:jc w:val="center"/>
      </w:pPr>
      <w:r>
        <w:rPr>
          <w:rFonts w:ascii="Calibri" w:hAnsi="Calibri"/>
          <w:b/>
          <w:color w:val="1F4D78"/>
          <w:sz w:val="20"/>
        </w:rPr>
        <w:t>Version 1.0 | 19 June 2026</w:t>
      </w:r>
    </w:p>
    <w:p>
      <w:pPr>
        <w:jc w:val="center"/>
      </w:pPr>
      <w:r>
        <w:rPr>
          <w:rFonts w:ascii="Calibri" w:hAnsi="Calibri"/>
          <w:color w:val="667085"/>
          <w:sz w:val="20"/>
        </w:rPr>
        <w:t>Prepared by Techionik | Digital Invoicing Platform</w:t>
      </w:r>
    </w:p>
    <w:p>
      <w:r>
        <w:br w:type="page"/>
      </w:r>
    </w:p>
    <w:p>
      <w:pPr>
        <w:pStyle w:val="Heading1"/>
      </w:pPr>
      <w:r>
        <w:t>Purpose</w:t>
      </w:r>
    </w:p>
    <w:p>
      <w:r>
        <w:rPr>
          <w:rFonts w:ascii="Calibri" w:hAnsi="Calibri"/>
          <w:i w:val="0"/>
          <w:color w:val="182230"/>
        </w:rPr>
        <w:t>This document tells the client exactly what must be supplied or completed before Techionik can run live tests against the FBR/PRAL sandbox. Mock testing can be completed without these items, but live PRAL validation cannot.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4F5EC"/>
          </w:tcPr>
          <w:p>
            <w:pPr>
              <w:spacing w:after="40"/>
            </w:pPr>
            <w:r>
              <w:rPr>
                <w:rFonts w:ascii="Calibri" w:hAnsi="Calibri"/>
                <w:b/>
                <w:color w:val="087A3D"/>
              </w:rPr>
              <w:t xml:space="preserve">Client outcome: </w:t>
            </w:r>
            <w:r>
              <w:rPr>
                <w:rFonts w:ascii="Calibri" w:hAnsi="Calibri"/>
                <w:color w:val="087A3D"/>
              </w:rPr>
              <w:t>When every mandatory item is complete, Techionik can configure the company sandbox token, confirm the whitelisted server IP, run the scenarios applicable to the client's business nature/sector, and provide a result pack for client acceptance.</w:t>
            </w:r>
          </w:p>
        </w:tc>
      </w:tr>
    </w:tbl>
    <w:p>
      <w:pPr>
        <w:spacing w:after="20"/>
      </w:pPr>
    </w:p>
    <w:p>
      <w:pPr>
        <w:pStyle w:val="Heading1"/>
      </w:pPr>
      <w:r>
        <w:t>1. Responsibility Split</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E8EEF5"/>
            <w:vAlign w:val="center"/>
            <w:tcMar>
              <w:top w:w="80" w:type="dxa"/>
              <w:start w:w="120" w:type="dxa"/>
              <w:bottom w:w="80" w:type="dxa"/>
              <w:end w:w="120" w:type="dxa"/>
            </w:tcMar>
          </w:tcPr>
          <w:p>
            <w:pPr>
              <w:spacing w:after="0"/>
              <w:jc w:val="left"/>
            </w:pPr>
            <w:r>
              <w:rPr>
                <w:rFonts w:ascii="Calibri" w:hAnsi="Calibri"/>
                <w:b/>
                <w:color w:val="0B2545"/>
                <w:sz w:val="19"/>
              </w:rPr>
              <w:t>Party</w:t>
            </w:r>
          </w:p>
        </w:tc>
        <w:tc>
          <w:tcPr>
            <w:tcW w:type="dxa" w:w="7660"/>
            <w:shd w:fill="E8EEF5"/>
            <w:vAlign w:val="center"/>
            <w:tcMar>
              <w:top w:w="80" w:type="dxa"/>
              <w:start w:w="120" w:type="dxa"/>
              <w:bottom w:w="80" w:type="dxa"/>
              <w:end w:w="120" w:type="dxa"/>
            </w:tcMar>
          </w:tcPr>
          <w:p>
            <w:pPr>
              <w:spacing w:after="0"/>
              <w:jc w:val="left"/>
            </w:pPr>
            <w:r>
              <w:rPr>
                <w:rFonts w:ascii="Calibri" w:hAnsi="Calibri"/>
                <w:b/>
                <w:color w:val="0B2545"/>
                <w:sz w:val="19"/>
              </w:rPr>
              <w:t>Required actions</w:t>
            </w:r>
          </w:p>
        </w:tc>
      </w:tr>
      <w:tr>
        <w:tc>
          <w:tcPr>
            <w:tcW w:type="dxa" w:w="1700"/>
            <w:vAlign w:val="center"/>
            <w:tcMar>
              <w:top w:w="80" w:type="dxa"/>
              <w:start w:w="120" w:type="dxa"/>
              <w:bottom w:w="80" w:type="dxa"/>
              <w:end w:w="120" w:type="dxa"/>
            </w:tcMar>
          </w:tcPr>
          <w:p>
            <w:pPr>
              <w:spacing w:after="0"/>
            </w:pPr>
            <w:r>
              <w:rPr>
                <w:rFonts w:ascii="Calibri" w:hAnsi="Calibri"/>
                <w:color w:val="182230"/>
                <w:sz w:val="19"/>
              </w:rPr>
              <w:t>Client</w:t>
            </w:r>
          </w:p>
        </w:tc>
        <w:tc>
          <w:tcPr>
            <w:tcW w:type="dxa" w:w="7660"/>
            <w:vAlign w:val="center"/>
            <w:tcMar>
              <w:top w:w="80" w:type="dxa"/>
              <w:start w:w="120" w:type="dxa"/>
              <w:bottom w:w="80" w:type="dxa"/>
              <w:end w:w="120" w:type="dxa"/>
            </w:tcMar>
          </w:tcPr>
          <w:p>
            <w:pPr>
              <w:spacing w:after="0"/>
            </w:pPr>
            <w:r>
              <w:rPr>
                <w:rFonts w:ascii="Calibri" w:hAnsi="Calibri"/>
                <w:color w:val="182230"/>
                <w:sz w:val="19"/>
              </w:rPr>
              <w:t>Provide accurate business/tax data, retain IRIS access, select business nature and sector, submit/authorize PRAL registration, approve the outbound IP, supply test master data, and sign off results.</w:t>
            </w:r>
          </w:p>
        </w:tc>
      </w:tr>
      <w:tr>
        <w:tc>
          <w:tcPr>
            <w:tcW w:type="dxa" w:w="1700"/>
            <w:vAlign w:val="center"/>
            <w:tcMar>
              <w:top w:w="80" w:type="dxa"/>
              <w:start w:w="120" w:type="dxa"/>
              <w:bottom w:w="80" w:type="dxa"/>
              <w:end w:w="120" w:type="dxa"/>
            </w:tcMar>
          </w:tcPr>
          <w:p>
            <w:pPr>
              <w:spacing w:after="0"/>
            </w:pPr>
            <w:r>
              <w:rPr>
                <w:rFonts w:ascii="Calibri" w:hAnsi="Calibri"/>
                <w:color w:val="182230"/>
                <w:sz w:val="19"/>
              </w:rPr>
              <w:t>Techionik</w:t>
            </w:r>
          </w:p>
        </w:tc>
        <w:tc>
          <w:tcPr>
            <w:tcW w:type="dxa" w:w="7660"/>
            <w:vAlign w:val="center"/>
            <w:tcMar>
              <w:top w:w="80" w:type="dxa"/>
              <w:start w:w="120" w:type="dxa"/>
              <w:bottom w:w="80" w:type="dxa"/>
              <w:end w:w="120" w:type="dxa"/>
            </w:tcMar>
          </w:tcPr>
          <w:p>
            <w:pPr>
              <w:spacing w:after="0"/>
            </w:pPr>
            <w:r>
              <w:rPr>
                <w:rFonts w:ascii="Calibri" w:hAnsi="Calibri"/>
                <w:color w:val="182230"/>
                <w:sz w:val="19"/>
              </w:rPr>
              <w:t>Provide deployment IP and technical details, configure the tenant and tokens, map products, prepare applicable fixtures, run tests, diagnose errors, and report evidence.</w:t>
            </w:r>
          </w:p>
        </w:tc>
      </w:tr>
      <w:tr>
        <w:tc>
          <w:tcPr>
            <w:tcW w:type="dxa" w:w="1700"/>
            <w:vAlign w:val="center"/>
            <w:tcMar>
              <w:top w:w="80" w:type="dxa"/>
              <w:start w:w="120" w:type="dxa"/>
              <w:bottom w:w="80" w:type="dxa"/>
              <w:end w:w="120" w:type="dxa"/>
            </w:tcMar>
          </w:tcPr>
          <w:p>
            <w:pPr>
              <w:spacing w:after="0"/>
            </w:pPr>
            <w:r>
              <w:rPr>
                <w:rFonts w:ascii="Calibri" w:hAnsi="Calibri"/>
                <w:color w:val="182230"/>
                <w:sz w:val="19"/>
              </w:rPr>
              <w:t>PRAL/FBR</w:t>
            </w:r>
          </w:p>
        </w:tc>
        <w:tc>
          <w:tcPr>
            <w:tcW w:type="dxa" w:w="7660"/>
            <w:vAlign w:val="center"/>
            <w:tcMar>
              <w:top w:w="80" w:type="dxa"/>
              <w:start w:w="120" w:type="dxa"/>
              <w:bottom w:w="80" w:type="dxa"/>
              <w:end w:w="120" w:type="dxa"/>
            </w:tcMar>
          </w:tcPr>
          <w:p>
            <w:pPr>
              <w:spacing w:after="0"/>
            </w:pPr>
            <w:r>
              <w:rPr>
                <w:rFonts w:ascii="Calibri" w:hAnsi="Calibri"/>
                <w:color w:val="182230"/>
                <w:sz w:val="19"/>
              </w:rPr>
              <w:t>Approve/reject IPs, expose sandbox APIs, issue tokens, validate scenario invoices, return FBR invoice numbers/errors, and release production access when conditions are met.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DE8E7"/>
          </w:tcPr>
          <w:p>
            <w:pPr>
              <w:spacing w:after="40"/>
            </w:pPr>
            <w:r>
              <w:rPr>
                <w:rFonts w:ascii="Calibri" w:hAnsi="Calibri"/>
                <w:b/>
                <w:color w:val="9B1C1C"/>
              </w:rPr>
              <w:t xml:space="preserve">Credential rule: </w:t>
            </w:r>
            <w:r>
              <w:rPr>
                <w:rFonts w:ascii="Calibri" w:hAnsi="Calibri"/>
                <w:color w:val="9B1C1C"/>
              </w:rPr>
              <w:t>The client should enter IRIS credentials personally during a shared session. Do not send IRIS passwords, CRM passwords, sandbox tokens, or production tokens over ordinary email or chat.</w:t>
            </w:r>
          </w:p>
        </w:tc>
      </w:tr>
    </w:tbl>
    <w:p>
      <w:pPr>
        <w:spacing w:after="20"/>
      </w:pPr>
    </w:p>
    <w:p>
      <w:pPr>
        <w:pStyle w:val="Heading1"/>
      </w:pPr>
      <w:r>
        <w:t>2. Mandatory Client Information</w:t>
      </w:r>
    </w:p>
    <w:tbl>
      <w:tblPr>
        <w:tblStyle w:val="TableGrid"/>
        <w:tblW w:type="dxa" w:w="9360"/>
        <w:jc w:val="left"/>
        <w:tblLayout w:type="fixed"/>
        <w:tblLook w:firstColumn="1" w:firstRow="1" w:lastColumn="0" w:lastRow="0" w:noHBand="0" w:noVBand="1" w:val="04A0"/>
        <w:tblInd w:w="120" w:type="dxa"/>
      </w:tblPr>
      <w:tblGrid>
        <w:gridCol w:w="850"/>
        <w:gridCol w:w="3400"/>
        <w:gridCol w:w="5110"/>
      </w:tblGrid>
      <w:tr>
        <w:trPr>
          <w:tblHeader w:val="true"/>
        </w:trPr>
        <w:tc>
          <w:tcPr>
            <w:tcW w:type="dxa" w:w="850"/>
            <w:shd w:fill="E8EEF5"/>
            <w:vAlign w:val="center"/>
            <w:tcMar>
              <w:top w:w="80" w:type="dxa"/>
              <w:start w:w="120" w:type="dxa"/>
              <w:bottom w:w="80" w:type="dxa"/>
              <w:end w:w="120" w:type="dxa"/>
            </w:tcMar>
          </w:tcPr>
          <w:p>
            <w:pPr>
              <w:spacing w:after="0"/>
              <w:jc w:val="left"/>
            </w:pPr>
            <w:r>
              <w:rPr>
                <w:rFonts w:ascii="Calibri" w:hAnsi="Calibri"/>
                <w:b/>
                <w:color w:val="0B2545"/>
                <w:sz w:val="18"/>
              </w:rPr>
              <w:t>Done</w:t>
            </w:r>
          </w:p>
        </w:tc>
        <w:tc>
          <w:tcPr>
            <w:tcW w:type="dxa" w:w="3400"/>
            <w:shd w:fill="E8EEF5"/>
            <w:vAlign w:val="center"/>
            <w:tcMar>
              <w:top w:w="80" w:type="dxa"/>
              <w:start w:w="120" w:type="dxa"/>
              <w:bottom w:w="80" w:type="dxa"/>
              <w:end w:w="120" w:type="dxa"/>
            </w:tcMar>
          </w:tcPr>
          <w:p>
            <w:pPr>
              <w:spacing w:after="0"/>
              <w:jc w:val="left"/>
            </w:pPr>
            <w:r>
              <w:rPr>
                <w:rFonts w:ascii="Calibri" w:hAnsi="Calibri"/>
                <w:b/>
                <w:color w:val="0B2545"/>
                <w:sz w:val="18"/>
              </w:rPr>
              <w:t>Item</w:t>
            </w:r>
          </w:p>
        </w:tc>
        <w:tc>
          <w:tcPr>
            <w:tcW w:type="dxa" w:w="5110"/>
            <w:shd w:fill="E8EEF5"/>
            <w:vAlign w:val="center"/>
            <w:tcMar>
              <w:top w:w="80" w:type="dxa"/>
              <w:start w:w="120" w:type="dxa"/>
              <w:bottom w:w="80" w:type="dxa"/>
              <w:end w:w="120" w:type="dxa"/>
            </w:tcMar>
          </w:tcPr>
          <w:p>
            <w:pPr>
              <w:spacing w:after="0"/>
              <w:jc w:val="left"/>
            </w:pPr>
            <w:r>
              <w:rPr>
                <w:rFonts w:ascii="Calibri" w:hAnsi="Calibri"/>
                <w:b/>
                <w:color w:val="0B2545"/>
                <w:sz w:val="18"/>
              </w:rPr>
              <w:t>What to provide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Registered legal business name</w:t>
            </w:r>
          </w:p>
        </w:tc>
        <w:tc>
          <w:tcPr>
            <w:tcW w:type="dxa" w:w="5110"/>
            <w:vAlign w:val="center"/>
            <w:tcMar>
              <w:top w:w="80" w:type="dxa"/>
              <w:start w:w="120" w:type="dxa"/>
              <w:bottom w:w="80" w:type="dxa"/>
              <w:end w:w="120" w:type="dxa"/>
            </w:tcMar>
          </w:tcPr>
          <w:p>
            <w:pPr>
              <w:spacing w:after="0"/>
            </w:pPr>
            <w:r>
              <w:rPr>
                <w:rFonts w:ascii="Calibri" w:hAnsi="Calibri"/>
                <w:color w:val="182230"/>
                <w:sz w:val="18"/>
              </w:rPr>
              <w:t>Exactly as shown in FBR/IRIS</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NTN or registration number</w:t>
            </w:r>
          </w:p>
        </w:tc>
        <w:tc>
          <w:tcPr>
            <w:tcW w:type="dxa" w:w="5110"/>
            <w:vAlign w:val="center"/>
            <w:tcMar>
              <w:top w:w="80" w:type="dxa"/>
              <w:start w:w="120" w:type="dxa"/>
              <w:bottom w:w="80" w:type="dxa"/>
              <w:end w:w="120" w:type="dxa"/>
            </w:tcMar>
          </w:tcPr>
          <w:p>
            <w:pPr>
              <w:spacing w:after="0"/>
            </w:pPr>
            <w:r>
              <w:rPr>
                <w:rFonts w:ascii="Calibri" w:hAnsi="Calibri"/>
                <w:color w:val="182230"/>
                <w:sz w:val="18"/>
              </w:rPr>
              <w:t>7/9-digit NTN, or applicable registered identifier</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CNIC</w:t>
            </w:r>
          </w:p>
        </w:tc>
        <w:tc>
          <w:tcPr>
            <w:tcW w:type="dxa" w:w="5110"/>
            <w:vAlign w:val="center"/>
            <w:tcMar>
              <w:top w:w="80" w:type="dxa"/>
              <w:start w:w="120" w:type="dxa"/>
              <w:bottom w:w="80" w:type="dxa"/>
              <w:end w:w="120" w:type="dxa"/>
            </w:tcMar>
          </w:tcPr>
          <w:p>
            <w:pPr>
              <w:spacing w:after="0"/>
            </w:pPr>
            <w:r>
              <w:rPr>
                <w:rFonts w:ascii="Calibri" w:hAnsi="Calibri"/>
                <w:color w:val="182230"/>
                <w:sz w:val="18"/>
              </w:rPr>
              <w:t>13 digits where the taxpayer/sole proprietor flow requires it</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Sales tax registration status</w:t>
            </w:r>
          </w:p>
        </w:tc>
        <w:tc>
          <w:tcPr>
            <w:tcW w:type="dxa" w:w="5110"/>
            <w:vAlign w:val="center"/>
            <w:tcMar>
              <w:top w:w="80" w:type="dxa"/>
              <w:start w:w="120" w:type="dxa"/>
              <w:bottom w:w="80" w:type="dxa"/>
              <w:end w:w="120" w:type="dxa"/>
            </w:tcMar>
          </w:tcPr>
          <w:p>
            <w:pPr>
              <w:spacing w:after="0"/>
            </w:pPr>
            <w:r>
              <w:rPr>
                <w:rFonts w:ascii="Calibri" w:hAnsi="Calibri"/>
                <w:color w:val="182230"/>
                <w:sz w:val="18"/>
              </w:rPr>
              <w:t>Confirm registered/unregistered status and any relevant STRN evidence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Registered business address</w:t>
            </w:r>
          </w:p>
        </w:tc>
        <w:tc>
          <w:tcPr>
            <w:tcW w:type="dxa" w:w="5110"/>
            <w:vAlign w:val="center"/>
            <w:tcMar>
              <w:top w:w="80" w:type="dxa"/>
              <w:start w:w="120" w:type="dxa"/>
              <w:bottom w:w="80" w:type="dxa"/>
              <w:end w:w="120" w:type="dxa"/>
            </w:tcMar>
          </w:tcPr>
          <w:p>
            <w:pPr>
              <w:spacing w:after="0"/>
            </w:pPr>
            <w:r>
              <w:rPr>
                <w:rFonts w:ascii="Calibri" w:hAnsi="Calibri"/>
                <w:color w:val="182230"/>
                <w:sz w:val="18"/>
              </w:rPr>
              <w:t>Complete address including city</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Province</w:t>
            </w:r>
          </w:p>
        </w:tc>
        <w:tc>
          <w:tcPr>
            <w:tcW w:type="dxa" w:w="5110"/>
            <w:vAlign w:val="center"/>
            <w:tcMar>
              <w:top w:w="80" w:type="dxa"/>
              <w:start w:w="120" w:type="dxa"/>
              <w:bottom w:w="80" w:type="dxa"/>
              <w:end w:w="120" w:type="dxa"/>
            </w:tcMar>
          </w:tcPr>
          <w:p>
            <w:pPr>
              <w:spacing w:after="0"/>
            </w:pPr>
            <w:r>
              <w:rPr>
                <w:rFonts w:ascii="Calibri" w:hAnsi="Calibri"/>
                <w:color w:val="182230"/>
                <w:sz w:val="18"/>
              </w:rPr>
              <w:t>Must match FBR profile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Business email and phone</w:t>
            </w:r>
          </w:p>
        </w:tc>
        <w:tc>
          <w:tcPr>
            <w:tcW w:type="dxa" w:w="5110"/>
            <w:vAlign w:val="center"/>
            <w:tcMar>
              <w:top w:w="80" w:type="dxa"/>
              <w:start w:w="120" w:type="dxa"/>
              <w:bottom w:w="80" w:type="dxa"/>
              <w:end w:w="120" w:type="dxa"/>
            </w:tcMar>
          </w:tcPr>
          <w:p>
            <w:pPr>
              <w:spacing w:after="0"/>
            </w:pPr>
            <w:r>
              <w:rPr>
                <w:rFonts w:ascii="Calibri" w:hAnsi="Calibri"/>
                <w:color w:val="182230"/>
                <w:sz w:val="18"/>
              </w:rPr>
              <w:t>For account and company profile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Authorized business contact</w:t>
            </w:r>
          </w:p>
        </w:tc>
        <w:tc>
          <w:tcPr>
            <w:tcW w:type="dxa" w:w="5110"/>
            <w:vAlign w:val="center"/>
            <w:tcMar>
              <w:top w:w="80" w:type="dxa"/>
              <w:start w:w="120" w:type="dxa"/>
              <w:bottom w:w="80" w:type="dxa"/>
              <w:end w:w="120" w:type="dxa"/>
            </w:tcMar>
          </w:tcPr>
          <w:p>
            <w:pPr>
              <w:spacing w:after="0"/>
            </w:pPr>
            <w:r>
              <w:rPr>
                <w:rFonts w:ascii="Calibri" w:hAnsi="Calibri"/>
                <w:color w:val="182230"/>
                <w:sz w:val="18"/>
              </w:rPr>
              <w:t>Name, title, mobile, and email</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Business nature</w:t>
            </w:r>
          </w:p>
        </w:tc>
        <w:tc>
          <w:tcPr>
            <w:tcW w:type="dxa" w:w="5110"/>
            <w:vAlign w:val="center"/>
            <w:tcMar>
              <w:top w:w="80" w:type="dxa"/>
              <w:start w:w="120" w:type="dxa"/>
              <w:bottom w:w="80" w:type="dxa"/>
              <w:end w:w="120" w:type="dxa"/>
            </w:tcMar>
          </w:tcPr>
          <w:p>
            <w:pPr>
              <w:spacing w:after="0"/>
            </w:pPr>
            <w:r>
              <w:rPr>
                <w:rFonts w:ascii="Calibri" w:hAnsi="Calibri"/>
                <w:color w:val="182230"/>
                <w:sz w:val="18"/>
              </w:rPr>
              <w:t>One or more selections used by PRAL to determine scenarios</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400"/>
            <w:vAlign w:val="center"/>
            <w:tcMar>
              <w:top w:w="80" w:type="dxa"/>
              <w:start w:w="120" w:type="dxa"/>
              <w:bottom w:w="80" w:type="dxa"/>
              <w:end w:w="120" w:type="dxa"/>
            </w:tcMar>
          </w:tcPr>
          <w:p>
            <w:pPr>
              <w:spacing w:after="0"/>
            </w:pPr>
            <w:r>
              <w:rPr>
                <w:rFonts w:ascii="Calibri" w:hAnsi="Calibri"/>
                <w:color w:val="182230"/>
                <w:sz w:val="18"/>
              </w:rPr>
              <w:t>Primary sector</w:t>
            </w:r>
          </w:p>
        </w:tc>
        <w:tc>
          <w:tcPr>
            <w:tcW w:type="dxa" w:w="5110"/>
            <w:vAlign w:val="center"/>
            <w:tcMar>
              <w:top w:w="80" w:type="dxa"/>
              <w:start w:w="120" w:type="dxa"/>
              <w:bottom w:w="80" w:type="dxa"/>
              <w:end w:w="120" w:type="dxa"/>
            </w:tcMar>
          </w:tcPr>
          <w:p>
            <w:pPr>
              <w:spacing w:after="0"/>
            </w:pPr>
            <w:r>
              <w:rPr>
                <w:rFonts w:ascii="Calibri" w:hAnsi="Calibri"/>
                <w:color w:val="182230"/>
                <w:sz w:val="18"/>
              </w:rPr>
              <w:t>One sector selected in the PRAL technical details flow</w:t>
            </w:r>
          </w:p>
        </w:tc>
      </w:tr>
    </w:tbl>
    <w:p>
      <w:pPr>
        <w:spacing w:after="40"/>
      </w:pPr>
    </w:p>
    <w:p>
      <w:pPr>
        <w:pStyle w:val="Heading1"/>
      </w:pPr>
      <w:r>
        <w:t>3. IRIS and PRAL Registration Session</w:t>
      </w:r>
    </w:p>
    <w:p>
      <w:r>
        <w:rPr>
          <w:rFonts w:ascii="Calibri" w:hAnsi="Calibri"/>
          <w:i w:val="0"/>
          <w:color w:val="182230"/>
        </w:rPr>
        <w:t>The client must have working access to IRIS and be available for the digital invoicing registration session.</w:t>
      </w:r>
    </w:p>
    <w:tbl>
      <w:tblPr>
        <w:tblStyle w:val="TableGrid"/>
        <w:tblW w:type="dxa" w:w="9360"/>
        <w:jc w:val="left"/>
        <w:tblLayout w:type="fixed"/>
        <w:tblLook w:firstColumn="1" w:firstRow="1" w:lastColumn="0" w:lastRow="0" w:noHBand="0" w:noVBand="1" w:val="04A0"/>
        <w:tblInd w:w="120" w:type="dxa"/>
      </w:tblPr>
      <w:tblGrid>
        <w:gridCol w:w="850"/>
        <w:gridCol w:w="3100"/>
        <w:gridCol w:w="5410"/>
      </w:tblGrid>
      <w:tr>
        <w:trPr>
          <w:tblHeader w:val="true"/>
        </w:trPr>
        <w:tc>
          <w:tcPr>
            <w:tcW w:type="dxa" w:w="850"/>
            <w:shd w:fill="E8EEF5"/>
            <w:vAlign w:val="center"/>
            <w:tcMar>
              <w:top w:w="80" w:type="dxa"/>
              <w:start w:w="120" w:type="dxa"/>
              <w:bottom w:w="80" w:type="dxa"/>
              <w:end w:w="120" w:type="dxa"/>
            </w:tcMar>
          </w:tcPr>
          <w:p>
            <w:pPr>
              <w:spacing w:after="0"/>
              <w:jc w:val="left"/>
            </w:pPr>
            <w:r>
              <w:rPr>
                <w:rFonts w:ascii="Calibri" w:hAnsi="Calibri"/>
                <w:b/>
                <w:color w:val="0B2545"/>
                <w:sz w:val="18"/>
              </w:rPr>
              <w:t>Done</w:t>
            </w:r>
          </w:p>
        </w:tc>
        <w:tc>
          <w:tcPr>
            <w:tcW w:type="dxa" w:w="3100"/>
            <w:shd w:fill="E8EEF5"/>
            <w:vAlign w:val="center"/>
            <w:tcMar>
              <w:top w:w="80" w:type="dxa"/>
              <w:start w:w="120" w:type="dxa"/>
              <w:bottom w:w="80" w:type="dxa"/>
              <w:end w:w="120" w:type="dxa"/>
            </w:tcMar>
          </w:tcPr>
          <w:p>
            <w:pPr>
              <w:spacing w:after="0"/>
              <w:jc w:val="left"/>
            </w:pPr>
            <w:r>
              <w:rPr>
                <w:rFonts w:ascii="Calibri" w:hAnsi="Calibri"/>
                <w:b/>
                <w:color w:val="0B2545"/>
                <w:sz w:val="18"/>
              </w:rPr>
              <w:t>Requirement</w:t>
            </w:r>
          </w:p>
        </w:tc>
        <w:tc>
          <w:tcPr>
            <w:tcW w:type="dxa" w:w="5410"/>
            <w:shd w:fill="E8EEF5"/>
            <w:vAlign w:val="center"/>
            <w:tcMar>
              <w:top w:w="80" w:type="dxa"/>
              <w:start w:w="120" w:type="dxa"/>
              <w:bottom w:w="80" w:type="dxa"/>
              <w:end w:w="120" w:type="dxa"/>
            </w:tcMar>
          </w:tcPr>
          <w:p>
            <w:pPr>
              <w:spacing w:after="0"/>
              <w:jc w:val="left"/>
            </w:pPr>
            <w:r>
              <w:rPr>
                <w:rFonts w:ascii="Calibri" w:hAnsi="Calibri"/>
                <w:b/>
                <w:color w:val="0B2545"/>
                <w:sz w:val="18"/>
              </w:rPr>
              <w:t>Detail</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IRIS login works</w:t>
            </w:r>
          </w:p>
        </w:tc>
        <w:tc>
          <w:tcPr>
            <w:tcW w:type="dxa" w:w="5410"/>
            <w:vAlign w:val="center"/>
            <w:tcMar>
              <w:top w:w="80" w:type="dxa"/>
              <w:start w:w="120" w:type="dxa"/>
              <w:bottom w:w="80" w:type="dxa"/>
              <w:end w:w="120" w:type="dxa"/>
            </w:tcMar>
          </w:tcPr>
          <w:p>
            <w:pPr>
              <w:spacing w:after="0"/>
            </w:pPr>
            <w:r>
              <w:rPr>
                <w:rFonts w:ascii="Calibri" w:hAnsi="Calibri"/>
                <w:color w:val="182230"/>
                <w:sz w:val="18"/>
              </w:rPr>
              <w:t>Client tests the registration number/password before the session and resolves any reset/blocked-account issue.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Authorized person attends</w:t>
            </w:r>
          </w:p>
        </w:tc>
        <w:tc>
          <w:tcPr>
            <w:tcW w:type="dxa" w:w="5410"/>
            <w:vAlign w:val="center"/>
            <w:tcMar>
              <w:top w:w="80" w:type="dxa"/>
              <w:start w:w="120" w:type="dxa"/>
              <w:bottom w:w="80" w:type="dxa"/>
              <w:end w:w="120" w:type="dxa"/>
            </w:tcMar>
          </w:tcPr>
          <w:p>
            <w:pPr>
              <w:spacing w:after="0"/>
            </w:pPr>
            <w:r>
              <w:rPr>
                <w:rFonts w:ascii="Calibri" w:hAnsi="Calibri"/>
                <w:color w:val="182230"/>
                <w:sz w:val="18"/>
              </w:rPr>
              <w:t>A person permitted to submit/approve the Digital Invoicing registration is present.</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Integration mode selected</w:t>
            </w:r>
          </w:p>
        </w:tc>
        <w:tc>
          <w:tcPr>
            <w:tcW w:type="dxa" w:w="5410"/>
            <w:vAlign w:val="center"/>
            <w:tcMar>
              <w:top w:w="80" w:type="dxa"/>
              <w:start w:w="120" w:type="dxa"/>
              <w:bottom w:w="80" w:type="dxa"/>
              <w:end w:w="120" w:type="dxa"/>
            </w:tcMar>
          </w:tcPr>
          <w:p>
            <w:pPr>
              <w:spacing w:after="0"/>
            </w:pPr>
            <w:r>
              <w:rPr>
                <w:rFonts w:ascii="Calibri" w:hAnsi="Calibri"/>
                <w:color w:val="182230"/>
                <w:sz w:val="18"/>
              </w:rPr>
              <w:t>API Integration is selected in IRIS.</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Licensed integrator choice confirmed</w:t>
            </w:r>
          </w:p>
        </w:tc>
        <w:tc>
          <w:tcPr>
            <w:tcW w:type="dxa" w:w="5410"/>
            <w:vAlign w:val="center"/>
            <w:tcMar>
              <w:top w:w="80" w:type="dxa"/>
              <w:start w:w="120" w:type="dxa"/>
              <w:bottom w:w="80" w:type="dxa"/>
              <w:end w:w="120" w:type="dxa"/>
            </w:tcMar>
          </w:tcPr>
          <w:p>
            <w:pPr>
              <w:spacing w:after="0"/>
            </w:pPr>
            <w:r>
              <w:rPr>
                <w:rFonts w:ascii="Calibri" w:hAnsi="Calibri"/>
                <w:color w:val="182230"/>
                <w:sz w:val="18"/>
              </w:rPr>
              <w:t>Client confirms PRAL or another approved licensed integrator according to its arrangement.</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Technical details entered</w:t>
            </w:r>
          </w:p>
        </w:tc>
        <w:tc>
          <w:tcPr>
            <w:tcW w:type="dxa" w:w="5410"/>
            <w:vAlign w:val="center"/>
            <w:tcMar>
              <w:top w:w="80" w:type="dxa"/>
              <w:start w:w="120" w:type="dxa"/>
              <w:bottom w:w="80" w:type="dxa"/>
              <w:end w:w="120" w:type="dxa"/>
            </w:tcMar>
          </w:tcPr>
          <w:p>
            <w:pPr>
              <w:spacing w:after="0"/>
            </w:pPr>
            <w:r>
              <w:rPr>
                <w:rFonts w:ascii="Calibri" w:hAnsi="Calibri"/>
                <w:color w:val="182230"/>
                <w:sz w:val="18"/>
              </w:rPr>
              <w:t>Technical contact, ERP/system provider, software type/version, and CRM credentials are supplied.</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Business nature/sector selected</w:t>
            </w:r>
          </w:p>
        </w:tc>
        <w:tc>
          <w:tcPr>
            <w:tcW w:type="dxa" w:w="5410"/>
            <w:vAlign w:val="center"/>
            <w:tcMar>
              <w:top w:w="80" w:type="dxa"/>
              <w:start w:w="120" w:type="dxa"/>
              <w:bottom w:w="80" w:type="dxa"/>
              <w:end w:w="120" w:type="dxa"/>
            </w:tcMar>
          </w:tcPr>
          <w:p>
            <w:pPr>
              <w:spacing w:after="0"/>
            </w:pPr>
            <w:r>
              <w:rPr>
                <w:rFonts w:ascii="Calibri" w:hAnsi="Calibri"/>
                <w:color w:val="182230"/>
                <w:sz w:val="18"/>
              </w:rPr>
              <w:t>Selections accurately reflect the taxpayer and are recorded for scenario mapping.</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Registration submitted</w:t>
            </w:r>
          </w:p>
        </w:tc>
        <w:tc>
          <w:tcPr>
            <w:tcW w:type="dxa" w:w="5410"/>
            <w:vAlign w:val="center"/>
            <w:tcMar>
              <w:top w:w="80" w:type="dxa"/>
              <w:start w:w="120" w:type="dxa"/>
              <w:bottom w:w="80" w:type="dxa"/>
              <w:end w:w="120" w:type="dxa"/>
            </w:tcMar>
          </w:tcPr>
          <w:p>
            <w:pPr>
              <w:spacing w:after="0"/>
            </w:pPr>
            <w:r>
              <w:rPr>
                <w:rFonts w:ascii="Calibri" w:hAnsi="Calibri"/>
                <w:color w:val="182230"/>
                <w:sz w:val="18"/>
              </w:rPr>
              <w:t>Client confirms submission and records the date/reference/status.</w:t>
            </w:r>
          </w:p>
        </w:tc>
      </w:tr>
    </w:tbl>
    <w:p>
      <w:pPr>
        <w:spacing w:after="40"/>
      </w:pPr>
    </w:p>
    <w:p>
      <w:pPr>
        <w:pStyle w:val="Heading2"/>
      </w:pPr>
      <w:r>
        <w:t>Technical details to enter</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vAlign w:val="center"/>
            <w:tcMar>
              <w:top w:w="80" w:type="dxa"/>
              <w:start w:w="120" w:type="dxa"/>
              <w:bottom w:w="80" w:type="dxa"/>
              <w:end w:w="120" w:type="dxa"/>
            </w:tcMar>
          </w:tcPr>
          <w:p>
            <w:pPr>
              <w:spacing w:after="0"/>
              <w:jc w:val="left"/>
            </w:pPr>
            <w:r>
              <w:rPr>
                <w:rFonts w:ascii="Calibri" w:hAnsi="Calibri"/>
                <w:b/>
                <w:color w:val="0B2545"/>
                <w:sz w:val="19"/>
              </w:rPr>
              <w:t>Field</w:t>
            </w:r>
          </w:p>
        </w:tc>
        <w:tc>
          <w:tcPr>
            <w:tcW w:type="dxa" w:w="6260"/>
            <w:shd w:fill="E8EEF5"/>
            <w:vAlign w:val="center"/>
            <w:tcMar>
              <w:top w:w="80" w:type="dxa"/>
              <w:start w:w="120" w:type="dxa"/>
              <w:bottom w:w="80" w:type="dxa"/>
              <w:end w:w="120" w:type="dxa"/>
            </w:tcMar>
          </w:tcPr>
          <w:p>
            <w:pPr>
              <w:spacing w:after="0"/>
              <w:jc w:val="left"/>
            </w:pPr>
            <w:r>
              <w:rPr>
                <w:rFonts w:ascii="Calibri" w:hAnsi="Calibri"/>
                <w:b/>
                <w:color w:val="0B2545"/>
                <w:sz w:val="19"/>
              </w:rPr>
              <w:t>Expected value/source</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Technical Contact Person</w:t>
            </w:r>
          </w:p>
        </w:tc>
        <w:tc>
          <w:tcPr>
            <w:tcW w:type="dxa" w:w="6260"/>
            <w:vAlign w:val="center"/>
            <w:tcMar>
              <w:top w:w="80" w:type="dxa"/>
              <w:start w:w="120" w:type="dxa"/>
              <w:bottom w:w="80" w:type="dxa"/>
              <w:end w:w="120" w:type="dxa"/>
            </w:tcMar>
          </w:tcPr>
          <w:p>
            <w:pPr>
              <w:spacing w:after="0"/>
            </w:pPr>
            <w:r>
              <w:rPr>
                <w:rFonts w:ascii="Calibri" w:hAnsi="Calibri"/>
                <w:color w:val="182230"/>
                <w:sz w:val="19"/>
              </w:rPr>
              <w:t>Client-authorized IT/finance contact</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Technical Contact Mobile</w:t>
            </w:r>
          </w:p>
        </w:tc>
        <w:tc>
          <w:tcPr>
            <w:tcW w:type="dxa" w:w="6260"/>
            <w:vAlign w:val="center"/>
            <w:tcMar>
              <w:top w:w="80" w:type="dxa"/>
              <w:start w:w="120" w:type="dxa"/>
              <w:bottom w:w="80" w:type="dxa"/>
              <w:end w:w="120" w:type="dxa"/>
            </w:tcMar>
          </w:tcPr>
          <w:p>
            <w:pPr>
              <w:spacing w:after="0"/>
            </w:pPr>
            <w:r>
              <w:rPr>
                <w:rFonts w:ascii="Calibri" w:hAnsi="Calibri"/>
                <w:color w:val="182230"/>
                <w:sz w:val="19"/>
              </w:rPr>
              <w:t>Reachable mobile number</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Technical Contact Email</w:t>
            </w:r>
          </w:p>
        </w:tc>
        <w:tc>
          <w:tcPr>
            <w:tcW w:type="dxa" w:w="6260"/>
            <w:vAlign w:val="center"/>
            <w:tcMar>
              <w:top w:w="80" w:type="dxa"/>
              <w:start w:w="120" w:type="dxa"/>
              <w:bottom w:w="80" w:type="dxa"/>
              <w:end w:w="120" w:type="dxa"/>
            </w:tcMar>
          </w:tcPr>
          <w:p>
            <w:pPr>
              <w:spacing w:after="0"/>
            </w:pPr>
            <w:r>
              <w:rPr>
                <w:rFonts w:ascii="Calibri" w:hAnsi="Calibri"/>
                <w:color w:val="182230"/>
                <w:sz w:val="19"/>
              </w:rPr>
              <w:t>Monitored business email</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ERP/System Provider</w:t>
            </w:r>
          </w:p>
        </w:tc>
        <w:tc>
          <w:tcPr>
            <w:tcW w:type="dxa" w:w="6260"/>
            <w:vAlign w:val="center"/>
            <w:tcMar>
              <w:top w:w="80" w:type="dxa"/>
              <w:start w:w="120" w:type="dxa"/>
              <w:bottom w:w="80" w:type="dxa"/>
              <w:end w:w="120" w:type="dxa"/>
            </w:tcMar>
          </w:tcPr>
          <w:p>
            <w:pPr>
              <w:spacing w:after="0"/>
            </w:pPr>
            <w:r>
              <w:rPr>
                <w:rFonts w:ascii="Calibri" w:hAnsi="Calibri"/>
                <w:color w:val="182230"/>
                <w:sz w:val="19"/>
              </w:rPr>
              <w:t>Techionik, if Techionik is the client's system provider</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Software Type</w:t>
            </w:r>
          </w:p>
        </w:tc>
        <w:tc>
          <w:tcPr>
            <w:tcW w:type="dxa" w:w="6260"/>
            <w:vAlign w:val="center"/>
            <w:tcMar>
              <w:top w:w="80" w:type="dxa"/>
              <w:start w:w="120" w:type="dxa"/>
              <w:bottom w:w="80" w:type="dxa"/>
              <w:end w:w="120" w:type="dxa"/>
            </w:tcMar>
          </w:tcPr>
          <w:p>
            <w:pPr>
              <w:spacing w:after="0"/>
            </w:pPr>
            <w:r>
              <w:rPr>
                <w:rFonts w:ascii="Calibri" w:hAnsi="Calibri"/>
                <w:color w:val="182230"/>
                <w:sz w:val="19"/>
              </w:rPr>
              <w:t>Cloud for the hosted platform deployment</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Software Version</w:t>
            </w:r>
          </w:p>
        </w:tc>
        <w:tc>
          <w:tcPr>
            <w:tcW w:type="dxa" w:w="6260"/>
            <w:vAlign w:val="center"/>
            <w:tcMar>
              <w:top w:w="80" w:type="dxa"/>
              <w:start w:w="120" w:type="dxa"/>
              <w:bottom w:w="80" w:type="dxa"/>
              <w:end w:w="120" w:type="dxa"/>
            </w:tcMar>
          </w:tcPr>
          <w:p>
            <w:pPr>
              <w:spacing w:after="0"/>
            </w:pPr>
            <w:r>
              <w:rPr>
                <w:rFonts w:ascii="Calibri" w:hAnsi="Calibri"/>
                <w:color w:val="182230"/>
                <w:sz w:val="19"/>
              </w:rPr>
              <w:t>Version/release supplied by Techionik for the onboarding session</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CRM User ID</w:t>
            </w:r>
          </w:p>
        </w:tc>
        <w:tc>
          <w:tcPr>
            <w:tcW w:type="dxa" w:w="6260"/>
            <w:vAlign w:val="center"/>
            <w:tcMar>
              <w:top w:w="80" w:type="dxa"/>
              <w:start w:w="120" w:type="dxa"/>
              <w:bottom w:w="80" w:type="dxa"/>
              <w:end w:w="120" w:type="dxa"/>
            </w:tcMar>
          </w:tcPr>
          <w:p>
            <w:pPr>
              <w:spacing w:after="0"/>
            </w:pPr>
            <w:r>
              <w:rPr>
                <w:rFonts w:ascii="Calibri" w:hAnsi="Calibri"/>
                <w:color w:val="182230"/>
                <w:sz w:val="19"/>
              </w:rPr>
              <w:t>Client-controlled email used for DI support</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CRM Password</w:t>
            </w:r>
          </w:p>
        </w:tc>
        <w:tc>
          <w:tcPr>
            <w:tcW w:type="dxa" w:w="6260"/>
            <w:vAlign w:val="center"/>
            <w:tcMar>
              <w:top w:w="80" w:type="dxa"/>
              <w:start w:w="120" w:type="dxa"/>
              <w:bottom w:w="80" w:type="dxa"/>
              <w:end w:w="120" w:type="dxa"/>
            </w:tcMar>
          </w:tcPr>
          <w:p>
            <w:pPr>
              <w:spacing w:after="0"/>
            </w:pPr>
            <w:r>
              <w:rPr>
                <w:rFonts w:ascii="Calibri" w:hAnsi="Calibri"/>
                <w:color w:val="182230"/>
                <w:sz w:val="19"/>
              </w:rPr>
              <w:t>Client-controlled password; do not store in project documents</w:t>
            </w:r>
          </w:p>
        </w:tc>
      </w:tr>
    </w:tbl>
    <w:p>
      <w:pPr>
        <w:spacing w:after="40"/>
      </w:pPr>
    </w:p>
    <w:p>
      <w:pPr>
        <w:pStyle w:val="Heading1"/>
      </w:pPr>
      <w:r>
        <w:t>4. IP Whitelisting</w:t>
      </w:r>
    </w:p>
    <w:p>
      <w:r>
        <w:rPr>
          <w:rFonts w:ascii="Calibri" w:hAnsi="Calibri"/>
          <w:i w:val="0"/>
          <w:color w:val="182230"/>
        </w:rPr>
        <w:t>Live sandbox calls originate from the deployed backend server, not from the user's browser. PRAL must approve that server's public outbound IP.</w:t>
      </w:r>
    </w:p>
    <w:tbl>
      <w:tblPr>
        <w:tblStyle w:val="TableGrid"/>
        <w:tblW w:type="dxa" w:w="9360"/>
        <w:jc w:val="left"/>
        <w:tblLayout w:type="fixed"/>
        <w:tblLook w:firstColumn="1" w:firstRow="1" w:lastColumn="0" w:lastRow="0" w:noHBand="0" w:noVBand="1" w:val="04A0"/>
        <w:tblInd w:w="120" w:type="dxa"/>
      </w:tblPr>
      <w:tblGrid>
        <w:gridCol w:w="850"/>
        <w:gridCol w:w="3100"/>
        <w:gridCol w:w="5410"/>
      </w:tblGrid>
      <w:tr>
        <w:trPr>
          <w:tblHeader w:val="true"/>
        </w:trPr>
        <w:tc>
          <w:tcPr>
            <w:tcW w:type="dxa" w:w="850"/>
            <w:shd w:fill="E8EEF5"/>
            <w:vAlign w:val="center"/>
            <w:tcMar>
              <w:top w:w="80" w:type="dxa"/>
              <w:start w:w="120" w:type="dxa"/>
              <w:bottom w:w="80" w:type="dxa"/>
              <w:end w:w="120" w:type="dxa"/>
            </w:tcMar>
          </w:tcPr>
          <w:p>
            <w:pPr>
              <w:spacing w:after="0"/>
              <w:jc w:val="left"/>
            </w:pPr>
            <w:r>
              <w:rPr>
                <w:rFonts w:ascii="Calibri" w:hAnsi="Calibri"/>
                <w:b/>
                <w:color w:val="0B2545"/>
                <w:sz w:val="18"/>
              </w:rPr>
              <w:t>Done</w:t>
            </w:r>
          </w:p>
        </w:tc>
        <w:tc>
          <w:tcPr>
            <w:tcW w:type="dxa" w:w="3100"/>
            <w:shd w:fill="E8EEF5"/>
            <w:vAlign w:val="center"/>
            <w:tcMar>
              <w:top w:w="80" w:type="dxa"/>
              <w:start w:w="120" w:type="dxa"/>
              <w:bottom w:w="80" w:type="dxa"/>
              <w:end w:w="120" w:type="dxa"/>
            </w:tcMar>
          </w:tcPr>
          <w:p>
            <w:pPr>
              <w:spacing w:after="0"/>
              <w:jc w:val="left"/>
            </w:pPr>
            <w:r>
              <w:rPr>
                <w:rFonts w:ascii="Calibri" w:hAnsi="Calibri"/>
                <w:b/>
                <w:color w:val="0B2545"/>
                <w:sz w:val="18"/>
              </w:rPr>
              <w:t>Requirement</w:t>
            </w:r>
          </w:p>
        </w:tc>
        <w:tc>
          <w:tcPr>
            <w:tcW w:type="dxa" w:w="5410"/>
            <w:shd w:fill="E8EEF5"/>
            <w:vAlign w:val="center"/>
            <w:tcMar>
              <w:top w:w="80" w:type="dxa"/>
              <w:start w:w="120" w:type="dxa"/>
              <w:bottom w:w="80" w:type="dxa"/>
              <w:end w:w="120" w:type="dxa"/>
            </w:tcMar>
          </w:tcPr>
          <w:p>
            <w:pPr>
              <w:spacing w:after="0"/>
              <w:jc w:val="left"/>
            </w:pPr>
            <w:r>
              <w:rPr>
                <w:rFonts w:ascii="Calibri" w:hAnsi="Calibri"/>
                <w:b/>
                <w:color w:val="0B2545"/>
                <w:sz w:val="18"/>
              </w:rPr>
              <w:t>Detail</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Production-like deployment selected</w:t>
            </w:r>
          </w:p>
        </w:tc>
        <w:tc>
          <w:tcPr>
            <w:tcW w:type="dxa" w:w="5410"/>
            <w:vAlign w:val="center"/>
            <w:tcMar>
              <w:top w:w="80" w:type="dxa"/>
              <w:start w:w="120" w:type="dxa"/>
              <w:bottom w:w="80" w:type="dxa"/>
              <w:end w:w="120" w:type="dxa"/>
            </w:tcMar>
          </w:tcPr>
          <w:p>
            <w:pPr>
              <w:spacing w:after="0"/>
            </w:pPr>
            <w:r>
              <w:rPr>
                <w:rFonts w:ascii="Calibri" w:hAnsi="Calibri"/>
                <w:color w:val="182230"/>
                <w:sz w:val="18"/>
              </w:rPr>
              <w:t>Testing is run from the same controlled backend/network path intended for integration.</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Static public outbound IP supplied</w:t>
            </w:r>
          </w:p>
        </w:tc>
        <w:tc>
          <w:tcPr>
            <w:tcW w:type="dxa" w:w="5410"/>
            <w:vAlign w:val="center"/>
            <w:tcMar>
              <w:top w:w="80" w:type="dxa"/>
              <w:start w:w="120" w:type="dxa"/>
              <w:bottom w:w="80" w:type="dxa"/>
              <w:end w:w="120" w:type="dxa"/>
            </w:tcMar>
          </w:tcPr>
          <w:p>
            <w:pPr>
              <w:spacing w:after="0"/>
            </w:pPr>
            <w:r>
              <w:rPr>
                <w:rFonts w:ascii="Calibri" w:hAnsi="Calibri"/>
                <w:color w:val="182230"/>
                <w:sz w:val="18"/>
              </w:rPr>
              <w:t>Techionik provides the exact egress IP shown by the platform preflight/deployment network.</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Hosting company name</w:t>
            </w:r>
          </w:p>
        </w:tc>
        <w:tc>
          <w:tcPr>
            <w:tcW w:type="dxa" w:w="5410"/>
            <w:vAlign w:val="center"/>
            <w:tcMar>
              <w:top w:w="80" w:type="dxa"/>
              <w:start w:w="120" w:type="dxa"/>
              <w:bottom w:w="80" w:type="dxa"/>
              <w:end w:w="120" w:type="dxa"/>
            </w:tcMar>
          </w:tcPr>
          <w:p>
            <w:pPr>
              <w:spacing w:after="0"/>
            </w:pPr>
            <w:r>
              <w:rPr>
                <w:rFonts w:ascii="Calibri" w:hAnsi="Calibri"/>
                <w:color w:val="182230"/>
                <w:sz w:val="18"/>
              </w:rPr>
              <w:t>Entered in IRIS as required.</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Hosting server country</w:t>
            </w:r>
          </w:p>
        </w:tc>
        <w:tc>
          <w:tcPr>
            <w:tcW w:type="dxa" w:w="5410"/>
            <w:vAlign w:val="center"/>
            <w:tcMar>
              <w:top w:w="80" w:type="dxa"/>
              <w:start w:w="120" w:type="dxa"/>
              <w:bottom w:w="80" w:type="dxa"/>
              <w:end w:w="120" w:type="dxa"/>
            </w:tcMar>
          </w:tcPr>
          <w:p>
            <w:pPr>
              <w:spacing w:after="0"/>
            </w:pPr>
            <w:r>
              <w:rPr>
                <w:rFonts w:ascii="Calibri" w:hAnsi="Calibri"/>
                <w:color w:val="182230"/>
                <w:sz w:val="18"/>
              </w:rPr>
              <w:t>Entered in IRIS as required.</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IP submitted</w:t>
            </w:r>
          </w:p>
        </w:tc>
        <w:tc>
          <w:tcPr>
            <w:tcW w:type="dxa" w:w="5410"/>
            <w:vAlign w:val="center"/>
            <w:tcMar>
              <w:top w:w="80" w:type="dxa"/>
              <w:start w:w="120" w:type="dxa"/>
              <w:bottom w:w="80" w:type="dxa"/>
              <w:end w:w="120" w:type="dxa"/>
            </w:tcMar>
          </w:tcPr>
          <w:p>
            <w:pPr>
              <w:spacing w:after="0"/>
            </w:pPr>
            <w:r>
              <w:rPr>
                <w:rFonts w:ascii="Calibri" w:hAnsi="Calibri"/>
                <w:color w:val="182230"/>
                <w:sz w:val="18"/>
              </w:rPr>
              <w:t>Client submits 1-3 IP addresses, or uses the PRAL XLS upload flow for multiple IPs.</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PRAL approval received</w:t>
            </w:r>
          </w:p>
        </w:tc>
        <w:tc>
          <w:tcPr>
            <w:tcW w:type="dxa" w:w="5410"/>
            <w:vAlign w:val="center"/>
            <w:tcMar>
              <w:top w:w="80" w:type="dxa"/>
              <w:start w:w="120" w:type="dxa"/>
              <w:bottom w:w="80" w:type="dxa"/>
              <w:end w:w="120" w:type="dxa"/>
            </w:tcMar>
          </w:tcPr>
          <w:p>
            <w:pPr>
              <w:spacing w:after="0"/>
            </w:pPr>
            <w:r>
              <w:rPr>
                <w:rFonts w:ascii="Calibri" w:hAnsi="Calibri"/>
                <w:color w:val="182230"/>
                <w:sz w:val="18"/>
              </w:rPr>
              <w:t>Approval is visible/confirmed; rejected IPs are corrected before testing.</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Onboarding updated</w:t>
            </w:r>
          </w:p>
        </w:tc>
        <w:tc>
          <w:tcPr>
            <w:tcW w:type="dxa" w:w="5410"/>
            <w:vAlign w:val="center"/>
            <w:tcMar>
              <w:top w:w="80" w:type="dxa"/>
              <w:start w:w="120" w:type="dxa"/>
              <w:bottom w:w="80" w:type="dxa"/>
              <w:end w:w="120" w:type="dxa"/>
            </w:tcMar>
          </w:tcPr>
          <w:p>
            <w:pPr>
              <w:spacing w:after="0"/>
            </w:pPr>
            <w:r>
              <w:rPr>
                <w:rFonts w:ascii="Calibri" w:hAnsi="Calibri"/>
                <w:color w:val="182230"/>
                <w:sz w:val="18"/>
              </w:rPr>
              <w:t>Techionik records IP Whitelist = Approved in the client's workspace.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CC"/>
          </w:tcPr>
          <w:p>
            <w:pPr>
              <w:spacing w:after="40"/>
            </w:pPr>
            <w:r>
              <w:rPr>
                <w:rFonts w:ascii="Calibri" w:hAnsi="Calibri"/>
                <w:b/>
                <w:color w:val="7A5A00"/>
              </w:rPr>
              <w:t xml:space="preserve">Important: </w:t>
            </w:r>
            <w:r>
              <w:rPr>
                <w:rFonts w:ascii="Calibri" w:hAnsi="Calibri"/>
                <w:color w:val="7A5A00"/>
              </w:rPr>
              <w:t>If the hosting provider rotates outbound IPs, the whitelist can stop working. The client must approve use of a static egress IP or a stable network design before live sandbox and production.</w:t>
            </w:r>
          </w:p>
        </w:tc>
      </w:tr>
    </w:tbl>
    <w:p>
      <w:pPr>
        <w:spacing w:after="20"/>
      </w:pPr>
    </w:p>
    <w:p>
      <w:pPr>
        <w:pStyle w:val="Heading1"/>
      </w:pPr>
      <w:r>
        <w:t>5. Sandbox Credential</w:t>
      </w:r>
    </w:p>
    <w:tbl>
      <w:tblPr>
        <w:tblStyle w:val="TableGrid"/>
        <w:tblW w:type="dxa" w:w="9360"/>
        <w:jc w:val="left"/>
        <w:tblLayout w:type="fixed"/>
        <w:tblLook w:firstColumn="1" w:firstRow="1" w:lastColumn="0" w:lastRow="0" w:noHBand="0" w:noVBand="1" w:val="04A0"/>
        <w:tblInd w:w="120" w:type="dxa"/>
      </w:tblPr>
      <w:tblGrid>
        <w:gridCol w:w="850"/>
        <w:gridCol w:w="3100"/>
        <w:gridCol w:w="5410"/>
      </w:tblGrid>
      <w:tr>
        <w:trPr>
          <w:tblHeader w:val="true"/>
        </w:trPr>
        <w:tc>
          <w:tcPr>
            <w:tcW w:type="dxa" w:w="850"/>
            <w:shd w:fill="E8EEF5"/>
            <w:vAlign w:val="center"/>
            <w:tcMar>
              <w:top w:w="80" w:type="dxa"/>
              <w:start w:w="120" w:type="dxa"/>
              <w:bottom w:w="80" w:type="dxa"/>
              <w:end w:w="120" w:type="dxa"/>
            </w:tcMar>
          </w:tcPr>
          <w:p>
            <w:pPr>
              <w:spacing w:after="0"/>
              <w:jc w:val="left"/>
            </w:pPr>
            <w:r>
              <w:rPr>
                <w:rFonts w:ascii="Calibri" w:hAnsi="Calibri"/>
                <w:b/>
                <w:color w:val="0B2545"/>
                <w:sz w:val="18"/>
              </w:rPr>
              <w:t>Done</w:t>
            </w:r>
          </w:p>
        </w:tc>
        <w:tc>
          <w:tcPr>
            <w:tcW w:type="dxa" w:w="3100"/>
            <w:shd w:fill="E8EEF5"/>
            <w:vAlign w:val="center"/>
            <w:tcMar>
              <w:top w:w="80" w:type="dxa"/>
              <w:start w:w="120" w:type="dxa"/>
              <w:bottom w:w="80" w:type="dxa"/>
              <w:end w:w="120" w:type="dxa"/>
            </w:tcMar>
          </w:tcPr>
          <w:p>
            <w:pPr>
              <w:spacing w:after="0"/>
              <w:jc w:val="left"/>
            </w:pPr>
            <w:r>
              <w:rPr>
                <w:rFonts w:ascii="Calibri" w:hAnsi="Calibri"/>
                <w:b/>
                <w:color w:val="0B2545"/>
                <w:sz w:val="18"/>
              </w:rPr>
              <w:t>Requirement</w:t>
            </w:r>
          </w:p>
        </w:tc>
        <w:tc>
          <w:tcPr>
            <w:tcW w:type="dxa" w:w="5410"/>
            <w:shd w:fill="E8EEF5"/>
            <w:vAlign w:val="center"/>
            <w:tcMar>
              <w:top w:w="80" w:type="dxa"/>
              <w:start w:w="120" w:type="dxa"/>
              <w:bottom w:w="80" w:type="dxa"/>
              <w:end w:w="120" w:type="dxa"/>
            </w:tcMar>
          </w:tcPr>
          <w:p>
            <w:pPr>
              <w:spacing w:after="0"/>
              <w:jc w:val="left"/>
            </w:pPr>
            <w:r>
              <w:rPr>
                <w:rFonts w:ascii="Calibri" w:hAnsi="Calibri"/>
                <w:b/>
                <w:color w:val="0B2545"/>
                <w:sz w:val="18"/>
              </w:rPr>
              <w:t>Detail</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Sandbox environment active</w:t>
            </w:r>
          </w:p>
        </w:tc>
        <w:tc>
          <w:tcPr>
            <w:tcW w:type="dxa" w:w="5410"/>
            <w:vAlign w:val="center"/>
            <w:tcMar>
              <w:top w:w="80" w:type="dxa"/>
              <w:start w:w="120" w:type="dxa"/>
              <w:bottom w:w="80" w:type="dxa"/>
              <w:end w:w="120" w:type="dxa"/>
            </w:tcMar>
          </w:tcPr>
          <w:p>
            <w:pPr>
              <w:spacing w:after="0"/>
            </w:pPr>
            <w:r>
              <w:rPr>
                <w:rFonts w:ascii="Calibri" w:hAnsi="Calibri"/>
                <w:color w:val="182230"/>
                <w:sz w:val="18"/>
              </w:rPr>
              <w:t>PRAL registration/IP steps are complete and the sandbox area is available.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Sandbox token issued</w:t>
            </w:r>
          </w:p>
        </w:tc>
        <w:tc>
          <w:tcPr>
            <w:tcW w:type="dxa" w:w="5410"/>
            <w:vAlign w:val="center"/>
            <w:tcMar>
              <w:top w:w="80" w:type="dxa"/>
              <w:start w:w="120" w:type="dxa"/>
              <w:bottom w:w="80" w:type="dxa"/>
              <w:end w:w="120" w:type="dxa"/>
            </w:tcMar>
          </w:tcPr>
          <w:p>
            <w:pPr>
              <w:spacing w:after="0"/>
            </w:pPr>
            <w:r>
              <w:rPr>
                <w:rFonts w:ascii="Calibri" w:hAnsi="Calibri"/>
                <w:color w:val="182230"/>
                <w:sz w:val="18"/>
              </w:rPr>
              <w:t>Client obtains the token from the authorized PRAL/IRIS flow.</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Secure token handoff</w:t>
            </w:r>
          </w:p>
        </w:tc>
        <w:tc>
          <w:tcPr>
            <w:tcW w:type="dxa" w:w="5410"/>
            <w:vAlign w:val="center"/>
            <w:tcMar>
              <w:top w:w="80" w:type="dxa"/>
              <w:start w:w="120" w:type="dxa"/>
              <w:bottom w:w="80" w:type="dxa"/>
              <w:end w:w="120" w:type="dxa"/>
            </w:tcMar>
          </w:tcPr>
          <w:p>
            <w:pPr>
              <w:spacing w:after="0"/>
            </w:pPr>
            <w:r>
              <w:rPr>
                <w:rFonts w:ascii="Calibri" w:hAnsi="Calibri"/>
                <w:color w:val="182230"/>
                <w:sz w:val="18"/>
              </w:rPr>
              <w:t>Token is entered directly into the company Settings page or shared through an approved secure channel.</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Correct company confirmed</w:t>
            </w:r>
          </w:p>
        </w:tc>
        <w:tc>
          <w:tcPr>
            <w:tcW w:type="dxa" w:w="5410"/>
            <w:vAlign w:val="center"/>
            <w:tcMar>
              <w:top w:w="80" w:type="dxa"/>
              <w:start w:w="120" w:type="dxa"/>
              <w:bottom w:w="80" w:type="dxa"/>
              <w:end w:w="120" w:type="dxa"/>
            </w:tcMar>
          </w:tcPr>
          <w:p>
            <w:pPr>
              <w:spacing w:after="0"/>
            </w:pPr>
            <w:r>
              <w:rPr>
                <w:rFonts w:ascii="Calibri" w:hAnsi="Calibri"/>
                <w:color w:val="182230"/>
                <w:sz w:val="18"/>
              </w:rPr>
              <w:t>The active tenant name/NTN is checked before saving the token.</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3100"/>
            <w:vAlign w:val="center"/>
            <w:tcMar>
              <w:top w:w="80" w:type="dxa"/>
              <w:start w:w="120" w:type="dxa"/>
              <w:bottom w:w="80" w:type="dxa"/>
              <w:end w:w="120" w:type="dxa"/>
            </w:tcMar>
          </w:tcPr>
          <w:p>
            <w:pPr>
              <w:spacing w:after="0"/>
            </w:pPr>
            <w:r>
              <w:rPr>
                <w:rFonts w:ascii="Calibri" w:hAnsi="Calibri"/>
                <w:color w:val="182230"/>
                <w:sz w:val="18"/>
              </w:rPr>
              <w:t>Token status checked</w:t>
            </w:r>
          </w:p>
        </w:tc>
        <w:tc>
          <w:tcPr>
            <w:tcW w:type="dxa" w:w="5410"/>
            <w:vAlign w:val="center"/>
            <w:tcMar>
              <w:top w:w="80" w:type="dxa"/>
              <w:start w:w="120" w:type="dxa"/>
              <w:bottom w:w="80" w:type="dxa"/>
              <w:end w:w="120" w:type="dxa"/>
            </w:tcMar>
          </w:tcPr>
          <w:p>
            <w:pPr>
              <w:spacing w:after="0"/>
            </w:pPr>
            <w:r>
              <w:rPr>
                <w:rFonts w:ascii="Calibri" w:hAnsi="Calibri"/>
                <w:color w:val="182230"/>
                <w:sz w:val="18"/>
              </w:rPr>
              <w:t>Settings shows the sandbox token as configured; the full token is not exposed.</w:t>
            </w:r>
          </w:p>
        </w:tc>
      </w:tr>
    </w:tbl>
    <w:p>
      <w:pPr>
        <w:spacing w:after="40"/>
      </w:pPr>
    </w:p>
    <w:p>
      <w:pPr>
        <w:pStyle w:val="Heading1"/>
      </w:pPr>
      <w:r>
        <w:t>6. Product and Buyer Test Data</w:t>
      </w:r>
    </w:p>
    <w:p>
      <w:r>
        <w:rPr>
          <w:rFonts w:ascii="Calibri" w:hAnsi="Calibri"/>
          <w:i w:val="0"/>
          <w:color w:val="182230"/>
        </w:rPr>
        <w:t>Techionik needs realistic but controlled master data that covers every scenario applicable to the client's business nature and sector.</w:t>
      </w:r>
    </w:p>
    <w:p>
      <w:pPr>
        <w:pStyle w:val="Heading2"/>
      </w:pPr>
      <w:r>
        <w:t>Product list</w:t>
      </w:r>
    </w:p>
    <w:tbl>
      <w:tblPr>
        <w:tblStyle w:val="TableGrid"/>
        <w:tblW w:type="dxa" w:w="9360"/>
        <w:jc w:val="left"/>
        <w:tblLayout w:type="fixed"/>
        <w:tblLook w:firstColumn="1" w:firstRow="1" w:lastColumn="0" w:lastRow="0" w:noHBand="0" w:noVBand="1" w:val="04A0"/>
        <w:tblInd w:w="120" w:type="dxa"/>
      </w:tblPr>
      <w:tblGrid>
        <w:gridCol w:w="850"/>
        <w:gridCol w:w="8510"/>
      </w:tblGrid>
      <w:tr>
        <w:trPr>
          <w:tblHeader w:val="true"/>
        </w:trPr>
        <w:tc>
          <w:tcPr>
            <w:tcW w:type="dxa" w:w="850"/>
            <w:shd w:fill="E8EEF5"/>
            <w:vAlign w:val="center"/>
            <w:tcMar>
              <w:top w:w="80" w:type="dxa"/>
              <w:start w:w="120" w:type="dxa"/>
              <w:bottom w:w="80" w:type="dxa"/>
              <w:end w:w="120" w:type="dxa"/>
            </w:tcMar>
          </w:tcPr>
          <w:p>
            <w:pPr>
              <w:spacing w:after="0"/>
              <w:jc w:val="left"/>
            </w:pPr>
            <w:r>
              <w:rPr>
                <w:rFonts w:ascii="Calibri" w:hAnsi="Calibri"/>
                <w:b/>
                <w:color w:val="0B2545"/>
                <w:sz w:val="18"/>
              </w:rPr>
              <w:t>Done</w:t>
            </w:r>
          </w:p>
        </w:tc>
        <w:tc>
          <w:tcPr>
            <w:tcW w:type="dxa" w:w="8510"/>
            <w:shd w:fill="E8EEF5"/>
            <w:vAlign w:val="center"/>
            <w:tcMar>
              <w:top w:w="80" w:type="dxa"/>
              <w:start w:w="120" w:type="dxa"/>
              <w:bottom w:w="80" w:type="dxa"/>
              <w:end w:w="120" w:type="dxa"/>
            </w:tcMar>
          </w:tcPr>
          <w:p>
            <w:pPr>
              <w:spacing w:after="0"/>
              <w:jc w:val="left"/>
            </w:pPr>
            <w:r>
              <w:rPr>
                <w:rFonts w:ascii="Calibri" w:hAnsi="Calibri"/>
                <w:b/>
                <w:color w:val="0B2545"/>
                <w:sz w:val="18"/>
              </w:rPr>
              <w:t>Data per product</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Product/service name and clear description</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HS code or sufficient product specification for Techionik/tax review to map it</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Unit of measure used in commercial invoices</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Normal sale type and applicable sales tax rate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SRO schedule and item serial where applicable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FED, further tax, extra tax, withholding, discount, or fixed/notified/retail-price treatment where applicable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Example quantity, value excluding tax, and expected total</w:t>
            </w:r>
          </w:p>
        </w:tc>
      </w:tr>
    </w:tbl>
    <w:p>
      <w:pPr>
        <w:spacing w:after="40"/>
      </w:pPr>
    </w:p>
    <w:p>
      <w:pPr>
        <w:pStyle w:val="Heading2"/>
      </w:pPr>
      <w:r>
        <w:t>Buyer test records</w:t>
      </w:r>
    </w:p>
    <w:tbl>
      <w:tblPr>
        <w:tblStyle w:val="TableGrid"/>
        <w:tblW w:type="dxa" w:w="9360"/>
        <w:jc w:val="left"/>
        <w:tblLayout w:type="fixed"/>
        <w:tblLook w:firstColumn="1" w:firstRow="1" w:lastColumn="0" w:lastRow="0" w:noHBand="0" w:noVBand="1" w:val="04A0"/>
        <w:tblInd w:w="120" w:type="dxa"/>
      </w:tblPr>
      <w:tblGrid>
        <w:gridCol w:w="850"/>
        <w:gridCol w:w="8510"/>
      </w:tblGrid>
      <w:tr>
        <w:trPr>
          <w:tblHeader w:val="true"/>
        </w:trPr>
        <w:tc>
          <w:tcPr>
            <w:tcW w:type="dxa" w:w="850"/>
            <w:shd w:fill="E8EEF5"/>
            <w:vAlign w:val="center"/>
            <w:tcMar>
              <w:top w:w="80" w:type="dxa"/>
              <w:start w:w="120" w:type="dxa"/>
              <w:bottom w:w="80" w:type="dxa"/>
              <w:end w:w="120" w:type="dxa"/>
            </w:tcMar>
          </w:tcPr>
          <w:p>
            <w:pPr>
              <w:spacing w:after="0"/>
              <w:jc w:val="left"/>
            </w:pPr>
            <w:r>
              <w:rPr>
                <w:rFonts w:ascii="Calibri" w:hAnsi="Calibri"/>
                <w:b/>
                <w:color w:val="0B2545"/>
                <w:sz w:val="18"/>
              </w:rPr>
              <w:t>Done</w:t>
            </w:r>
          </w:p>
        </w:tc>
        <w:tc>
          <w:tcPr>
            <w:tcW w:type="dxa" w:w="8510"/>
            <w:shd w:fill="E8EEF5"/>
            <w:vAlign w:val="center"/>
            <w:tcMar>
              <w:top w:w="80" w:type="dxa"/>
              <w:start w:w="120" w:type="dxa"/>
              <w:bottom w:w="80" w:type="dxa"/>
              <w:end w:w="120" w:type="dxa"/>
            </w:tcMar>
          </w:tcPr>
          <w:p>
            <w:pPr>
              <w:spacing w:after="0"/>
              <w:jc w:val="left"/>
            </w:pPr>
            <w:r>
              <w:rPr>
                <w:rFonts w:ascii="Calibri" w:hAnsi="Calibri"/>
                <w:b/>
                <w:color w:val="0B2545"/>
                <w:sz w:val="18"/>
              </w:rPr>
              <w:t>Data per buyer</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Buyer business name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Valid NTN/CNIC where required</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Registered or Unregistered buyer classification</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Province and complete address</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Confirmation that the record may be used for sandbox testing</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DE8E7"/>
          </w:tcPr>
          <w:p>
            <w:pPr>
              <w:spacing w:after="40"/>
            </w:pPr>
            <w:r>
              <w:rPr>
                <w:rFonts w:ascii="Calibri" w:hAnsi="Calibri"/>
                <w:b/>
                <w:color w:val="9B1C1C"/>
              </w:rPr>
              <w:t xml:space="preserve">Data quality: </w:t>
            </w:r>
            <w:r>
              <w:rPr>
                <w:rFonts w:ascii="Calibri" w:hAnsi="Calibri"/>
                <w:color w:val="9B1C1C"/>
              </w:rPr>
              <w:t>The client remains responsible for confirming the commercial and tax facts. Techionik can configure mappings and diagnose API responses, but should not invent tax treatment where the source facts are uncertain.</w:t>
            </w:r>
          </w:p>
        </w:tc>
      </w:tr>
    </w:tbl>
    <w:p>
      <w:pPr>
        <w:spacing w:after="20"/>
      </w:pPr>
    </w:p>
    <w:p>
      <w:pPr>
        <w:pStyle w:val="Heading1"/>
      </w:pPr>
      <w:r>
        <w:t>7. Applicable Scenario Matrix</w:t>
      </w:r>
    </w:p>
    <w:p>
      <w:r>
        <w:rPr>
          <w:rFonts w:ascii="Calibri" w:hAnsi="Calibri"/>
          <w:i w:val="0"/>
          <w:color w:val="182230"/>
        </w:rPr>
        <w:t>PRAL's technical specification defines scenarios SN001 through SN028. The required subset is selected from the client's Business Nature and Sector. The client must confirm those selections; Techionik must map them to fixtures before the live run.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80" w:type="dxa"/>
              <w:start w:w="120" w:type="dxa"/>
              <w:bottom w:w="80" w:type="dxa"/>
              <w:end w:w="120" w:type="dxa"/>
            </w:tcMar>
          </w:tcPr>
          <w:p>
            <w:pPr>
              <w:spacing w:after="0"/>
              <w:jc w:val="left"/>
            </w:pPr>
            <w:r>
              <w:rPr>
                <w:rFonts w:ascii="Calibri" w:hAnsi="Calibri"/>
                <w:b/>
                <w:color w:val="0B2545"/>
                <w:sz w:val="18"/>
              </w:rPr>
              <w:t>Scenario examples</w:t>
            </w:r>
          </w:p>
        </w:tc>
        <w:tc>
          <w:tcPr>
            <w:tcW w:type="dxa" w:w="6560"/>
            <w:shd w:fill="E8EEF5"/>
            <w:vAlign w:val="center"/>
            <w:tcMar>
              <w:top w:w="80" w:type="dxa"/>
              <w:start w:w="120" w:type="dxa"/>
              <w:bottom w:w="80" w:type="dxa"/>
              <w:end w:w="120" w:type="dxa"/>
            </w:tcMar>
          </w:tcPr>
          <w:p>
            <w:pPr>
              <w:spacing w:after="0"/>
              <w:jc w:val="left"/>
            </w:pPr>
            <w:r>
              <w:rPr>
                <w:rFonts w:ascii="Calibri" w:hAnsi="Calibri"/>
                <w:b/>
                <w:color w:val="0B2545"/>
                <w:sz w:val="18"/>
              </w:rPr>
              <w:t>Typical purpose</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SN001 / SN002</w:t>
            </w:r>
          </w:p>
        </w:tc>
        <w:tc>
          <w:tcPr>
            <w:tcW w:type="dxa" w:w="6560"/>
            <w:vAlign w:val="center"/>
            <w:tcMar>
              <w:top w:w="80" w:type="dxa"/>
              <w:start w:w="120" w:type="dxa"/>
              <w:bottom w:w="80" w:type="dxa"/>
              <w:end w:w="120" w:type="dxa"/>
            </w:tcMar>
          </w:tcPr>
          <w:p>
            <w:pPr>
              <w:spacing w:after="0"/>
            </w:pPr>
            <w:r>
              <w:rPr>
                <w:rFonts w:ascii="Calibri" w:hAnsi="Calibri"/>
                <w:color w:val="182230"/>
                <w:sz w:val="18"/>
              </w:rPr>
              <w:t>Standard-rate goods to registered / unregistered buyers</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SN003 / SN004 / SN011</w:t>
            </w:r>
          </w:p>
        </w:tc>
        <w:tc>
          <w:tcPr>
            <w:tcW w:type="dxa" w:w="6560"/>
            <w:vAlign w:val="center"/>
            <w:tcMar>
              <w:top w:w="80" w:type="dxa"/>
              <w:start w:w="120" w:type="dxa"/>
              <w:bottom w:w="80" w:type="dxa"/>
              <w:end w:w="120" w:type="dxa"/>
            </w:tcMar>
          </w:tcPr>
          <w:p>
            <w:pPr>
              <w:spacing w:after="0"/>
            </w:pPr>
            <w:r>
              <w:rPr>
                <w:rFonts w:ascii="Calibri" w:hAnsi="Calibri"/>
                <w:color w:val="182230"/>
                <w:sz w:val="18"/>
              </w:rPr>
              <w:t>Steel and ship-breaking/toll-manufacturing cases</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SN005 / SN006 / SN007</w:t>
            </w:r>
          </w:p>
        </w:tc>
        <w:tc>
          <w:tcPr>
            <w:tcW w:type="dxa" w:w="6560"/>
            <w:vAlign w:val="center"/>
            <w:tcMar>
              <w:top w:w="80" w:type="dxa"/>
              <w:start w:w="120" w:type="dxa"/>
              <w:bottom w:w="80" w:type="dxa"/>
              <w:end w:w="120" w:type="dxa"/>
            </w:tcMar>
          </w:tcPr>
          <w:p>
            <w:pPr>
              <w:spacing w:after="0"/>
            </w:pPr>
            <w:r>
              <w:rPr>
                <w:rFonts w:ascii="Calibri" w:hAnsi="Calibri"/>
                <w:color w:val="182230"/>
                <w:sz w:val="18"/>
              </w:rPr>
              <w:t>Reduced-rate, exempt, and zero-rated sales</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SN008</w:t>
            </w:r>
          </w:p>
        </w:tc>
        <w:tc>
          <w:tcPr>
            <w:tcW w:type="dxa" w:w="6560"/>
            <w:vAlign w:val="center"/>
            <w:tcMar>
              <w:top w:w="80" w:type="dxa"/>
              <w:start w:w="120" w:type="dxa"/>
              <w:bottom w:w="80" w:type="dxa"/>
              <w:end w:w="120" w:type="dxa"/>
            </w:tcMar>
          </w:tcPr>
          <w:p>
            <w:pPr>
              <w:spacing w:after="0"/>
            </w:pPr>
            <w:r>
              <w:rPr>
                <w:rFonts w:ascii="Calibri" w:hAnsi="Calibri"/>
                <w:color w:val="182230"/>
                <w:sz w:val="18"/>
              </w:rPr>
              <w:t>Third Schedule goods</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SN009</w:t>
            </w:r>
          </w:p>
        </w:tc>
        <w:tc>
          <w:tcPr>
            <w:tcW w:type="dxa" w:w="6560"/>
            <w:vAlign w:val="center"/>
            <w:tcMar>
              <w:top w:w="80" w:type="dxa"/>
              <w:start w:w="120" w:type="dxa"/>
              <w:bottom w:w="80" w:type="dxa"/>
              <w:end w:w="120" w:type="dxa"/>
            </w:tcMar>
          </w:tcPr>
          <w:p>
            <w:pPr>
              <w:spacing w:after="0"/>
            </w:pPr>
            <w:r>
              <w:rPr>
                <w:rFonts w:ascii="Calibri" w:hAnsi="Calibri"/>
                <w:color w:val="182230"/>
                <w:sz w:val="18"/>
              </w:rPr>
              <w:t>Cotton ginner/textile purchase scenario</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SN010</w:t>
            </w:r>
          </w:p>
        </w:tc>
        <w:tc>
          <w:tcPr>
            <w:tcW w:type="dxa" w:w="6560"/>
            <w:vAlign w:val="center"/>
            <w:tcMar>
              <w:top w:w="80" w:type="dxa"/>
              <w:start w:w="120" w:type="dxa"/>
              <w:bottom w:w="80" w:type="dxa"/>
              <w:end w:w="120" w:type="dxa"/>
            </w:tcMar>
          </w:tcPr>
          <w:p>
            <w:pPr>
              <w:spacing w:after="0"/>
            </w:pPr>
            <w:r>
              <w:rPr>
                <w:rFonts w:ascii="Calibri" w:hAnsi="Calibri"/>
                <w:color w:val="182230"/>
                <w:sz w:val="18"/>
              </w:rPr>
              <w:t>Telecommunication services</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SN012-SN014</w:t>
            </w:r>
          </w:p>
        </w:tc>
        <w:tc>
          <w:tcPr>
            <w:tcW w:type="dxa" w:w="6560"/>
            <w:vAlign w:val="center"/>
            <w:tcMar>
              <w:top w:w="80" w:type="dxa"/>
              <w:start w:w="120" w:type="dxa"/>
              <w:bottom w:w="80" w:type="dxa"/>
              <w:end w:w="120" w:type="dxa"/>
            </w:tcMar>
          </w:tcPr>
          <w:p>
            <w:pPr>
              <w:spacing w:after="0"/>
            </w:pPr>
            <w:r>
              <w:rPr>
                <w:rFonts w:ascii="Calibri" w:hAnsi="Calibri"/>
                <w:color w:val="182230"/>
                <w:sz w:val="18"/>
              </w:rPr>
              <w:t>Petroleum, electricity, and gas/CNG sector cases</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SN015-SN025</w:t>
            </w:r>
          </w:p>
        </w:tc>
        <w:tc>
          <w:tcPr>
            <w:tcW w:type="dxa" w:w="6560"/>
            <w:vAlign w:val="center"/>
            <w:tcMar>
              <w:top w:w="80" w:type="dxa"/>
              <w:start w:w="120" w:type="dxa"/>
              <w:bottom w:w="80" w:type="dxa"/>
              <w:end w:w="120" w:type="dxa"/>
            </w:tcMar>
          </w:tcPr>
          <w:p>
            <w:pPr>
              <w:spacing w:after="0"/>
            </w:pPr>
            <w:r>
              <w:rPr>
                <w:rFonts w:ascii="Calibri" w:hAnsi="Calibri"/>
                <w:color w:val="182230"/>
                <w:sz w:val="18"/>
              </w:rPr>
              <w:t>Mobile phones, processing, FED, services, EV, cement, chemicals, CNG, SRO, and pharmaceuticals</w:t>
            </w:r>
          </w:p>
        </w:tc>
      </w:tr>
      <w:tr>
        <w:tc>
          <w:tcPr>
            <w:tcW w:type="dxa" w:w="2800"/>
            <w:vAlign w:val="center"/>
            <w:tcMar>
              <w:top w:w="80" w:type="dxa"/>
              <w:start w:w="120" w:type="dxa"/>
              <w:bottom w:w="80" w:type="dxa"/>
              <w:end w:w="120" w:type="dxa"/>
            </w:tcMar>
          </w:tcPr>
          <w:p>
            <w:pPr>
              <w:spacing w:after="0"/>
            </w:pPr>
            <w:r>
              <w:rPr>
                <w:rFonts w:ascii="Calibri" w:hAnsi="Calibri"/>
                <w:color w:val="182230"/>
                <w:sz w:val="18"/>
              </w:rPr>
              <w:t>SN026-SN028</w:t>
            </w:r>
          </w:p>
        </w:tc>
        <w:tc>
          <w:tcPr>
            <w:tcW w:type="dxa" w:w="6560"/>
            <w:vAlign w:val="center"/>
            <w:tcMar>
              <w:top w:w="80" w:type="dxa"/>
              <w:start w:w="120" w:type="dxa"/>
              <w:bottom w:w="80" w:type="dxa"/>
              <w:end w:w="120" w:type="dxa"/>
            </w:tcMar>
          </w:tcPr>
          <w:p>
            <w:pPr>
              <w:spacing w:after="0"/>
            </w:pPr>
            <w:r>
              <w:rPr>
                <w:rFonts w:ascii="Calibri" w:hAnsi="Calibri"/>
                <w:color w:val="182230"/>
                <w:sz w:val="18"/>
              </w:rPr>
              <w:t>Retailer sales to end consumers at standard, Third Schedule, or reduced rate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CC"/>
          </w:tcPr>
          <w:p>
            <w:pPr>
              <w:spacing w:after="40"/>
            </w:pPr>
            <w:r>
              <w:rPr>
                <w:rFonts w:ascii="Calibri" w:hAnsi="Calibri"/>
                <w:b/>
                <w:color w:val="7A5A00"/>
              </w:rPr>
              <w:t xml:space="preserve">Do not use a fixed universal count: </w:t>
            </w:r>
            <w:r>
              <w:rPr>
                <w:rFonts w:ascii="Calibri" w:hAnsi="Calibri"/>
                <w:color w:val="7A5A00"/>
              </w:rPr>
              <w:t>The older project onboarding draft mentions nine scenarios, while the current platform contains thirteen prepared fixtures. Neither number replaces the official business-nature/sector matrix. Certification is complete only when every scenario applicable to this specific client has passed.</w:t>
            </w:r>
          </w:p>
        </w:tc>
      </w:tr>
    </w:tbl>
    <w:p>
      <w:pPr>
        <w:spacing w:after="20"/>
      </w:pPr>
    </w:p>
    <w:p>
      <w:pPr>
        <w:pStyle w:val="Heading2"/>
      </w:pPr>
      <w:r>
        <w:t>Scenario confirmation record</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vAlign w:val="center"/>
            <w:tcMar>
              <w:top w:w="80" w:type="dxa"/>
              <w:start w:w="120" w:type="dxa"/>
              <w:bottom w:w="80" w:type="dxa"/>
              <w:end w:w="120" w:type="dxa"/>
            </w:tcMar>
          </w:tcPr>
          <w:p>
            <w:pPr>
              <w:spacing w:after="0"/>
              <w:jc w:val="left"/>
            </w:pPr>
            <w:r>
              <w:rPr>
                <w:rFonts w:ascii="Calibri" w:hAnsi="Calibri"/>
                <w:b/>
                <w:color w:val="0B2545"/>
                <w:sz w:val="19"/>
              </w:rPr>
              <w:t>Field</w:t>
            </w:r>
          </w:p>
        </w:tc>
        <w:tc>
          <w:tcPr>
            <w:tcW w:type="dxa" w:w="6260"/>
            <w:shd w:fill="E8EEF5"/>
            <w:vAlign w:val="center"/>
            <w:tcMar>
              <w:top w:w="80" w:type="dxa"/>
              <w:start w:w="120" w:type="dxa"/>
              <w:bottom w:w="80" w:type="dxa"/>
              <w:end w:w="120" w:type="dxa"/>
            </w:tcMar>
          </w:tcPr>
          <w:p>
            <w:pPr>
              <w:spacing w:after="0"/>
              <w:jc w:val="left"/>
            </w:pPr>
            <w:r>
              <w:rPr>
                <w:rFonts w:ascii="Calibri" w:hAnsi="Calibri"/>
                <w:b/>
                <w:color w:val="0B2545"/>
                <w:sz w:val="19"/>
              </w:rPr>
              <w:t>Client/Techionik entry</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Business nature selected in IRIS</w:t>
            </w:r>
          </w:p>
        </w:tc>
        <w:tc>
          <w:tcPr>
            <w:tcW w:type="dxa" w:w="62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Primary sector selected in IRIS</w:t>
            </w:r>
          </w:p>
        </w:tc>
        <w:tc>
          <w:tcPr>
            <w:tcW w:type="dxa" w:w="62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Applicable scenario IDs</w:t>
            </w:r>
          </w:p>
        </w:tc>
        <w:tc>
          <w:tcPr>
            <w:tcW w:type="dxa" w:w="62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Confirmed by client</w:t>
            </w:r>
          </w:p>
        </w:tc>
        <w:tc>
          <w:tcPr>
            <w:tcW w:type="dxa" w:w="6260"/>
            <w:vAlign w:val="center"/>
            <w:tcMar>
              <w:top w:w="80" w:type="dxa"/>
              <w:start w:w="120" w:type="dxa"/>
              <w:bottom w:w="80" w:type="dxa"/>
              <w:end w:w="120" w:type="dxa"/>
            </w:tcMar>
          </w:tcPr>
          <w:p>
            <w:pPr>
              <w:spacing w:after="0"/>
            </w:pPr>
            <w:r>
              <w:rPr>
                <w:rFonts w:ascii="Calibri" w:hAnsi="Calibri"/>
                <w:color w:val="182230"/>
                <w:sz w:val="19"/>
              </w:rPr>
              <w:t>Name: __________________  Date: ______________</w:t>
            </w:r>
          </w:p>
        </w:tc>
      </w:tr>
      <w:tr>
        <w:tc>
          <w:tcPr>
            <w:tcW w:type="dxa" w:w="3100"/>
            <w:vAlign w:val="center"/>
            <w:tcMar>
              <w:top w:w="80" w:type="dxa"/>
              <w:start w:w="120" w:type="dxa"/>
              <w:bottom w:w="80" w:type="dxa"/>
              <w:end w:w="120" w:type="dxa"/>
            </w:tcMar>
          </w:tcPr>
          <w:p>
            <w:pPr>
              <w:spacing w:after="0"/>
            </w:pPr>
            <w:r>
              <w:rPr>
                <w:rFonts w:ascii="Calibri" w:hAnsi="Calibri"/>
                <w:color w:val="182230"/>
                <w:sz w:val="19"/>
              </w:rPr>
              <w:t>Reviewed by Techionik</w:t>
            </w:r>
          </w:p>
        </w:tc>
        <w:tc>
          <w:tcPr>
            <w:tcW w:type="dxa" w:w="6260"/>
            <w:vAlign w:val="center"/>
            <w:tcMar>
              <w:top w:w="80" w:type="dxa"/>
              <w:start w:w="120" w:type="dxa"/>
              <w:bottom w:w="80" w:type="dxa"/>
              <w:end w:w="120" w:type="dxa"/>
            </w:tcMar>
          </w:tcPr>
          <w:p>
            <w:pPr>
              <w:spacing w:after="0"/>
            </w:pPr>
            <w:r>
              <w:rPr>
                <w:rFonts w:ascii="Calibri" w:hAnsi="Calibri"/>
                <w:color w:val="182230"/>
                <w:sz w:val="19"/>
              </w:rPr>
              <w:t>Name: __________________  Date: ______________</w:t>
            </w:r>
          </w:p>
        </w:tc>
      </w:tr>
    </w:tbl>
    <w:p>
      <w:pPr>
        <w:spacing w:after="40"/>
      </w:pPr>
    </w:p>
    <w:p>
      <w:pPr>
        <w:pStyle w:val="Heading1"/>
      </w:pPr>
      <w:r>
        <w:t>8. Client Acceptance Testing</w:t>
      </w:r>
    </w:p>
    <w:p>
      <w:r>
        <w:rPr>
          <w:rFonts w:ascii="Calibri" w:hAnsi="Calibri"/>
          <w:i w:val="0"/>
          <w:color w:val="182230"/>
        </w:rPr>
        <w:t>After Techionik completes the applicable PRAL fixture set, the client should create representative sandbox invoices using its own mapped products and approved buyer data.</w:t>
      </w:r>
    </w:p>
    <w:tbl>
      <w:tblPr>
        <w:tblStyle w:val="TableGrid"/>
        <w:tblW w:type="dxa" w:w="9360"/>
        <w:jc w:val="left"/>
        <w:tblLayout w:type="fixed"/>
        <w:tblLook w:firstColumn="1" w:firstRow="1" w:lastColumn="0" w:lastRow="0" w:noHBand="0" w:noVBand="1" w:val="04A0"/>
        <w:tblInd w:w="120" w:type="dxa"/>
      </w:tblPr>
      <w:tblGrid>
        <w:gridCol w:w="850"/>
        <w:gridCol w:w="8510"/>
      </w:tblGrid>
      <w:tr>
        <w:trPr>
          <w:tblHeader w:val="true"/>
        </w:trPr>
        <w:tc>
          <w:tcPr>
            <w:tcW w:type="dxa" w:w="850"/>
            <w:shd w:fill="E8EEF5"/>
            <w:vAlign w:val="center"/>
            <w:tcMar>
              <w:top w:w="80" w:type="dxa"/>
              <w:start w:w="120" w:type="dxa"/>
              <w:bottom w:w="80" w:type="dxa"/>
              <w:end w:w="120" w:type="dxa"/>
            </w:tcMar>
          </w:tcPr>
          <w:p>
            <w:pPr>
              <w:spacing w:after="0"/>
              <w:jc w:val="left"/>
            </w:pPr>
            <w:r>
              <w:rPr>
                <w:rFonts w:ascii="Calibri" w:hAnsi="Calibri"/>
                <w:b/>
                <w:color w:val="0B2545"/>
                <w:sz w:val="18"/>
              </w:rPr>
              <w:t>Done</w:t>
            </w:r>
          </w:p>
        </w:tc>
        <w:tc>
          <w:tcPr>
            <w:tcW w:type="dxa" w:w="8510"/>
            <w:shd w:fill="E8EEF5"/>
            <w:vAlign w:val="center"/>
            <w:tcMar>
              <w:top w:w="80" w:type="dxa"/>
              <w:start w:w="120" w:type="dxa"/>
              <w:bottom w:w="80" w:type="dxa"/>
              <w:end w:w="120" w:type="dxa"/>
            </w:tcMar>
          </w:tcPr>
          <w:p>
            <w:pPr>
              <w:spacing w:after="0"/>
              <w:jc w:val="left"/>
            </w:pPr>
            <w:r>
              <w:rPr>
                <w:rFonts w:ascii="Calibri" w:hAnsi="Calibri"/>
                <w:b/>
                <w:color w:val="0B2545"/>
                <w:sz w:val="18"/>
              </w:rPr>
              <w:t>Acceptance check</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Seller name, NTN/CNIC, province, and address match FBR records.</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Registered and/or unregistered buyer paths work as required.</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Products resolve to expected HS code, UOM, sale type, and tax treatment.</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Calculated quantities, values, taxes, and totals match the expected commercial invoice.</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Validation errors are understandable and point to the correct field.</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A successful live sandbox submission returns an FBR invoice number.</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Generated invoice/PDF and QR output show the required information.</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Failed/offline flows do not create silent duplicates.</w:t>
            </w:r>
          </w:p>
        </w:tc>
      </w:tr>
      <w:tr>
        <w:tc>
          <w:tcPr>
            <w:tcW w:type="dxa" w:w="850"/>
            <w:vAlign w:val="center"/>
            <w:tcMar>
              <w:top w:w="80" w:type="dxa"/>
              <w:start w:w="120" w:type="dxa"/>
              <w:bottom w:w="80" w:type="dxa"/>
              <w:end w:w="120" w:type="dxa"/>
            </w:tcMar>
          </w:tcPr>
          <w:p>
            <w:pPr>
              <w:spacing w:after="0"/>
            </w:pPr>
            <w:r>
              <w:rPr>
                <w:rFonts w:ascii="Calibri" w:hAnsi="Calibri"/>
                <w:color w:val="182230"/>
                <w:sz w:val="18"/>
              </w:rPr>
              <w:t>[ ]</w:t>
            </w:r>
          </w:p>
        </w:tc>
        <w:tc>
          <w:tcPr>
            <w:tcW w:type="dxa" w:w="8510"/>
            <w:vAlign w:val="center"/>
            <w:tcMar>
              <w:top w:w="80" w:type="dxa"/>
              <w:start w:w="120" w:type="dxa"/>
              <w:bottom w:w="80" w:type="dxa"/>
              <w:end w:w="120" w:type="dxa"/>
            </w:tcMar>
          </w:tcPr>
          <w:p>
            <w:pPr>
              <w:spacing w:after="0"/>
            </w:pPr>
            <w:r>
              <w:rPr>
                <w:rFonts w:ascii="Calibri" w:hAnsi="Calibri"/>
                <w:color w:val="182230"/>
                <w:sz w:val="18"/>
              </w:rPr>
              <w:t>Authorized client representative accepts the result pack.</w:t>
            </w:r>
          </w:p>
        </w:tc>
      </w:tr>
    </w:tbl>
    <w:p>
      <w:pPr>
        <w:spacing w:after="40"/>
      </w:pPr>
    </w:p>
    <w:p>
      <w:pPr>
        <w:pStyle w:val="Heading1"/>
      </w:pPr>
      <w:r>
        <w:t>9. Live Sandbox Readiness Gate</w:t>
      </w:r>
    </w:p>
    <w:tbl>
      <w:tblPr>
        <w:tblStyle w:val="TableGrid"/>
        <w:tblW w:type="dxa" w:w="9360"/>
        <w:jc w:val="left"/>
        <w:tblLayout w:type="fixed"/>
        <w:tblLook w:firstColumn="1" w:firstRow="1" w:lastColumn="0" w:lastRow="0" w:noHBand="0" w:noVBand="1" w:val="04A0"/>
        <w:tblInd w:w="120" w:type="dxa"/>
      </w:tblPr>
      <w:tblGrid>
        <w:gridCol w:w="2150"/>
        <w:gridCol w:w="5110"/>
        <w:gridCol w:w="2100"/>
      </w:tblGrid>
      <w:tr>
        <w:trPr>
          <w:tblHeader w:val="true"/>
        </w:trPr>
        <w:tc>
          <w:tcPr>
            <w:tcW w:type="dxa" w:w="2150"/>
            <w:shd w:fill="E8EEF5"/>
            <w:vAlign w:val="center"/>
            <w:tcMar>
              <w:top w:w="80" w:type="dxa"/>
              <w:start w:w="120" w:type="dxa"/>
              <w:bottom w:w="80" w:type="dxa"/>
              <w:end w:w="120" w:type="dxa"/>
            </w:tcMar>
          </w:tcPr>
          <w:p>
            <w:pPr>
              <w:spacing w:after="0"/>
              <w:jc w:val="left"/>
            </w:pPr>
            <w:r>
              <w:rPr>
                <w:rFonts w:ascii="Calibri" w:hAnsi="Calibri"/>
                <w:b/>
                <w:color w:val="0B2545"/>
                <w:sz w:val="18"/>
              </w:rPr>
              <w:t>Gate</w:t>
            </w:r>
          </w:p>
        </w:tc>
        <w:tc>
          <w:tcPr>
            <w:tcW w:type="dxa" w:w="5110"/>
            <w:shd w:fill="E8EEF5"/>
            <w:vAlign w:val="center"/>
            <w:tcMar>
              <w:top w:w="80" w:type="dxa"/>
              <w:start w:w="120" w:type="dxa"/>
              <w:bottom w:w="80" w:type="dxa"/>
              <w:end w:w="120" w:type="dxa"/>
            </w:tcMar>
          </w:tcPr>
          <w:p>
            <w:pPr>
              <w:spacing w:after="0"/>
              <w:jc w:val="left"/>
            </w:pPr>
            <w:r>
              <w:rPr>
                <w:rFonts w:ascii="Calibri" w:hAnsi="Calibri"/>
                <w:b/>
                <w:color w:val="0B2545"/>
                <w:sz w:val="18"/>
              </w:rPr>
              <w:t>Pass condition</w:t>
            </w:r>
          </w:p>
        </w:tc>
        <w:tc>
          <w:tcPr>
            <w:tcW w:type="dxa" w:w="2100"/>
            <w:shd w:fill="E8EEF5"/>
            <w:vAlign w:val="center"/>
            <w:tcMar>
              <w:top w:w="80" w:type="dxa"/>
              <w:start w:w="120" w:type="dxa"/>
              <w:bottom w:w="80" w:type="dxa"/>
              <w:end w:w="120" w:type="dxa"/>
            </w:tcMar>
          </w:tcPr>
          <w:p>
            <w:pPr>
              <w:spacing w:after="0"/>
              <w:jc w:val="left"/>
            </w:pPr>
            <w:r>
              <w:rPr>
                <w:rFonts w:ascii="Calibri" w:hAnsi="Calibri"/>
                <w:b/>
                <w:color w:val="0B2545"/>
                <w:sz w:val="18"/>
              </w:rPr>
              <w:t>Owner</w:t>
            </w:r>
          </w:p>
        </w:tc>
      </w:tr>
      <w:tr>
        <w:tc>
          <w:tcPr>
            <w:tcW w:type="dxa" w:w="2150"/>
            <w:vAlign w:val="center"/>
            <w:tcMar>
              <w:top w:w="80" w:type="dxa"/>
              <w:start w:w="120" w:type="dxa"/>
              <w:bottom w:w="80" w:type="dxa"/>
              <w:end w:w="120" w:type="dxa"/>
            </w:tcMar>
          </w:tcPr>
          <w:p>
            <w:pPr>
              <w:spacing w:after="0"/>
            </w:pPr>
            <w:r>
              <w:rPr>
                <w:rFonts w:ascii="Calibri" w:hAnsi="Calibri"/>
                <w:color w:val="182230"/>
                <w:sz w:val="18"/>
              </w:rPr>
              <w:t>Company profile</w:t>
            </w:r>
          </w:p>
        </w:tc>
        <w:tc>
          <w:tcPr>
            <w:tcW w:type="dxa" w:w="5110"/>
            <w:vAlign w:val="center"/>
            <w:tcMar>
              <w:top w:w="80" w:type="dxa"/>
              <w:start w:w="120" w:type="dxa"/>
              <w:bottom w:w="80" w:type="dxa"/>
              <w:end w:w="120" w:type="dxa"/>
            </w:tcMar>
          </w:tcPr>
          <w:p>
            <w:pPr>
              <w:spacing w:after="0"/>
            </w:pPr>
            <w:r>
              <w:rPr>
                <w:rFonts w:ascii="Calibri" w:hAnsi="Calibri"/>
                <w:color w:val="182230"/>
                <w:sz w:val="18"/>
              </w:rPr>
              <w:t>All seller identity/contact fields complete and verified</w:t>
            </w:r>
          </w:p>
        </w:tc>
        <w:tc>
          <w:tcPr>
            <w:tcW w:type="dxa" w:w="2100"/>
            <w:vAlign w:val="center"/>
            <w:tcMar>
              <w:top w:w="80" w:type="dxa"/>
              <w:start w:w="120" w:type="dxa"/>
              <w:bottom w:w="80" w:type="dxa"/>
              <w:end w:w="120" w:type="dxa"/>
            </w:tcMar>
          </w:tcPr>
          <w:p>
            <w:pPr>
              <w:spacing w:after="0"/>
            </w:pPr>
            <w:r>
              <w:rPr>
                <w:rFonts w:ascii="Calibri" w:hAnsi="Calibri"/>
                <w:color w:val="182230"/>
                <w:sz w:val="18"/>
              </w:rPr>
              <w:t>Client + Techionik</w:t>
            </w:r>
          </w:p>
        </w:tc>
      </w:tr>
      <w:tr>
        <w:tc>
          <w:tcPr>
            <w:tcW w:type="dxa" w:w="2150"/>
            <w:vAlign w:val="center"/>
            <w:tcMar>
              <w:top w:w="80" w:type="dxa"/>
              <w:start w:w="120" w:type="dxa"/>
              <w:bottom w:w="80" w:type="dxa"/>
              <w:end w:w="120" w:type="dxa"/>
            </w:tcMar>
          </w:tcPr>
          <w:p>
            <w:pPr>
              <w:spacing w:after="0"/>
            </w:pPr>
            <w:r>
              <w:rPr>
                <w:rFonts w:ascii="Calibri" w:hAnsi="Calibri"/>
                <w:color w:val="182230"/>
                <w:sz w:val="18"/>
              </w:rPr>
              <w:t>IRIS registration</w:t>
            </w:r>
          </w:p>
        </w:tc>
        <w:tc>
          <w:tcPr>
            <w:tcW w:type="dxa" w:w="5110"/>
            <w:vAlign w:val="center"/>
            <w:tcMar>
              <w:top w:w="80" w:type="dxa"/>
              <w:start w:w="120" w:type="dxa"/>
              <w:bottom w:w="80" w:type="dxa"/>
              <w:end w:w="120" w:type="dxa"/>
            </w:tcMar>
          </w:tcPr>
          <w:p>
            <w:pPr>
              <w:spacing w:after="0"/>
            </w:pPr>
            <w:r>
              <w:rPr>
                <w:rFonts w:ascii="Calibri" w:hAnsi="Calibri"/>
                <w:color w:val="182230"/>
                <w:sz w:val="18"/>
              </w:rPr>
              <w:t>Digital Invoicing/API registration submitted</w:t>
            </w:r>
          </w:p>
        </w:tc>
        <w:tc>
          <w:tcPr>
            <w:tcW w:type="dxa" w:w="2100"/>
            <w:vAlign w:val="center"/>
            <w:tcMar>
              <w:top w:w="80" w:type="dxa"/>
              <w:start w:w="120" w:type="dxa"/>
              <w:bottom w:w="80" w:type="dxa"/>
              <w:end w:w="120" w:type="dxa"/>
            </w:tcMar>
          </w:tcPr>
          <w:p>
            <w:pPr>
              <w:spacing w:after="0"/>
            </w:pPr>
            <w:r>
              <w:rPr>
                <w:rFonts w:ascii="Calibri" w:hAnsi="Calibri"/>
                <w:color w:val="182230"/>
                <w:sz w:val="18"/>
              </w:rPr>
              <w:t>Client</w:t>
            </w:r>
          </w:p>
        </w:tc>
      </w:tr>
      <w:tr>
        <w:tc>
          <w:tcPr>
            <w:tcW w:type="dxa" w:w="2150"/>
            <w:vAlign w:val="center"/>
            <w:tcMar>
              <w:top w:w="80" w:type="dxa"/>
              <w:start w:w="120" w:type="dxa"/>
              <w:bottom w:w="80" w:type="dxa"/>
              <w:end w:w="120" w:type="dxa"/>
            </w:tcMar>
          </w:tcPr>
          <w:p>
            <w:pPr>
              <w:spacing w:after="0"/>
            </w:pPr>
            <w:r>
              <w:rPr>
                <w:rFonts w:ascii="Calibri" w:hAnsi="Calibri"/>
                <w:color w:val="182230"/>
                <w:sz w:val="18"/>
              </w:rPr>
              <w:t>IP whitelist</w:t>
            </w:r>
          </w:p>
        </w:tc>
        <w:tc>
          <w:tcPr>
            <w:tcW w:type="dxa" w:w="5110"/>
            <w:vAlign w:val="center"/>
            <w:tcMar>
              <w:top w:w="80" w:type="dxa"/>
              <w:start w:w="120" w:type="dxa"/>
              <w:bottom w:w="80" w:type="dxa"/>
              <w:end w:w="120" w:type="dxa"/>
            </w:tcMar>
          </w:tcPr>
          <w:p>
            <w:pPr>
              <w:spacing w:after="0"/>
            </w:pPr>
            <w:r>
              <w:rPr>
                <w:rFonts w:ascii="Calibri" w:hAnsi="Calibri"/>
                <w:color w:val="182230"/>
                <w:sz w:val="18"/>
              </w:rPr>
              <w:t>Deployed server outbound IP approved</w:t>
            </w:r>
          </w:p>
        </w:tc>
        <w:tc>
          <w:tcPr>
            <w:tcW w:type="dxa" w:w="2100"/>
            <w:vAlign w:val="center"/>
            <w:tcMar>
              <w:top w:w="80" w:type="dxa"/>
              <w:start w:w="120" w:type="dxa"/>
              <w:bottom w:w="80" w:type="dxa"/>
              <w:end w:w="120" w:type="dxa"/>
            </w:tcMar>
          </w:tcPr>
          <w:p>
            <w:pPr>
              <w:spacing w:after="0"/>
            </w:pPr>
            <w:r>
              <w:rPr>
                <w:rFonts w:ascii="Calibri" w:hAnsi="Calibri"/>
                <w:color w:val="182230"/>
                <w:sz w:val="18"/>
              </w:rPr>
              <w:t>Client + PRAL</w:t>
            </w:r>
          </w:p>
        </w:tc>
      </w:tr>
      <w:tr>
        <w:tc>
          <w:tcPr>
            <w:tcW w:type="dxa" w:w="2150"/>
            <w:vAlign w:val="center"/>
            <w:tcMar>
              <w:top w:w="80" w:type="dxa"/>
              <w:start w:w="120" w:type="dxa"/>
              <w:bottom w:w="80" w:type="dxa"/>
              <w:end w:w="120" w:type="dxa"/>
            </w:tcMar>
          </w:tcPr>
          <w:p>
            <w:pPr>
              <w:spacing w:after="0"/>
            </w:pPr>
            <w:r>
              <w:rPr>
                <w:rFonts w:ascii="Calibri" w:hAnsi="Calibri"/>
                <w:color w:val="182230"/>
                <w:sz w:val="18"/>
              </w:rPr>
              <w:t>Sandbox token</w:t>
            </w:r>
          </w:p>
        </w:tc>
        <w:tc>
          <w:tcPr>
            <w:tcW w:type="dxa" w:w="5110"/>
            <w:vAlign w:val="center"/>
            <w:tcMar>
              <w:top w:w="80" w:type="dxa"/>
              <w:start w:w="120" w:type="dxa"/>
              <w:bottom w:w="80" w:type="dxa"/>
              <w:end w:w="120" w:type="dxa"/>
            </w:tcMar>
          </w:tcPr>
          <w:p>
            <w:pPr>
              <w:spacing w:after="0"/>
            </w:pPr>
            <w:r>
              <w:rPr>
                <w:rFonts w:ascii="Calibri" w:hAnsi="Calibri"/>
                <w:color w:val="182230"/>
                <w:sz w:val="18"/>
              </w:rPr>
              <w:t>Correct company token securely configured</w:t>
            </w:r>
          </w:p>
        </w:tc>
        <w:tc>
          <w:tcPr>
            <w:tcW w:type="dxa" w:w="2100"/>
            <w:vAlign w:val="center"/>
            <w:tcMar>
              <w:top w:w="80" w:type="dxa"/>
              <w:start w:w="120" w:type="dxa"/>
              <w:bottom w:w="80" w:type="dxa"/>
              <w:end w:w="120" w:type="dxa"/>
            </w:tcMar>
          </w:tcPr>
          <w:p>
            <w:pPr>
              <w:spacing w:after="0"/>
            </w:pPr>
            <w:r>
              <w:rPr>
                <w:rFonts w:ascii="Calibri" w:hAnsi="Calibri"/>
                <w:color w:val="182230"/>
                <w:sz w:val="18"/>
              </w:rPr>
              <w:t>Client + Techionik</w:t>
            </w:r>
          </w:p>
        </w:tc>
      </w:tr>
      <w:tr>
        <w:tc>
          <w:tcPr>
            <w:tcW w:type="dxa" w:w="2150"/>
            <w:vAlign w:val="center"/>
            <w:tcMar>
              <w:top w:w="80" w:type="dxa"/>
              <w:start w:w="120" w:type="dxa"/>
              <w:bottom w:w="80" w:type="dxa"/>
              <w:end w:w="120" w:type="dxa"/>
            </w:tcMar>
          </w:tcPr>
          <w:p>
            <w:pPr>
              <w:spacing w:after="0"/>
            </w:pPr>
            <w:r>
              <w:rPr>
                <w:rFonts w:ascii="Calibri" w:hAnsi="Calibri"/>
                <w:color w:val="182230"/>
                <w:sz w:val="18"/>
              </w:rPr>
              <w:t>Environment</w:t>
            </w:r>
          </w:p>
        </w:tc>
        <w:tc>
          <w:tcPr>
            <w:tcW w:type="dxa" w:w="5110"/>
            <w:vAlign w:val="center"/>
            <w:tcMar>
              <w:top w:w="80" w:type="dxa"/>
              <w:start w:w="120" w:type="dxa"/>
              <w:bottom w:w="80" w:type="dxa"/>
              <w:end w:w="120" w:type="dxa"/>
            </w:tcMar>
          </w:tcPr>
          <w:p>
            <w:pPr>
              <w:spacing w:after="0"/>
            </w:pPr>
            <w:r>
              <w:rPr>
                <w:rFonts w:ascii="Calibri" w:hAnsi="Calibri"/>
                <w:color w:val="182230"/>
                <w:sz w:val="18"/>
              </w:rPr>
              <w:t>Sandbox selected and Mock disabled</w:t>
            </w:r>
          </w:p>
        </w:tc>
        <w:tc>
          <w:tcPr>
            <w:tcW w:type="dxa" w:w="2100"/>
            <w:vAlign w:val="center"/>
            <w:tcMar>
              <w:top w:w="80" w:type="dxa"/>
              <w:start w:w="120" w:type="dxa"/>
              <w:bottom w:w="80" w:type="dxa"/>
              <w:end w:w="120" w:type="dxa"/>
            </w:tcMar>
          </w:tcPr>
          <w:p>
            <w:pPr>
              <w:spacing w:after="0"/>
            </w:pPr>
            <w:r>
              <w:rPr>
                <w:rFonts w:ascii="Calibri" w:hAnsi="Calibri"/>
                <w:color w:val="182230"/>
                <w:sz w:val="18"/>
              </w:rPr>
              <w:t>Techionik</w:t>
            </w:r>
          </w:p>
        </w:tc>
      </w:tr>
      <w:tr>
        <w:tc>
          <w:tcPr>
            <w:tcW w:type="dxa" w:w="2150"/>
            <w:vAlign w:val="center"/>
            <w:tcMar>
              <w:top w:w="80" w:type="dxa"/>
              <w:start w:w="120" w:type="dxa"/>
              <w:bottom w:w="80" w:type="dxa"/>
              <w:end w:w="120" w:type="dxa"/>
            </w:tcMar>
          </w:tcPr>
          <w:p>
            <w:pPr>
              <w:spacing w:after="0"/>
            </w:pPr>
            <w:r>
              <w:rPr>
                <w:rFonts w:ascii="Calibri" w:hAnsi="Calibri"/>
                <w:color w:val="182230"/>
                <w:sz w:val="18"/>
              </w:rPr>
              <w:t>Master data</w:t>
            </w:r>
          </w:p>
        </w:tc>
        <w:tc>
          <w:tcPr>
            <w:tcW w:type="dxa" w:w="5110"/>
            <w:vAlign w:val="center"/>
            <w:tcMar>
              <w:top w:w="80" w:type="dxa"/>
              <w:start w:w="120" w:type="dxa"/>
              <w:bottom w:w="80" w:type="dxa"/>
              <w:end w:w="120" w:type="dxa"/>
            </w:tcMar>
          </w:tcPr>
          <w:p>
            <w:pPr>
              <w:spacing w:after="0"/>
            </w:pPr>
            <w:r>
              <w:rPr>
                <w:rFonts w:ascii="Calibri" w:hAnsi="Calibri"/>
                <w:color w:val="182230"/>
                <w:sz w:val="18"/>
              </w:rPr>
              <w:t>Required products/buyers mapped and reviewed</w:t>
            </w:r>
          </w:p>
        </w:tc>
        <w:tc>
          <w:tcPr>
            <w:tcW w:type="dxa" w:w="2100"/>
            <w:vAlign w:val="center"/>
            <w:tcMar>
              <w:top w:w="80" w:type="dxa"/>
              <w:start w:w="120" w:type="dxa"/>
              <w:bottom w:w="80" w:type="dxa"/>
              <w:end w:w="120" w:type="dxa"/>
            </w:tcMar>
          </w:tcPr>
          <w:p>
            <w:pPr>
              <w:spacing w:after="0"/>
            </w:pPr>
            <w:r>
              <w:rPr>
                <w:rFonts w:ascii="Calibri" w:hAnsi="Calibri"/>
                <w:color w:val="182230"/>
                <w:sz w:val="18"/>
              </w:rPr>
              <w:t>Client + Techionik</w:t>
            </w:r>
          </w:p>
        </w:tc>
      </w:tr>
      <w:tr>
        <w:tc>
          <w:tcPr>
            <w:tcW w:type="dxa" w:w="2150"/>
            <w:vAlign w:val="center"/>
            <w:tcMar>
              <w:top w:w="80" w:type="dxa"/>
              <w:start w:w="120" w:type="dxa"/>
              <w:bottom w:w="80" w:type="dxa"/>
              <w:end w:w="120" w:type="dxa"/>
            </w:tcMar>
          </w:tcPr>
          <w:p>
            <w:pPr>
              <w:spacing w:after="0"/>
            </w:pPr>
            <w:r>
              <w:rPr>
                <w:rFonts w:ascii="Calibri" w:hAnsi="Calibri"/>
                <w:color w:val="182230"/>
                <w:sz w:val="18"/>
              </w:rPr>
              <w:t>Fixtures</w:t>
            </w:r>
          </w:p>
        </w:tc>
        <w:tc>
          <w:tcPr>
            <w:tcW w:type="dxa" w:w="5110"/>
            <w:vAlign w:val="center"/>
            <w:tcMar>
              <w:top w:w="80" w:type="dxa"/>
              <w:start w:w="120" w:type="dxa"/>
              <w:bottom w:w="80" w:type="dxa"/>
              <w:end w:w="120" w:type="dxa"/>
            </w:tcMar>
          </w:tcPr>
          <w:p>
            <w:pPr>
              <w:spacing w:after="0"/>
            </w:pPr>
            <w:r>
              <w:rPr>
                <w:rFonts w:ascii="Calibri" w:hAnsi="Calibri"/>
                <w:color w:val="182230"/>
                <w:sz w:val="18"/>
              </w:rPr>
              <w:t>Every applicable scenario has a prepared payload</w:t>
            </w:r>
          </w:p>
        </w:tc>
        <w:tc>
          <w:tcPr>
            <w:tcW w:type="dxa" w:w="2100"/>
            <w:vAlign w:val="center"/>
            <w:tcMar>
              <w:top w:w="80" w:type="dxa"/>
              <w:start w:w="120" w:type="dxa"/>
              <w:bottom w:w="80" w:type="dxa"/>
              <w:end w:w="120" w:type="dxa"/>
            </w:tcMar>
          </w:tcPr>
          <w:p>
            <w:pPr>
              <w:spacing w:after="0"/>
            </w:pPr>
            <w:r>
              <w:rPr>
                <w:rFonts w:ascii="Calibri" w:hAnsi="Calibri"/>
                <w:color w:val="182230"/>
                <w:sz w:val="18"/>
              </w:rPr>
              <w:t>Techionik</w:t>
            </w:r>
          </w:p>
        </w:tc>
      </w:tr>
      <w:tr>
        <w:tc>
          <w:tcPr>
            <w:tcW w:type="dxa" w:w="2150"/>
            <w:vAlign w:val="center"/>
            <w:tcMar>
              <w:top w:w="80" w:type="dxa"/>
              <w:start w:w="120" w:type="dxa"/>
              <w:bottom w:w="80" w:type="dxa"/>
              <w:end w:w="120" w:type="dxa"/>
            </w:tcMar>
          </w:tcPr>
          <w:p>
            <w:pPr>
              <w:spacing w:after="0"/>
            </w:pPr>
            <w:r>
              <w:rPr>
                <w:rFonts w:ascii="Calibri" w:hAnsi="Calibri"/>
                <w:color w:val="182230"/>
                <w:sz w:val="18"/>
              </w:rPr>
              <w:t>Availability</w:t>
            </w:r>
          </w:p>
        </w:tc>
        <w:tc>
          <w:tcPr>
            <w:tcW w:type="dxa" w:w="5110"/>
            <w:vAlign w:val="center"/>
            <w:tcMar>
              <w:top w:w="80" w:type="dxa"/>
              <w:start w:w="120" w:type="dxa"/>
              <w:bottom w:w="80" w:type="dxa"/>
              <w:end w:w="120" w:type="dxa"/>
            </w:tcMar>
          </w:tcPr>
          <w:p>
            <w:pPr>
              <w:spacing w:after="0"/>
            </w:pPr>
            <w:r>
              <w:rPr>
                <w:rFonts w:ascii="Calibri" w:hAnsi="Calibri"/>
                <w:color w:val="182230"/>
                <w:sz w:val="18"/>
              </w:rPr>
              <w:t>Client contact is available to answer tax/data questions</w:t>
            </w:r>
          </w:p>
        </w:tc>
        <w:tc>
          <w:tcPr>
            <w:tcW w:type="dxa" w:w="2100"/>
            <w:vAlign w:val="center"/>
            <w:tcMar>
              <w:top w:w="80" w:type="dxa"/>
              <w:start w:w="120" w:type="dxa"/>
              <w:bottom w:w="80" w:type="dxa"/>
              <w:end w:w="120" w:type="dxa"/>
            </w:tcMar>
          </w:tcPr>
          <w:p>
            <w:pPr>
              <w:spacing w:after="0"/>
            </w:pPr>
            <w:r>
              <w:rPr>
                <w:rFonts w:ascii="Calibri" w:hAnsi="Calibri"/>
                <w:color w:val="182230"/>
                <w:sz w:val="18"/>
              </w:rPr>
              <w:t>Client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DE8E7"/>
          </w:tcPr>
          <w:p>
            <w:pPr>
              <w:spacing w:after="40"/>
            </w:pPr>
            <w:r>
              <w:rPr>
                <w:rFonts w:ascii="Calibri" w:hAnsi="Calibri"/>
                <w:b/>
                <w:color w:val="9B1C1C"/>
              </w:rPr>
              <w:t xml:space="preserve">Go/no-go rule: </w:t>
            </w:r>
            <w:r>
              <w:rPr>
                <w:rFonts w:ascii="Calibri" w:hAnsi="Calibri"/>
                <w:color w:val="9B1C1C"/>
              </w:rPr>
              <w:t>Do not run live PRAL scenarios if the token is missing, Mock mode is still enabled, the outbound IP is not approved, or the applicable scenario matrix is incomplete.</w:t>
            </w:r>
          </w:p>
        </w:tc>
      </w:tr>
    </w:tbl>
    <w:p>
      <w:pPr>
        <w:spacing w:after="20"/>
      </w:pPr>
    </w:p>
    <w:p>
      <w:pPr>
        <w:pStyle w:val="Heading1"/>
      </w:pPr>
      <w:r>
        <w:t>10. Evidence and Sign-Off</w:t>
      </w:r>
    </w:p>
    <w:p>
      <w:r>
        <w:rPr>
          <w:rFonts w:ascii="Calibri" w:hAnsi="Calibri"/>
          <w:i w:val="0"/>
          <w:color w:val="182230"/>
        </w:rPr>
        <w:t>Techionik should provide the client with a sandbox result pack containing the run date, environment, applicable scenario IDs, pass/fail status, returned FBR invoice numbers, masked request/response evidence, unresolved issues, and the final recommendation.</w:t>
      </w:r>
    </w:p>
    <w:tbl>
      <w:tblPr>
        <w:tblStyle w:val="TableGrid"/>
        <w:tblW w:type="dxa" w:w="9360"/>
        <w:jc w:val="left"/>
        <w:tblLayout w:type="fixed"/>
        <w:tblLook w:firstColumn="1" w:firstRow="1" w:lastColumn="0" w:lastRow="0" w:noHBand="0" w:noVBand="1" w:val="04A0"/>
        <w:tblInd w:w="120" w:type="dxa"/>
      </w:tblPr>
      <w:tblGrid>
        <w:gridCol w:w="4300"/>
        <w:gridCol w:w="5060"/>
      </w:tblGrid>
      <w:tr>
        <w:trPr>
          <w:tblHeader w:val="true"/>
        </w:trPr>
        <w:tc>
          <w:tcPr>
            <w:tcW w:type="dxa" w:w="4300"/>
            <w:shd w:fill="E8EEF5"/>
            <w:vAlign w:val="center"/>
            <w:tcMar>
              <w:top w:w="80" w:type="dxa"/>
              <w:start w:w="120" w:type="dxa"/>
              <w:bottom w:w="80" w:type="dxa"/>
              <w:end w:w="120" w:type="dxa"/>
            </w:tcMar>
          </w:tcPr>
          <w:p>
            <w:pPr>
              <w:spacing w:after="0"/>
              <w:jc w:val="left"/>
            </w:pPr>
            <w:r>
              <w:rPr>
                <w:rFonts w:ascii="Calibri" w:hAnsi="Calibri"/>
                <w:b/>
                <w:color w:val="0B2545"/>
                <w:sz w:val="19"/>
              </w:rPr>
              <w:t>Approval</w:t>
            </w:r>
          </w:p>
        </w:tc>
        <w:tc>
          <w:tcPr>
            <w:tcW w:type="dxa" w:w="5060"/>
            <w:shd w:fill="E8EEF5"/>
            <w:vAlign w:val="center"/>
            <w:tcMar>
              <w:top w:w="80" w:type="dxa"/>
              <w:start w:w="120" w:type="dxa"/>
              <w:bottom w:w="80" w:type="dxa"/>
              <w:end w:w="120" w:type="dxa"/>
            </w:tcMar>
          </w:tcPr>
          <w:p>
            <w:pPr>
              <w:spacing w:after="0"/>
              <w:jc w:val="left"/>
            </w:pPr>
            <w:r>
              <w:rPr>
                <w:rFonts w:ascii="Calibri" w:hAnsi="Calibri"/>
                <w:b/>
                <w:color w:val="0B2545"/>
                <w:sz w:val="19"/>
              </w:rPr>
              <w:t>Name / signature / date</w:t>
            </w:r>
          </w:p>
        </w:tc>
      </w:tr>
      <w:tr>
        <w:tc>
          <w:tcPr>
            <w:tcW w:type="dxa" w:w="4300"/>
            <w:vAlign w:val="center"/>
            <w:tcMar>
              <w:top w:w="80" w:type="dxa"/>
              <w:start w:w="120" w:type="dxa"/>
              <w:bottom w:w="80" w:type="dxa"/>
              <w:end w:w="120" w:type="dxa"/>
            </w:tcMar>
          </w:tcPr>
          <w:p>
            <w:pPr>
              <w:spacing w:after="0"/>
            </w:pPr>
            <w:r>
              <w:rPr>
                <w:rFonts w:ascii="Calibri" w:hAnsi="Calibri"/>
                <w:color w:val="182230"/>
                <w:sz w:val="19"/>
              </w:rPr>
              <w:t>Client confirms business identity and tax master data</w:t>
            </w:r>
          </w:p>
        </w:tc>
        <w:tc>
          <w:tcPr>
            <w:tcW w:type="dxa" w:w="50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r>
        <w:tc>
          <w:tcPr>
            <w:tcW w:type="dxa" w:w="4300"/>
            <w:vAlign w:val="center"/>
            <w:tcMar>
              <w:top w:w="80" w:type="dxa"/>
              <w:start w:w="120" w:type="dxa"/>
              <w:bottom w:w="80" w:type="dxa"/>
              <w:end w:w="120" w:type="dxa"/>
            </w:tcMar>
          </w:tcPr>
          <w:p>
            <w:pPr>
              <w:spacing w:after="0"/>
            </w:pPr>
            <w:r>
              <w:rPr>
                <w:rFonts w:ascii="Calibri" w:hAnsi="Calibri"/>
                <w:color w:val="182230"/>
                <w:sz w:val="19"/>
              </w:rPr>
              <w:t>Client confirms IRIS business nature and sector</w:t>
            </w:r>
          </w:p>
        </w:tc>
        <w:tc>
          <w:tcPr>
            <w:tcW w:type="dxa" w:w="50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r>
        <w:tc>
          <w:tcPr>
            <w:tcW w:type="dxa" w:w="4300"/>
            <w:vAlign w:val="center"/>
            <w:tcMar>
              <w:top w:w="80" w:type="dxa"/>
              <w:start w:w="120" w:type="dxa"/>
              <w:bottom w:w="80" w:type="dxa"/>
              <w:end w:w="120" w:type="dxa"/>
            </w:tcMar>
          </w:tcPr>
          <w:p>
            <w:pPr>
              <w:spacing w:after="0"/>
            </w:pPr>
            <w:r>
              <w:rPr>
                <w:rFonts w:ascii="Calibri" w:hAnsi="Calibri"/>
                <w:color w:val="182230"/>
                <w:sz w:val="19"/>
              </w:rPr>
              <w:t>Techionik confirms whitelist/token/preflight readiness</w:t>
            </w:r>
          </w:p>
        </w:tc>
        <w:tc>
          <w:tcPr>
            <w:tcW w:type="dxa" w:w="50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r>
        <w:tc>
          <w:tcPr>
            <w:tcW w:type="dxa" w:w="4300"/>
            <w:vAlign w:val="center"/>
            <w:tcMar>
              <w:top w:w="80" w:type="dxa"/>
              <w:start w:w="120" w:type="dxa"/>
              <w:bottom w:w="80" w:type="dxa"/>
              <w:end w:w="120" w:type="dxa"/>
            </w:tcMar>
          </w:tcPr>
          <w:p>
            <w:pPr>
              <w:spacing w:after="0"/>
            </w:pPr>
            <w:r>
              <w:rPr>
                <w:rFonts w:ascii="Calibri" w:hAnsi="Calibri"/>
                <w:color w:val="182230"/>
                <w:sz w:val="19"/>
              </w:rPr>
              <w:t>Techionik confirms applicable scenarios passed</w:t>
            </w:r>
          </w:p>
        </w:tc>
        <w:tc>
          <w:tcPr>
            <w:tcW w:type="dxa" w:w="50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r>
        <w:tc>
          <w:tcPr>
            <w:tcW w:type="dxa" w:w="4300"/>
            <w:vAlign w:val="center"/>
            <w:tcMar>
              <w:top w:w="80" w:type="dxa"/>
              <w:start w:w="120" w:type="dxa"/>
              <w:bottom w:w="80" w:type="dxa"/>
              <w:end w:w="120" w:type="dxa"/>
            </w:tcMar>
          </w:tcPr>
          <w:p>
            <w:pPr>
              <w:spacing w:after="0"/>
            </w:pPr>
            <w:r>
              <w:rPr>
                <w:rFonts w:ascii="Calibri" w:hAnsi="Calibri"/>
                <w:color w:val="182230"/>
                <w:sz w:val="19"/>
              </w:rPr>
              <w:t>Client accepts sandbox invoice output</w:t>
            </w:r>
          </w:p>
        </w:tc>
        <w:tc>
          <w:tcPr>
            <w:tcW w:type="dxa" w:w="50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r>
        <w:tc>
          <w:tcPr>
            <w:tcW w:type="dxa" w:w="4300"/>
            <w:vAlign w:val="center"/>
            <w:tcMar>
              <w:top w:w="80" w:type="dxa"/>
              <w:start w:w="120" w:type="dxa"/>
              <w:bottom w:w="80" w:type="dxa"/>
              <w:end w:w="120" w:type="dxa"/>
            </w:tcMar>
          </w:tcPr>
          <w:p>
            <w:pPr>
              <w:spacing w:after="0"/>
            </w:pPr>
            <w:r>
              <w:rPr>
                <w:rFonts w:ascii="Calibri" w:hAnsi="Calibri"/>
                <w:color w:val="182230"/>
                <w:sz w:val="19"/>
              </w:rPr>
              <w:t>Client authorizes production-token/go-live preparation</w:t>
            </w:r>
          </w:p>
        </w:tc>
        <w:tc>
          <w:tcPr>
            <w:tcW w:type="dxa" w:w="5060"/>
            <w:vAlign w:val="center"/>
            <w:tcMar>
              <w:top w:w="80" w:type="dxa"/>
              <w:start w:w="120" w:type="dxa"/>
              <w:bottom w:w="80" w:type="dxa"/>
              <w:end w:w="120" w:type="dxa"/>
            </w:tcMar>
          </w:tcPr>
          <w:p>
            <w:pPr>
              <w:spacing w:after="0"/>
            </w:pPr>
            <w:r>
              <w:rPr>
                <w:rFonts w:ascii="Calibri" w:hAnsi="Calibri"/>
                <w:color w:val="182230"/>
                <w:sz w:val="19"/>
              </w:rPr>
              <w:t>____________________________________________</w:t>
            </w:r>
          </w:p>
        </w:tc>
      </w:tr>
    </w:tbl>
    <w:p>
      <w:pPr>
        <w:spacing w:after="40"/>
      </w:pPr>
    </w:p>
    <w:p>
      <w:pPr>
        <w:pStyle w:val="Heading1"/>
      </w:pPr>
      <w:r>
        <w:t>11. Items Not Required for Mock Testing</w:t>
      </w:r>
    </w:p>
    <w:p>
      <w:pPr>
        <w:pStyle w:val="ListBullet"/>
      </w:pPr>
      <w:r>
        <w:rPr>
          <w:rFonts w:ascii="Calibri" w:hAnsi="Calibri"/>
          <w:color w:val="182230"/>
        </w:rPr>
        <w:t>A real PRAL sandbox token.</w:t>
      </w:r>
    </w:p>
    <w:p>
      <w:pPr>
        <w:pStyle w:val="ListBullet"/>
      </w:pPr>
      <w:r>
        <w:rPr>
          <w:rFonts w:ascii="Calibri" w:hAnsi="Calibri"/>
          <w:color w:val="182230"/>
        </w:rPr>
        <w:t>PRAL IP whitelist approval.</w:t>
      </w:r>
    </w:p>
    <w:p>
      <w:pPr>
        <w:pStyle w:val="ListBullet"/>
      </w:pPr>
      <w:r>
        <w:rPr>
          <w:rFonts w:ascii="Calibri" w:hAnsi="Calibri"/>
          <w:color w:val="182230"/>
        </w:rPr>
        <w:t>Live FBR network access.</w:t>
      </w:r>
    </w:p>
    <w:p>
      <w:pPr>
        <w:pStyle w:val="ListBullet"/>
      </w:pPr>
      <w:r>
        <w:rPr>
          <w:rFonts w:ascii="Calibri" w:hAnsi="Calibri"/>
          <w:color w:val="182230"/>
        </w:rPr>
        <w:t>Production token.</w:t>
      </w:r>
    </w:p>
    <w:p>
      <w:r>
        <w:rPr>
          <w:rFonts w:ascii="Calibri" w:hAnsi="Calibri"/>
          <w:i w:val="0"/>
          <w:color w:val="182230"/>
        </w:rPr>
        <w:t>Mock testing can verify tenant setup, user roles, company profile, product/customer flows, calculations, fixture loading, UI behavior, result reporting, and local error/retry workflows. It cannot prove FBR acceptance, token validity, or whitelist connectivity.</w:t>
      </w:r>
    </w:p>
    <w:p>
      <w:pPr>
        <w:pStyle w:val="Heading1"/>
      </w:pPr>
      <w:r>
        <w:t>12. Source and Change-Control Note</w:t>
      </w:r>
    </w:p>
    <w:p>
      <w:pPr>
        <w:pStyle w:val="ListBullet"/>
      </w:pPr>
      <w:r>
        <w:rPr>
          <w:rFonts w:ascii="Calibri" w:hAnsi="Calibri"/>
          <w:color w:val="182230"/>
        </w:rPr>
        <w:t>FBR/PRAL Digital Invoicing User Manual, Document 1.0, June 2025, especially pages 7-10.</w:t>
      </w:r>
    </w:p>
    <w:p>
      <w:pPr>
        <w:pStyle w:val="ListBullet"/>
      </w:pPr>
      <w:r>
        <w:rPr>
          <w:rFonts w:ascii="Calibri" w:hAnsi="Calibri"/>
          <w:color w:val="182230"/>
        </w:rPr>
        <w:t>FBR/PRAL DI API Technical Specification, Document Version 1.0, June 2025, especially pages 45-50.</w:t>
      </w:r>
    </w:p>
    <w:p>
      <w:pPr>
        <w:pStyle w:val="ListBullet"/>
      </w:pPr>
      <w:r>
        <w:rPr>
          <w:rFonts w:ascii="Calibri" w:hAnsi="Calibri"/>
          <w:color w:val="182230"/>
        </w:rPr>
        <w:t>Current Techionik sandbox preflight, settings, onboarding, and scenario result implementation as of 19 June 2026.</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CC"/>
          </w:tcPr>
          <w:p>
            <w:pPr>
              <w:spacing w:after="40"/>
            </w:pPr>
            <w:r>
              <w:rPr>
                <w:rFonts w:ascii="Calibri" w:hAnsi="Calibri"/>
                <w:b/>
                <w:color w:val="7A5A00"/>
              </w:rPr>
              <w:t xml:space="preserve">Revalidation required: </w:t>
            </w:r>
            <w:r>
              <w:rPr>
                <w:rFonts w:ascii="Calibri" w:hAnsi="Calibri"/>
                <w:color w:val="7A5A00"/>
              </w:rPr>
              <w:t>The available official source files are dated June 2025. Before the live session, compare this checklist with the current IRIS/PRAL screens and any newer official circular or technical specification. Record any difference in the onboarding notes.</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8"/>
      </w:rPr>
      <w:t xml:space="preserve">Techionik Digital Invoicing | Page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67085"/>
        <w:sz w:val="18"/>
      </w:rPr>
      <w:t>Client Requirements for Sandbox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Requirements for Sandbox Testing</dc:title>
  <dc:subject>Client-facing PRAL sandbox readiness and data collection checklist</dc:subject>
  <dc:creator>Techionik</dc:creator>
  <cp:keywords>FBR, PRAL, digital invoicing, sandbox, user manual</cp:keywords>
  <dc:description>generated by python-docx</dc:description>
  <cp:lastModifiedBy/>
  <cp:revision>1</cp:revision>
  <dcterms:created xsi:type="dcterms:W3CDTF">2013-12-23T23:15:00Z</dcterms:created>
  <dcterms:modified xsi:type="dcterms:W3CDTF">2013-12-23T23:15:00Z</dcterms:modified>
  <cp:category/>
</cp:coreProperties>
</file>