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drawing>
          <wp:inline xmlns:a="http://schemas.openxmlformats.org/drawingml/2006/main" xmlns:pic="http://schemas.openxmlformats.org/drawingml/2006/picture">
            <wp:extent cx="822960" cy="916552"/>
            <wp:docPr id="1" name="Picture 1" descr="Techionik logo" title="Techionik"/>
            <wp:cNvGraphicFramePr>
              <a:graphicFrameLocks noChangeAspect="1"/>
            </wp:cNvGraphicFramePr>
            <a:graphic>
              <a:graphicData uri="http://schemas.openxmlformats.org/drawingml/2006/picture">
                <pic:pic>
                  <pic:nvPicPr>
                    <pic:cNvPr id="0" name="TechionikIcon.png"/>
                    <pic:cNvPicPr/>
                  </pic:nvPicPr>
                  <pic:blipFill>
                    <a:blip r:embed="rId11"/>
                    <a:stretch>
                      <a:fillRect/>
                    </a:stretch>
                  </pic:blipFill>
                  <pic:spPr>
                    <a:xfrm>
                      <a:off x="0" y="0"/>
                      <a:ext cx="822960" cy="916552"/>
                    </a:xfrm>
                    <a:prstGeom prst="rect"/>
                  </pic:spPr>
                </pic:pic>
              </a:graphicData>
            </a:graphic>
          </wp:inline>
        </w:drawing>
      </w:r>
    </w:p>
    <w:p>
      <w:pPr>
        <w:spacing w:before="560" w:after="320"/>
        <w:jc w:val="center"/>
      </w:pPr>
      <w:r>
        <w:rPr>
          <w:rFonts w:ascii="Calibri" w:hAnsi="Calibri"/>
          <w:b/>
          <w:color w:val="087A3D"/>
          <w:sz w:val="20"/>
        </w:rPr>
        <w:t>TECHIONIK DIGITAL INVOICING</w:t>
      </w:r>
    </w:p>
    <w:p>
      <w:pPr>
        <w:spacing w:after="200"/>
        <w:jc w:val="center"/>
      </w:pPr>
      <w:r>
        <w:rPr>
          <w:rFonts w:ascii="Calibri" w:hAnsi="Calibri"/>
          <w:b/>
          <w:color w:val="0B2545"/>
          <w:sz w:val="58"/>
        </w:rPr>
        <w:t>End-to-End User Manual</w:t>
      </w:r>
    </w:p>
    <w:p>
      <w:pPr>
        <w:spacing w:after="680"/>
        <w:jc w:val="center"/>
      </w:pPr>
      <w:r>
        <w:rPr>
          <w:rFonts w:ascii="Calibri" w:hAnsi="Calibri"/>
          <w:color w:val="667085"/>
          <w:sz w:val="28"/>
        </w:rPr>
        <w:t>From company onboarding and sandbox certification to daily FBR invoice operations</w:t>
      </w:r>
    </w:p>
    <w:p>
      <w:pPr>
        <w:spacing w:before="1640" w:after="120"/>
        <w:jc w:val="center"/>
      </w:pPr>
      <w:r>
        <w:rPr>
          <w:rFonts w:ascii="Calibri" w:hAnsi="Calibri"/>
          <w:b/>
          <w:color w:val="1F4D78"/>
          <w:sz w:val="20"/>
        </w:rPr>
        <w:t>Version 1.0 | 19 June 2026</w:t>
      </w:r>
    </w:p>
    <w:p>
      <w:pPr>
        <w:jc w:val="center"/>
      </w:pPr>
      <w:r>
        <w:rPr>
          <w:rFonts w:ascii="Calibri" w:hAnsi="Calibri"/>
          <w:color w:val="667085"/>
          <w:sz w:val="20"/>
        </w:rPr>
        <w:t>Prepared by Techionik | Digital Invoicing Platform</w:t>
      </w:r>
    </w:p>
    <w:p>
      <w:r>
        <w:br w:type="page"/>
      </w:r>
    </w:p>
    <w:p>
      <w:pPr>
        <w:pStyle w:val="Heading1"/>
      </w:pPr>
      <w:r>
        <w:t>Contents</w:t>
      </w:r>
    </w:p>
    <w:p>
      <w:r>
        <w:rPr>
          <w:rFonts w:ascii="Calibri" w:hAnsi="Calibri"/>
          <w:i w:val="0"/>
          <w:color w:val="182230"/>
        </w:rPr>
        <w:t>Use this guide in sequence during onboarding, then return to individual sections for daily operations and troubleshooting.</w:t>
      </w:r>
    </w:p>
    <w:p>
      <w:pPr>
        <w:pStyle w:val="ListNumber"/>
      </w:pPr>
      <w:r>
        <w:rPr>
          <w:rFonts w:ascii="Calibri" w:hAnsi="Calibri"/>
          <w:b/>
          <w:color w:val="182230"/>
        </w:rPr>
        <w:t>Purpose and operating model</w:t>
      </w:r>
    </w:p>
    <w:p>
      <w:pPr>
        <w:pStyle w:val="ListNumber"/>
      </w:pPr>
      <w:r>
        <w:rPr>
          <w:rFonts w:ascii="Calibri" w:hAnsi="Calibri"/>
          <w:b/>
          <w:color w:val="182230"/>
        </w:rPr>
        <w:t>Roles and access</w:t>
      </w:r>
    </w:p>
    <w:p>
      <w:pPr>
        <w:pStyle w:val="ListNumber"/>
      </w:pPr>
      <w:r>
        <w:rPr>
          <w:rFonts w:ascii="Calibri" w:hAnsi="Calibri"/>
          <w:b/>
          <w:color w:val="182230"/>
        </w:rPr>
        <w:t>Account and company setup</w:t>
      </w:r>
    </w:p>
    <w:p>
      <w:pPr>
        <w:pStyle w:val="ListNumber"/>
      </w:pPr>
      <w:r>
        <w:rPr>
          <w:rFonts w:ascii="Calibri" w:hAnsi="Calibri"/>
          <w:b w:val="0"/>
          <w:color w:val="182230"/>
        </w:rPr>
        <w:t>Onboarding workspace</w:t>
      </w:r>
    </w:p>
    <w:p>
      <w:pPr>
        <w:pStyle w:val="ListNumber"/>
      </w:pPr>
      <w:r>
        <w:rPr>
          <w:rFonts w:ascii="Calibri" w:hAnsi="Calibri"/>
          <w:b w:val="0"/>
          <w:color w:val="182230"/>
        </w:rPr>
        <w:t>Company profile and master data</w:t>
      </w:r>
    </w:p>
    <w:p>
      <w:pPr>
        <w:pStyle w:val="ListNumber"/>
      </w:pPr>
      <w:r>
        <w:rPr>
          <w:rFonts w:ascii="Calibri" w:hAnsi="Calibri"/>
          <w:b w:val="0"/>
          <w:color w:val="182230"/>
        </w:rPr>
        <w:t>Invoice operations</w:t>
      </w:r>
    </w:p>
    <w:p>
      <w:pPr>
        <w:pStyle w:val="ListNumber"/>
      </w:pPr>
      <w:r>
        <w:rPr>
          <w:rFonts w:ascii="Calibri" w:hAnsi="Calibri"/>
          <w:b w:val="0"/>
          <w:color w:val="182230"/>
        </w:rPr>
        <w:t>Dashboard and invoice history</w:t>
      </w:r>
    </w:p>
    <w:p>
      <w:pPr>
        <w:pStyle w:val="ListNumber"/>
      </w:pPr>
      <w:r>
        <w:rPr>
          <w:rFonts w:ascii="Calibri" w:hAnsi="Calibri"/>
          <w:b w:val="0"/>
          <w:color w:val="182230"/>
        </w:rPr>
        <w:t>Offline queue and recovery</w:t>
      </w:r>
    </w:p>
    <w:p>
      <w:pPr>
        <w:pStyle w:val="ListNumber"/>
      </w:pPr>
      <w:r>
        <w:rPr>
          <w:rFonts w:ascii="Calibri" w:hAnsi="Calibri"/>
          <w:b w:val="0"/>
          <w:color w:val="182230"/>
        </w:rPr>
        <w:t>Sandbox testing and certification</w:t>
      </w:r>
    </w:p>
    <w:p>
      <w:pPr>
        <w:pStyle w:val="ListNumber"/>
      </w:pPr>
      <w:r>
        <w:rPr>
          <w:rFonts w:ascii="Calibri" w:hAnsi="Calibri"/>
          <w:b w:val="0"/>
          <w:color w:val="182230"/>
        </w:rPr>
        <w:t>FBR settings and tokens</w:t>
      </w:r>
    </w:p>
    <w:p>
      <w:pPr>
        <w:pStyle w:val="ListNumber"/>
      </w:pPr>
      <w:r>
        <w:rPr>
          <w:rFonts w:ascii="Calibri" w:hAnsi="Calibri"/>
          <w:b w:val="0"/>
          <w:color w:val="182230"/>
        </w:rPr>
        <w:t>Daily operating procedure</w:t>
      </w:r>
    </w:p>
    <w:p>
      <w:pPr>
        <w:pStyle w:val="ListNumber"/>
      </w:pPr>
      <w:r>
        <w:rPr>
          <w:rFonts w:ascii="Calibri" w:hAnsi="Calibri"/>
          <w:b w:val="0"/>
          <w:color w:val="182230"/>
        </w:rPr>
        <w:t>Troubleshooting and support</w:t>
      </w:r>
    </w:p>
    <w:p>
      <w:pPr>
        <w:pStyle w:val="ListNumber"/>
      </w:pPr>
      <w:r>
        <w:rPr>
          <w:rFonts w:ascii="Calibri" w:hAnsi="Calibri"/>
          <w:b w:val="0"/>
          <w:color w:val="182230"/>
        </w:rPr>
        <w:t>Security, audit, and handover</w:t>
      </w:r>
    </w:p>
    <w:p>
      <w:pPr>
        <w:pStyle w:val="ListNumber"/>
      </w:pPr>
      <w:r>
        <w:rPr>
          <w:rFonts w:ascii="Calibri" w:hAnsi="Calibri"/>
          <w:b w:val="0"/>
          <w:color w:val="182230"/>
        </w:rPr>
        <w:t>Glossary and source references</w:t>
      </w:r>
    </w:p>
    <w:p>
      <w:r>
        <w:br w:type="page"/>
      </w:r>
    </w:p>
    <w:p>
      <w:pPr>
        <w:pStyle w:val="Heading1"/>
      </w:pPr>
      <w:r>
        <w:t>1. Purpose and Operating Model</w:t>
      </w:r>
    </w:p>
    <w:p>
      <w:r>
        <w:rPr>
          <w:rFonts w:ascii="Calibri" w:hAnsi="Calibri"/>
          <w:i w:val="0"/>
          <w:color w:val="182230"/>
        </w:rPr>
        <w:t>This manual explains how a business, its staff, and Techionik administrators use the Digital Invoicing platform from initial setup through live FBR submissions. It describes the current application behavior and the operational controls required for reliable use.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8EEF5"/>
          </w:tcPr>
          <w:p>
            <w:pPr>
              <w:spacing w:after="40"/>
            </w:pPr>
            <w:r>
              <w:rPr>
                <w:rFonts w:ascii="Calibri" w:hAnsi="Calibri"/>
                <w:b/>
                <w:color w:val="1F4D78"/>
              </w:rPr>
              <w:t xml:space="preserve">Who the platform serves: </w:t>
            </w:r>
            <w:r>
              <w:rPr>
                <w:rFonts w:ascii="Calibri" w:hAnsi="Calibri"/>
                <w:color w:val="1F4D78"/>
              </w:rPr>
              <w:t>Techionik operates the multi-company platform. Each customer business has a private company workspace. FBR/PRAL remains the external tax authority and API provider; it is not the day-to-day platform user.</w:t>
            </w:r>
          </w:p>
        </w:tc>
      </w:tr>
    </w:tbl>
    <w:p>
      <w:pPr>
        <w:spacing w:after="20"/>
      </w:pPr>
    </w:p>
    <w:p>
      <w:pPr>
        <w:pStyle w:val="Heading2"/>
      </w:pPr>
      <w:r>
        <w:t>How one invoice moves through the system</w:t>
      </w:r>
    </w:p>
    <w:p>
      <w:pPr>
        <w:pStyle w:val="ListNumber"/>
      </w:pPr>
      <w:r>
        <w:rPr>
          <w:rFonts w:ascii="Calibri" w:hAnsi="Calibri"/>
          <w:b/>
          <w:color w:val="182230"/>
        </w:rPr>
        <w:t xml:space="preserve">Select the active company. </w:t>
      </w:r>
      <w:r>
        <w:rPr>
          <w:rFonts w:ascii="Calibri" w:hAnsi="Calibri"/>
          <w:color w:val="182230"/>
        </w:rPr>
        <w:t>All data and FBR credentials are scoped to that company.</w:t>
      </w:r>
    </w:p>
    <w:p>
      <w:pPr>
        <w:pStyle w:val="ListNumber"/>
      </w:pPr>
      <w:r>
        <w:rPr>
          <w:rFonts w:ascii="Calibri" w:hAnsi="Calibri"/>
          <w:b/>
          <w:color w:val="182230"/>
        </w:rPr>
        <w:t xml:space="preserve">Create or upload an invoice. </w:t>
      </w:r>
      <w:r>
        <w:rPr>
          <w:rFonts w:ascii="Calibri" w:hAnsi="Calibri"/>
          <w:color w:val="182230"/>
        </w:rPr>
        <w:t>Seller data comes from the company profile; buyer and product data can be selected from saved records.</w:t>
      </w:r>
    </w:p>
    <w:p>
      <w:pPr>
        <w:pStyle w:val="ListNumber"/>
      </w:pPr>
      <w:r>
        <w:rPr>
          <w:rFonts w:ascii="Calibri" w:hAnsi="Calibri"/>
          <w:b/>
          <w:color w:val="182230"/>
        </w:rPr>
        <w:t xml:space="preserve">Validate the invoice. </w:t>
      </w:r>
      <w:r>
        <w:rPr>
          <w:rFonts w:ascii="Calibri" w:hAnsi="Calibri"/>
          <w:color w:val="182230"/>
        </w:rPr>
        <w:t>The platform checks required fields and sends validation to the selected FBR environment when live mode is enabled.</w:t>
      </w:r>
    </w:p>
    <w:p>
      <w:pPr>
        <w:pStyle w:val="ListNumber"/>
      </w:pPr>
      <w:r>
        <w:rPr>
          <w:rFonts w:ascii="Calibri" w:hAnsi="Calibri"/>
          <w:b/>
          <w:color w:val="182230"/>
        </w:rPr>
        <w:t xml:space="preserve">Submit the invoice. </w:t>
      </w:r>
      <w:r>
        <w:rPr>
          <w:rFonts w:ascii="Calibri" w:hAnsi="Calibri"/>
          <w:color w:val="182230"/>
        </w:rPr>
        <w:t>A successful FBR response returns an invoice number and is stored with the response audit.</w:t>
      </w:r>
    </w:p>
    <w:p>
      <w:pPr>
        <w:pStyle w:val="ListNumber"/>
      </w:pPr>
      <w:r>
        <w:rPr>
          <w:rFonts w:ascii="Calibri" w:hAnsi="Calibri"/>
          <w:b/>
          <w:color w:val="182230"/>
        </w:rPr>
        <w:t xml:space="preserve">Print or download. </w:t>
      </w:r>
      <w:r>
        <w:rPr>
          <w:rFonts w:ascii="Calibri" w:hAnsi="Calibri"/>
          <w:color w:val="182230"/>
        </w:rPr>
        <w:t>The generated invoice displays the FBR invoice number and QR code when available.</w:t>
      </w:r>
    </w:p>
    <w:p>
      <w:pPr>
        <w:pStyle w:val="ListNumber"/>
      </w:pPr>
      <w:r>
        <w:rPr>
          <w:rFonts w:ascii="Calibri" w:hAnsi="Calibri"/>
          <w:b/>
          <w:color w:val="182230"/>
        </w:rPr>
        <w:t xml:space="preserve">Recover failures. </w:t>
      </w:r>
      <w:r>
        <w:rPr>
          <w:rFonts w:ascii="Calibri" w:hAnsi="Calibri"/>
          <w:color w:val="182230"/>
        </w:rPr>
        <w:t>Mapped errors identify the affected field and suggested correction; offline submissions enter the queue for retry.</w:t>
      </w:r>
    </w:p>
    <w:p>
      <w:pPr>
        <w:pStyle w:val="Heading2"/>
      </w:pPr>
      <w:r>
        <w:t>Environment meanings</w:t>
      </w:r>
    </w:p>
    <w:tbl>
      <w:tblPr>
        <w:tblStyle w:val="TableGrid"/>
        <w:tblW w:type="dxa" w:w="9360"/>
        <w:jc w:val="left"/>
        <w:tblLayout w:type="fixed"/>
        <w:tblLook w:firstColumn="1" w:firstRow="1" w:lastColumn="0" w:lastRow="0" w:noHBand="0" w:noVBand="1" w:val="04A0"/>
        <w:tblInd w:w="120" w:type="dxa"/>
      </w:tblPr>
      <w:tblGrid>
        <w:gridCol w:w="1500"/>
        <w:gridCol w:w="3100"/>
        <w:gridCol w:w="4760"/>
      </w:tblGrid>
      <w:tr>
        <w:trPr>
          <w:tblHeader w:val="true"/>
        </w:trPr>
        <w:tc>
          <w:tcPr>
            <w:tcW w:type="dxa" w:w="1500"/>
            <w:shd w:fill="E8EEF5"/>
            <w:vAlign w:val="center"/>
            <w:tcMar>
              <w:top w:w="80" w:type="dxa"/>
              <w:start w:w="120" w:type="dxa"/>
              <w:bottom w:w="80" w:type="dxa"/>
              <w:end w:w="120" w:type="dxa"/>
            </w:tcMar>
          </w:tcPr>
          <w:p>
            <w:pPr>
              <w:spacing w:after="0"/>
              <w:jc w:val="left"/>
            </w:pPr>
            <w:r>
              <w:rPr>
                <w:rFonts w:ascii="Calibri" w:hAnsi="Calibri"/>
                <w:b/>
                <w:color w:val="0B2545"/>
                <w:sz w:val="19"/>
              </w:rPr>
              <w:t>Mode</w:t>
            </w:r>
          </w:p>
        </w:tc>
        <w:tc>
          <w:tcPr>
            <w:tcW w:type="dxa" w:w="3100"/>
            <w:shd w:fill="E8EEF5"/>
            <w:vAlign w:val="center"/>
            <w:tcMar>
              <w:top w:w="80" w:type="dxa"/>
              <w:start w:w="120" w:type="dxa"/>
              <w:bottom w:w="80" w:type="dxa"/>
              <w:end w:w="120" w:type="dxa"/>
            </w:tcMar>
          </w:tcPr>
          <w:p>
            <w:pPr>
              <w:spacing w:after="0"/>
              <w:jc w:val="left"/>
            </w:pPr>
            <w:r>
              <w:rPr>
                <w:rFonts w:ascii="Calibri" w:hAnsi="Calibri"/>
                <w:b/>
                <w:color w:val="0B2545"/>
                <w:sz w:val="19"/>
              </w:rPr>
              <w:t>Purpose</w:t>
            </w:r>
          </w:p>
        </w:tc>
        <w:tc>
          <w:tcPr>
            <w:tcW w:type="dxa" w:w="4760"/>
            <w:shd w:fill="E8EEF5"/>
            <w:vAlign w:val="center"/>
            <w:tcMar>
              <w:top w:w="80" w:type="dxa"/>
              <w:start w:w="120" w:type="dxa"/>
              <w:bottom w:w="80" w:type="dxa"/>
              <w:end w:w="120" w:type="dxa"/>
            </w:tcMar>
          </w:tcPr>
          <w:p>
            <w:pPr>
              <w:spacing w:after="0"/>
              <w:jc w:val="left"/>
            </w:pPr>
            <w:r>
              <w:rPr>
                <w:rFonts w:ascii="Calibri" w:hAnsi="Calibri"/>
                <w:b/>
                <w:color w:val="0B2545"/>
                <w:sz w:val="19"/>
              </w:rPr>
              <w:t>Effect</w:t>
            </w:r>
          </w:p>
        </w:tc>
      </w:tr>
      <w:tr>
        <w:tc>
          <w:tcPr>
            <w:tcW w:type="dxa" w:w="1500"/>
            <w:vAlign w:val="center"/>
            <w:tcMar>
              <w:top w:w="80" w:type="dxa"/>
              <w:start w:w="120" w:type="dxa"/>
              <w:bottom w:w="80" w:type="dxa"/>
              <w:end w:w="120" w:type="dxa"/>
            </w:tcMar>
          </w:tcPr>
          <w:p>
            <w:pPr>
              <w:spacing w:after="0"/>
            </w:pPr>
            <w:r>
              <w:rPr>
                <w:rFonts w:ascii="Calibri" w:hAnsi="Calibri"/>
                <w:color w:val="182230"/>
                <w:sz w:val="19"/>
              </w:rPr>
              <w:t>Mock</w:t>
            </w:r>
          </w:p>
        </w:tc>
        <w:tc>
          <w:tcPr>
            <w:tcW w:type="dxa" w:w="3100"/>
            <w:vAlign w:val="center"/>
            <w:tcMar>
              <w:top w:w="80" w:type="dxa"/>
              <w:start w:w="120" w:type="dxa"/>
              <w:bottom w:w="80" w:type="dxa"/>
              <w:end w:w="120" w:type="dxa"/>
            </w:tcMar>
          </w:tcPr>
          <w:p>
            <w:pPr>
              <w:spacing w:after="0"/>
            </w:pPr>
            <w:r>
              <w:rPr>
                <w:rFonts w:ascii="Calibri" w:hAnsi="Calibri"/>
                <w:color w:val="182230"/>
                <w:sz w:val="19"/>
              </w:rPr>
              <w:t>Internal demonstrations and UI checks</w:t>
            </w:r>
          </w:p>
        </w:tc>
        <w:tc>
          <w:tcPr>
            <w:tcW w:type="dxa" w:w="4760"/>
            <w:vAlign w:val="center"/>
            <w:tcMar>
              <w:top w:w="80" w:type="dxa"/>
              <w:start w:w="120" w:type="dxa"/>
              <w:bottom w:w="80" w:type="dxa"/>
              <w:end w:w="120" w:type="dxa"/>
            </w:tcMar>
          </w:tcPr>
          <w:p>
            <w:pPr>
              <w:spacing w:after="0"/>
            </w:pPr>
            <w:r>
              <w:rPr>
                <w:rFonts w:ascii="Calibri" w:hAnsi="Calibri"/>
                <w:color w:val="182230"/>
                <w:sz w:val="19"/>
              </w:rPr>
              <w:t>No request reaches FBR. Results are clearly marked Mock.</w:t>
            </w:r>
          </w:p>
        </w:tc>
      </w:tr>
      <w:tr>
        <w:tc>
          <w:tcPr>
            <w:tcW w:type="dxa" w:w="1500"/>
            <w:vAlign w:val="center"/>
            <w:tcMar>
              <w:top w:w="80" w:type="dxa"/>
              <w:start w:w="120" w:type="dxa"/>
              <w:bottom w:w="80" w:type="dxa"/>
              <w:end w:w="120" w:type="dxa"/>
            </w:tcMar>
          </w:tcPr>
          <w:p>
            <w:pPr>
              <w:spacing w:after="0"/>
            </w:pPr>
            <w:r>
              <w:rPr>
                <w:rFonts w:ascii="Calibri" w:hAnsi="Calibri"/>
                <w:color w:val="182230"/>
                <w:sz w:val="19"/>
              </w:rPr>
              <w:t>Sandbox</w:t>
            </w:r>
          </w:p>
        </w:tc>
        <w:tc>
          <w:tcPr>
            <w:tcW w:type="dxa" w:w="3100"/>
            <w:vAlign w:val="center"/>
            <w:tcMar>
              <w:top w:w="80" w:type="dxa"/>
              <w:start w:w="120" w:type="dxa"/>
              <w:bottom w:w="80" w:type="dxa"/>
              <w:end w:w="120" w:type="dxa"/>
            </w:tcMar>
          </w:tcPr>
          <w:p>
            <w:pPr>
              <w:spacing w:after="0"/>
            </w:pPr>
            <w:r>
              <w:rPr>
                <w:rFonts w:ascii="Calibri" w:hAnsi="Calibri"/>
                <w:color w:val="182230"/>
                <w:sz w:val="19"/>
              </w:rPr>
              <w:t>PRAL certification and client acceptance</w:t>
            </w:r>
          </w:p>
        </w:tc>
        <w:tc>
          <w:tcPr>
            <w:tcW w:type="dxa" w:w="4760"/>
            <w:vAlign w:val="center"/>
            <w:tcMar>
              <w:top w:w="80" w:type="dxa"/>
              <w:start w:w="120" w:type="dxa"/>
              <w:bottom w:w="80" w:type="dxa"/>
              <w:end w:w="120" w:type="dxa"/>
            </w:tcMar>
          </w:tcPr>
          <w:p>
            <w:pPr>
              <w:spacing w:after="0"/>
            </w:pPr>
            <w:r>
              <w:rPr>
                <w:rFonts w:ascii="Calibri" w:hAnsi="Calibri"/>
                <w:color w:val="182230"/>
                <w:sz w:val="19"/>
              </w:rPr>
              <w:t>Uses the company sandbox token and whitelisted outbound IP. No tax liability is created.</w:t>
            </w:r>
          </w:p>
        </w:tc>
      </w:tr>
      <w:tr>
        <w:tc>
          <w:tcPr>
            <w:tcW w:type="dxa" w:w="1500"/>
            <w:vAlign w:val="center"/>
            <w:tcMar>
              <w:top w:w="80" w:type="dxa"/>
              <w:start w:w="120" w:type="dxa"/>
              <w:bottom w:w="80" w:type="dxa"/>
              <w:end w:w="120" w:type="dxa"/>
            </w:tcMar>
          </w:tcPr>
          <w:p>
            <w:pPr>
              <w:spacing w:after="0"/>
            </w:pPr>
            <w:r>
              <w:rPr>
                <w:rFonts w:ascii="Calibri" w:hAnsi="Calibri"/>
                <w:color w:val="182230"/>
                <w:sz w:val="19"/>
              </w:rPr>
              <w:t>Production</w:t>
            </w:r>
          </w:p>
        </w:tc>
        <w:tc>
          <w:tcPr>
            <w:tcW w:type="dxa" w:w="3100"/>
            <w:vAlign w:val="center"/>
            <w:tcMar>
              <w:top w:w="80" w:type="dxa"/>
              <w:start w:w="120" w:type="dxa"/>
              <w:bottom w:w="80" w:type="dxa"/>
              <w:end w:w="120" w:type="dxa"/>
            </w:tcMar>
          </w:tcPr>
          <w:p>
            <w:pPr>
              <w:spacing w:after="0"/>
            </w:pPr>
            <w:r>
              <w:rPr>
                <w:rFonts w:ascii="Calibri" w:hAnsi="Calibri"/>
                <w:color w:val="182230"/>
                <w:sz w:val="19"/>
              </w:rPr>
              <w:t>Real invoicing</w:t>
            </w:r>
          </w:p>
        </w:tc>
        <w:tc>
          <w:tcPr>
            <w:tcW w:type="dxa" w:w="4760"/>
            <w:vAlign w:val="center"/>
            <w:tcMar>
              <w:top w:w="80" w:type="dxa"/>
              <w:start w:w="120" w:type="dxa"/>
              <w:bottom w:w="80" w:type="dxa"/>
              <w:end w:w="120" w:type="dxa"/>
            </w:tcMar>
          </w:tcPr>
          <w:p>
            <w:pPr>
              <w:spacing w:after="0"/>
            </w:pPr>
            <w:r>
              <w:rPr>
                <w:rFonts w:ascii="Calibri" w:hAnsi="Calibri"/>
                <w:color w:val="182230"/>
                <w:sz w:val="19"/>
              </w:rPr>
              <w:t>Uses the company production token. Submissions are real FBR records.</w:t>
            </w:r>
          </w:p>
        </w:tc>
      </w:tr>
    </w:tbl>
    <w:p>
      <w:pPr>
        <w:spacing w:after="40"/>
      </w:pPr>
    </w:p>
    <w:p>
      <w:pPr>
        <w:pStyle w:val="Heading1"/>
      </w:pPr>
      <w:r>
        <w:t>2. Roles and Access</w:t>
      </w:r>
    </w:p>
    <w:tbl>
      <w:tblPr>
        <w:tblStyle w:val="TableGrid"/>
        <w:tblW w:type="dxa" w:w="9360"/>
        <w:jc w:val="left"/>
        <w:tblLayout w:type="fixed"/>
        <w:tblLook w:firstColumn="1" w:firstRow="1" w:lastColumn="0" w:lastRow="0" w:noHBand="0" w:noVBand="1" w:val="04A0"/>
        <w:tblInd w:w="120" w:type="dxa"/>
      </w:tblPr>
      <w:tblGrid>
        <w:gridCol w:w="1650"/>
        <w:gridCol w:w="2350"/>
        <w:gridCol w:w="5360"/>
      </w:tblGrid>
      <w:tr>
        <w:trPr>
          <w:tblHeader w:val="true"/>
        </w:trPr>
        <w:tc>
          <w:tcPr>
            <w:tcW w:type="dxa" w:w="1650"/>
            <w:shd w:fill="E8EEF5"/>
            <w:vAlign w:val="center"/>
            <w:tcMar>
              <w:top w:w="80" w:type="dxa"/>
              <w:start w:w="120" w:type="dxa"/>
              <w:bottom w:w="80" w:type="dxa"/>
              <w:end w:w="120" w:type="dxa"/>
            </w:tcMar>
          </w:tcPr>
          <w:p>
            <w:pPr>
              <w:spacing w:after="0"/>
              <w:jc w:val="left"/>
            </w:pPr>
            <w:r>
              <w:rPr>
                <w:rFonts w:ascii="Calibri" w:hAnsi="Calibri"/>
                <w:b/>
                <w:color w:val="0B2545"/>
                <w:sz w:val="19"/>
              </w:rPr>
              <w:t>Role</w:t>
            </w:r>
          </w:p>
        </w:tc>
        <w:tc>
          <w:tcPr>
            <w:tcW w:type="dxa" w:w="2350"/>
            <w:shd w:fill="E8EEF5"/>
            <w:vAlign w:val="center"/>
            <w:tcMar>
              <w:top w:w="80" w:type="dxa"/>
              <w:start w:w="120" w:type="dxa"/>
              <w:bottom w:w="80" w:type="dxa"/>
              <w:end w:w="120" w:type="dxa"/>
            </w:tcMar>
          </w:tcPr>
          <w:p>
            <w:pPr>
              <w:spacing w:after="0"/>
              <w:jc w:val="left"/>
            </w:pPr>
            <w:r>
              <w:rPr>
                <w:rFonts w:ascii="Calibri" w:hAnsi="Calibri"/>
                <w:b/>
                <w:color w:val="0B2545"/>
                <w:sz w:val="19"/>
              </w:rPr>
              <w:t>Typical user</w:t>
            </w:r>
          </w:p>
        </w:tc>
        <w:tc>
          <w:tcPr>
            <w:tcW w:type="dxa" w:w="5360"/>
            <w:shd w:fill="E8EEF5"/>
            <w:vAlign w:val="center"/>
            <w:tcMar>
              <w:top w:w="80" w:type="dxa"/>
              <w:start w:w="120" w:type="dxa"/>
              <w:bottom w:w="80" w:type="dxa"/>
              <w:end w:w="120" w:type="dxa"/>
            </w:tcMar>
          </w:tcPr>
          <w:p>
            <w:pPr>
              <w:spacing w:after="0"/>
              <w:jc w:val="left"/>
            </w:pPr>
            <w:r>
              <w:rPr>
                <w:rFonts w:ascii="Calibri" w:hAnsi="Calibri"/>
                <w:b/>
                <w:color w:val="0B2545"/>
                <w:sz w:val="19"/>
              </w:rPr>
              <w:t>Main responsibilities</w:t>
            </w:r>
          </w:p>
        </w:tc>
      </w:tr>
      <w:tr>
        <w:tc>
          <w:tcPr>
            <w:tcW w:type="dxa" w:w="1650"/>
            <w:vAlign w:val="center"/>
            <w:tcMar>
              <w:top w:w="80" w:type="dxa"/>
              <w:start w:w="120" w:type="dxa"/>
              <w:bottom w:w="80" w:type="dxa"/>
              <w:end w:w="120" w:type="dxa"/>
            </w:tcMar>
          </w:tcPr>
          <w:p>
            <w:pPr>
              <w:spacing w:after="0"/>
            </w:pPr>
            <w:r>
              <w:rPr>
                <w:rFonts w:ascii="Calibri" w:hAnsi="Calibri"/>
                <w:color w:val="182230"/>
                <w:sz w:val="19"/>
              </w:rPr>
              <w:t>Platform super admin</w:t>
            </w:r>
          </w:p>
        </w:tc>
        <w:tc>
          <w:tcPr>
            <w:tcW w:type="dxa" w:w="2350"/>
            <w:vAlign w:val="center"/>
            <w:tcMar>
              <w:top w:w="80" w:type="dxa"/>
              <w:start w:w="120" w:type="dxa"/>
              <w:bottom w:w="80" w:type="dxa"/>
              <w:end w:w="120" w:type="dxa"/>
            </w:tcMar>
          </w:tcPr>
          <w:p>
            <w:pPr>
              <w:spacing w:after="0"/>
            </w:pPr>
            <w:r>
              <w:rPr>
                <w:rFonts w:ascii="Calibri" w:hAnsi="Calibri"/>
                <w:color w:val="182230"/>
                <w:sz w:val="19"/>
              </w:rPr>
              <w:t>Techionik operations</w:t>
            </w:r>
          </w:p>
        </w:tc>
        <w:tc>
          <w:tcPr>
            <w:tcW w:type="dxa" w:w="5360"/>
            <w:vAlign w:val="center"/>
            <w:tcMar>
              <w:top w:w="80" w:type="dxa"/>
              <w:start w:w="120" w:type="dxa"/>
              <w:bottom w:w="80" w:type="dxa"/>
              <w:end w:w="120" w:type="dxa"/>
            </w:tcMar>
          </w:tcPr>
          <w:p>
            <w:pPr>
              <w:spacing w:after="0"/>
            </w:pPr>
            <w:r>
              <w:rPr>
                <w:rFonts w:ascii="Calibri" w:hAnsi="Calibri"/>
                <w:color w:val="182230"/>
                <w:sz w:val="19"/>
              </w:rPr>
              <w:t>Create businesses, switch between tenants, monitor onboarding, and support tenant administrators.</w:t>
            </w:r>
          </w:p>
        </w:tc>
      </w:tr>
      <w:tr>
        <w:tc>
          <w:tcPr>
            <w:tcW w:type="dxa" w:w="1650"/>
            <w:vAlign w:val="center"/>
            <w:tcMar>
              <w:top w:w="80" w:type="dxa"/>
              <w:start w:w="120" w:type="dxa"/>
              <w:bottom w:w="80" w:type="dxa"/>
              <w:end w:w="120" w:type="dxa"/>
            </w:tcMar>
          </w:tcPr>
          <w:p>
            <w:pPr>
              <w:spacing w:after="0"/>
            </w:pPr>
            <w:r>
              <w:rPr>
                <w:rFonts w:ascii="Calibri" w:hAnsi="Calibri"/>
                <w:color w:val="182230"/>
                <w:sz w:val="19"/>
              </w:rPr>
              <w:t>Owner</w:t>
            </w:r>
          </w:p>
        </w:tc>
        <w:tc>
          <w:tcPr>
            <w:tcW w:type="dxa" w:w="2350"/>
            <w:vAlign w:val="center"/>
            <w:tcMar>
              <w:top w:w="80" w:type="dxa"/>
              <w:start w:w="120" w:type="dxa"/>
              <w:bottom w:w="80" w:type="dxa"/>
              <w:end w:w="120" w:type="dxa"/>
            </w:tcMar>
          </w:tcPr>
          <w:p>
            <w:pPr>
              <w:spacing w:after="0"/>
            </w:pPr>
            <w:r>
              <w:rPr>
                <w:rFonts w:ascii="Calibri" w:hAnsi="Calibri"/>
                <w:color w:val="182230"/>
                <w:sz w:val="19"/>
              </w:rPr>
              <w:t>Business owner or authorized lead</w:t>
            </w:r>
          </w:p>
        </w:tc>
        <w:tc>
          <w:tcPr>
            <w:tcW w:type="dxa" w:w="5360"/>
            <w:vAlign w:val="center"/>
            <w:tcMar>
              <w:top w:w="80" w:type="dxa"/>
              <w:start w:w="120" w:type="dxa"/>
              <w:bottom w:w="80" w:type="dxa"/>
              <w:end w:w="120" w:type="dxa"/>
            </w:tcMar>
          </w:tcPr>
          <w:p>
            <w:pPr>
              <w:spacing w:after="0"/>
            </w:pPr>
            <w:r>
              <w:rPr>
                <w:rFonts w:ascii="Calibri" w:hAnsi="Calibri"/>
                <w:color w:val="182230"/>
                <w:sz w:val="19"/>
              </w:rPr>
              <w:t>Control company setup, members, credentials, onboarding approval, and operational use.</w:t>
            </w:r>
          </w:p>
        </w:tc>
      </w:tr>
      <w:tr>
        <w:tc>
          <w:tcPr>
            <w:tcW w:type="dxa" w:w="1650"/>
            <w:vAlign w:val="center"/>
            <w:tcMar>
              <w:top w:w="80" w:type="dxa"/>
              <w:start w:w="120" w:type="dxa"/>
              <w:bottom w:w="80" w:type="dxa"/>
              <w:end w:w="120" w:type="dxa"/>
            </w:tcMar>
          </w:tcPr>
          <w:p>
            <w:pPr>
              <w:spacing w:after="0"/>
            </w:pPr>
            <w:r>
              <w:rPr>
                <w:rFonts w:ascii="Calibri" w:hAnsi="Calibri"/>
                <w:color w:val="182230"/>
                <w:sz w:val="19"/>
              </w:rPr>
              <w:t>Admin</w:t>
            </w:r>
          </w:p>
        </w:tc>
        <w:tc>
          <w:tcPr>
            <w:tcW w:type="dxa" w:w="2350"/>
            <w:vAlign w:val="center"/>
            <w:tcMar>
              <w:top w:w="80" w:type="dxa"/>
              <w:start w:w="120" w:type="dxa"/>
              <w:bottom w:w="80" w:type="dxa"/>
              <w:end w:w="120" w:type="dxa"/>
            </w:tcMar>
          </w:tcPr>
          <w:p>
            <w:pPr>
              <w:spacing w:after="0"/>
            </w:pPr>
            <w:r>
              <w:rPr>
                <w:rFonts w:ascii="Calibri" w:hAnsi="Calibri"/>
                <w:color w:val="182230"/>
                <w:sz w:val="19"/>
              </w:rPr>
              <w:t>Finance or IT administrator</w:t>
            </w:r>
          </w:p>
        </w:tc>
        <w:tc>
          <w:tcPr>
            <w:tcW w:type="dxa" w:w="5360"/>
            <w:vAlign w:val="center"/>
            <w:tcMar>
              <w:top w:w="80" w:type="dxa"/>
              <w:start w:w="120" w:type="dxa"/>
              <w:bottom w:w="80" w:type="dxa"/>
              <w:end w:w="120" w:type="dxa"/>
            </w:tcMar>
          </w:tcPr>
          <w:p>
            <w:pPr>
              <w:spacing w:after="0"/>
            </w:pPr>
            <w:r>
              <w:rPr>
                <w:rFonts w:ascii="Calibri" w:hAnsi="Calibri"/>
                <w:color w:val="182230"/>
                <w:sz w:val="19"/>
              </w:rPr>
              <w:t>Manage members and business configuration, maintain master data, and supervise submissions.</w:t>
            </w:r>
          </w:p>
        </w:tc>
      </w:tr>
      <w:tr>
        <w:tc>
          <w:tcPr>
            <w:tcW w:type="dxa" w:w="1650"/>
            <w:vAlign w:val="center"/>
            <w:tcMar>
              <w:top w:w="80" w:type="dxa"/>
              <w:start w:w="120" w:type="dxa"/>
              <w:bottom w:w="80" w:type="dxa"/>
              <w:end w:w="120" w:type="dxa"/>
            </w:tcMar>
          </w:tcPr>
          <w:p>
            <w:pPr>
              <w:spacing w:after="0"/>
            </w:pPr>
            <w:r>
              <w:rPr>
                <w:rFonts w:ascii="Calibri" w:hAnsi="Calibri"/>
                <w:color w:val="182230"/>
                <w:sz w:val="19"/>
              </w:rPr>
              <w:t>Member</w:t>
            </w:r>
          </w:p>
        </w:tc>
        <w:tc>
          <w:tcPr>
            <w:tcW w:type="dxa" w:w="2350"/>
            <w:vAlign w:val="center"/>
            <w:tcMar>
              <w:top w:w="80" w:type="dxa"/>
              <w:start w:w="120" w:type="dxa"/>
              <w:bottom w:w="80" w:type="dxa"/>
              <w:end w:w="120" w:type="dxa"/>
            </w:tcMar>
          </w:tcPr>
          <w:p>
            <w:pPr>
              <w:spacing w:after="0"/>
            </w:pPr>
            <w:r>
              <w:rPr>
                <w:rFonts w:ascii="Calibri" w:hAnsi="Calibri"/>
                <w:color w:val="182230"/>
                <w:sz w:val="19"/>
              </w:rPr>
              <w:t>Invoice operator</w:t>
            </w:r>
          </w:p>
        </w:tc>
        <w:tc>
          <w:tcPr>
            <w:tcW w:type="dxa" w:w="5360"/>
            <w:vAlign w:val="center"/>
            <w:tcMar>
              <w:top w:w="80" w:type="dxa"/>
              <w:start w:w="120" w:type="dxa"/>
              <w:bottom w:w="80" w:type="dxa"/>
              <w:end w:w="120" w:type="dxa"/>
            </w:tcMar>
          </w:tcPr>
          <w:p>
            <w:pPr>
              <w:spacing w:after="0"/>
            </w:pPr>
            <w:r>
              <w:rPr>
                <w:rFonts w:ascii="Calibri" w:hAnsi="Calibri"/>
                <w:color w:val="182230"/>
                <w:sz w:val="19"/>
              </w:rPr>
              <w:t>Create and manage operational records permitted by the application.</w:t>
            </w:r>
          </w:p>
        </w:tc>
      </w:tr>
      <w:tr>
        <w:tc>
          <w:tcPr>
            <w:tcW w:type="dxa" w:w="1650"/>
            <w:vAlign w:val="center"/>
            <w:tcMar>
              <w:top w:w="80" w:type="dxa"/>
              <w:start w:w="120" w:type="dxa"/>
              <w:bottom w:w="80" w:type="dxa"/>
              <w:end w:w="120" w:type="dxa"/>
            </w:tcMar>
          </w:tcPr>
          <w:p>
            <w:pPr>
              <w:spacing w:after="0"/>
            </w:pPr>
            <w:r>
              <w:rPr>
                <w:rFonts w:ascii="Calibri" w:hAnsi="Calibri"/>
                <w:color w:val="182230"/>
                <w:sz w:val="19"/>
              </w:rPr>
              <w:t>Viewer</w:t>
            </w:r>
          </w:p>
        </w:tc>
        <w:tc>
          <w:tcPr>
            <w:tcW w:type="dxa" w:w="2350"/>
            <w:vAlign w:val="center"/>
            <w:tcMar>
              <w:top w:w="80" w:type="dxa"/>
              <w:start w:w="120" w:type="dxa"/>
              <w:bottom w:w="80" w:type="dxa"/>
              <w:end w:w="120" w:type="dxa"/>
            </w:tcMar>
          </w:tcPr>
          <w:p>
            <w:pPr>
              <w:spacing w:after="0"/>
            </w:pPr>
            <w:r>
              <w:rPr>
                <w:rFonts w:ascii="Calibri" w:hAnsi="Calibri"/>
                <w:color w:val="182230"/>
                <w:sz w:val="19"/>
              </w:rPr>
              <w:t>Auditor or read-only stakeholder</w:t>
            </w:r>
          </w:p>
        </w:tc>
        <w:tc>
          <w:tcPr>
            <w:tcW w:type="dxa" w:w="5360"/>
            <w:vAlign w:val="center"/>
            <w:tcMar>
              <w:top w:w="80" w:type="dxa"/>
              <w:start w:w="120" w:type="dxa"/>
              <w:bottom w:w="80" w:type="dxa"/>
              <w:end w:w="120" w:type="dxa"/>
            </w:tcMar>
          </w:tcPr>
          <w:p>
            <w:pPr>
              <w:spacing w:after="0"/>
            </w:pPr>
            <w:r>
              <w:rPr>
                <w:rFonts w:ascii="Calibri" w:hAnsi="Calibri"/>
                <w:color w:val="182230"/>
                <w:sz w:val="19"/>
              </w:rPr>
              <w:t>Review information without administrative changes.</w:t>
            </w:r>
          </w:p>
        </w:tc>
      </w:tr>
      <w:tr>
        <w:tc>
          <w:tcPr>
            <w:tcW w:type="dxa" w:w="1650"/>
            <w:vAlign w:val="center"/>
            <w:tcMar>
              <w:top w:w="80" w:type="dxa"/>
              <w:start w:w="120" w:type="dxa"/>
              <w:bottom w:w="80" w:type="dxa"/>
              <w:end w:w="120" w:type="dxa"/>
            </w:tcMar>
          </w:tcPr>
          <w:p>
            <w:pPr>
              <w:spacing w:after="0"/>
            </w:pPr>
            <w:r>
              <w:rPr>
                <w:rFonts w:ascii="Calibri" w:hAnsi="Calibri"/>
                <w:color w:val="182230"/>
                <w:sz w:val="19"/>
              </w:rPr>
              <w:t>PRAL/FBR</w:t>
            </w:r>
          </w:p>
        </w:tc>
        <w:tc>
          <w:tcPr>
            <w:tcW w:type="dxa" w:w="2350"/>
            <w:vAlign w:val="center"/>
            <w:tcMar>
              <w:top w:w="80" w:type="dxa"/>
              <w:start w:w="120" w:type="dxa"/>
              <w:bottom w:w="80" w:type="dxa"/>
              <w:end w:w="120" w:type="dxa"/>
            </w:tcMar>
          </w:tcPr>
          <w:p>
            <w:pPr>
              <w:spacing w:after="0"/>
            </w:pPr>
            <w:r>
              <w:rPr>
                <w:rFonts w:ascii="Calibri" w:hAnsi="Calibri"/>
                <w:color w:val="182230"/>
                <w:sz w:val="19"/>
              </w:rPr>
              <w:t>External authority</w:t>
            </w:r>
          </w:p>
        </w:tc>
        <w:tc>
          <w:tcPr>
            <w:tcW w:type="dxa" w:w="5360"/>
            <w:vAlign w:val="center"/>
            <w:tcMar>
              <w:top w:w="80" w:type="dxa"/>
              <w:start w:w="120" w:type="dxa"/>
              <w:bottom w:w="80" w:type="dxa"/>
              <w:end w:w="120" w:type="dxa"/>
            </w:tcMar>
          </w:tcPr>
          <w:p>
            <w:pPr>
              <w:spacing w:after="0"/>
            </w:pPr>
            <w:r>
              <w:rPr>
                <w:rFonts w:ascii="Calibri" w:hAnsi="Calibri"/>
                <w:color w:val="182230"/>
                <w:sz w:val="19"/>
              </w:rPr>
              <w:t>Approve registration/IPs, issue tokens, validate scenarios, and receive production invoices.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4F5EC"/>
          </w:tcPr>
          <w:p>
            <w:pPr>
              <w:spacing w:after="40"/>
            </w:pPr>
            <w:r>
              <w:rPr>
                <w:rFonts w:ascii="Calibri" w:hAnsi="Calibri"/>
                <w:b/>
                <w:color w:val="087A3D"/>
              </w:rPr>
              <w:t xml:space="preserve">Tenant isolation: </w:t>
            </w:r>
            <w:r>
              <w:rPr>
                <w:rFonts w:ascii="Calibri" w:hAnsi="Calibri"/>
                <w:color w:val="087A3D"/>
              </w:rPr>
              <w:t>The active company controls every request. Customers, products, staff, invoices, sandbox results, tokens, settings, and onboarding records from one company must never appear in another company workspace.</w:t>
            </w:r>
          </w:p>
        </w:tc>
      </w:tr>
    </w:tbl>
    <w:p>
      <w:pPr>
        <w:spacing w:after="20"/>
      </w:pPr>
    </w:p>
    <w:p>
      <w:pPr>
        <w:pStyle w:val="Heading1"/>
      </w:pPr>
      <w:r>
        <w:t>3. Account and Company Setup</w:t>
      </w:r>
    </w:p>
    <w:p>
      <w:pPr>
        <w:pStyle w:val="Heading2"/>
      </w:pPr>
      <w:r>
        <w:t>Create an account and sign in</w:t>
      </w:r>
    </w:p>
    <w:p>
      <w:pPr>
        <w:pStyle w:val="ListNumber"/>
      </w:pPr>
      <w:r>
        <w:rPr>
          <w:rFonts w:ascii="Calibri" w:hAnsi="Calibri"/>
          <w:color w:val="182230"/>
        </w:rPr>
        <w:t>Open the platform login page in a supported browser.</w:t>
      </w:r>
    </w:p>
    <w:p>
      <w:pPr>
        <w:pStyle w:val="ListNumber"/>
      </w:pPr>
      <w:r>
        <w:rPr>
          <w:rFonts w:ascii="Calibri" w:hAnsi="Calibri"/>
          <w:color w:val="182230"/>
        </w:rPr>
        <w:t>Choose Sign Up for a new account, or enter the email and password supplied by an administrator.</w:t>
      </w:r>
    </w:p>
    <w:p>
      <w:pPr>
        <w:pStyle w:val="ListNumber"/>
      </w:pPr>
      <w:r>
        <w:rPr>
          <w:rFonts w:ascii="Calibri" w:hAnsi="Calibri"/>
          <w:color w:val="182230"/>
        </w:rPr>
        <w:t>After login, confirm the active company shown in the left sidebar.</w:t>
      </w:r>
    </w:p>
    <w:p>
      <w:pPr>
        <w:pStyle w:val="ListNumber"/>
      </w:pPr>
      <w:r>
        <w:rPr>
          <w:rFonts w:ascii="Calibri" w:hAnsi="Calibri"/>
          <w:color w:val="182230"/>
        </w:rPr>
        <w:t>If you belong to multiple companies, open the Active Company selector and choose the workspace you intend to operate.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FF4CC"/>
          </w:tcPr>
          <w:p>
            <w:pPr>
              <w:spacing w:after="40"/>
            </w:pPr>
            <w:r>
              <w:rPr>
                <w:rFonts w:ascii="Calibri" w:hAnsi="Calibri"/>
                <w:b/>
                <w:color w:val="7A5A00"/>
              </w:rPr>
              <w:t xml:space="preserve">Before entering data: </w:t>
            </w:r>
            <w:r>
              <w:rPr>
                <w:rFonts w:ascii="Calibri" w:hAnsi="Calibri"/>
                <w:color w:val="7A5A00"/>
              </w:rPr>
              <w:t>Always verify the active company. Changing companies refreshes the tenant context; records entered under the wrong company will belong to that company.</w:t>
            </w:r>
          </w:p>
        </w:tc>
      </w:tr>
    </w:tbl>
    <w:p>
      <w:pPr>
        <w:spacing w:after="20"/>
      </w:pPr>
    </w:p>
    <w:p>
      <w:pPr>
        <w:pStyle w:val="Heading2"/>
      </w:pPr>
      <w:r>
        <w:t>Create a business tenant (Techionik super admin)</w:t>
      </w:r>
    </w:p>
    <w:p>
      <w:pPr>
        <w:pStyle w:val="ListNumber"/>
      </w:pPr>
      <w:r>
        <w:rPr>
          <w:rFonts w:ascii="Calibri" w:hAnsi="Calibri"/>
          <w:color w:val="182230"/>
        </w:rPr>
        <w:t>Open Onboarding and select the Businesses view.</w:t>
      </w:r>
    </w:p>
    <w:p>
      <w:pPr>
        <w:pStyle w:val="ListNumber"/>
      </w:pPr>
      <w:r>
        <w:rPr>
          <w:rFonts w:ascii="Calibri" w:hAnsi="Calibri"/>
          <w:color w:val="182230"/>
        </w:rPr>
        <w:t>Enter the display name, legal name, NTN, owner email, business nature, and primary sector.</w:t>
      </w:r>
    </w:p>
    <w:p>
      <w:pPr>
        <w:pStyle w:val="ListNumber"/>
      </w:pPr>
      <w:r>
        <w:rPr>
          <w:rFonts w:ascii="Calibri" w:hAnsi="Calibri"/>
          <w:color w:val="182230"/>
        </w:rPr>
        <w:t>Create the business. The owner receives access directly or through an invitation, depending on whether the account already exists.</w:t>
      </w:r>
    </w:p>
    <w:p>
      <w:pPr>
        <w:pStyle w:val="ListNumber"/>
      </w:pPr>
      <w:r>
        <w:rPr>
          <w:rFonts w:ascii="Calibri" w:hAnsi="Calibri"/>
          <w:color w:val="182230"/>
        </w:rPr>
        <w:t>Switch to the new company and complete its profile and onboarding record.</w:t>
      </w:r>
    </w:p>
    <w:p>
      <w:pPr>
        <w:pStyle w:val="Heading2"/>
      </w:pPr>
      <w:r>
        <w:t>Invite and manage staff</w:t>
      </w:r>
    </w:p>
    <w:p>
      <w:pPr>
        <w:pStyle w:val="ListNumber"/>
      </w:pPr>
      <w:r>
        <w:rPr>
          <w:rFonts w:ascii="Calibri" w:hAnsi="Calibri"/>
          <w:color w:val="182230"/>
        </w:rPr>
        <w:t>Open Onboarding, then Members or Invitations.</w:t>
      </w:r>
    </w:p>
    <w:p>
      <w:pPr>
        <w:pStyle w:val="ListNumber"/>
      </w:pPr>
      <w:r>
        <w:rPr>
          <w:rFonts w:ascii="Calibri" w:hAnsi="Calibri"/>
          <w:color w:val="182230"/>
        </w:rPr>
        <w:t>Enter the staff email and select Owner, Admin, Member, or Viewer.</w:t>
      </w:r>
    </w:p>
    <w:p>
      <w:pPr>
        <w:pStyle w:val="ListNumber"/>
      </w:pPr>
      <w:r>
        <w:rPr>
          <w:rFonts w:ascii="Calibri" w:hAnsi="Calibri"/>
          <w:color w:val="182230"/>
        </w:rPr>
        <w:t>Send the invitation. The system records email delivery state and an audit event.</w:t>
      </w:r>
    </w:p>
    <w:p>
      <w:pPr>
        <w:pStyle w:val="ListNumber"/>
      </w:pPr>
      <w:r>
        <w:rPr>
          <w:rFonts w:ascii="Calibri" w:hAnsi="Calibri"/>
          <w:color w:val="182230"/>
        </w:rPr>
        <w:t>The recipient signs in and accepts the invitation link.</w:t>
      </w:r>
    </w:p>
    <w:p>
      <w:pPr>
        <w:pStyle w:val="ListNumber"/>
      </w:pPr>
      <w:r>
        <w:rPr>
          <w:rFonts w:ascii="Calibri" w:hAnsi="Calibri"/>
          <w:color w:val="182230"/>
        </w:rPr>
        <w:t>Owners/admins can later change roles, revoke pending invitations, or remove members.</w:t>
      </w:r>
    </w:p>
    <w:p>
      <w:pPr>
        <w:pStyle w:val="Heading2"/>
      </w:pPr>
      <w:r>
        <w:t>Personal account controls</w:t>
      </w:r>
    </w:p>
    <w:p>
      <w:r>
        <w:rPr>
          <w:rFonts w:ascii="Calibri" w:hAnsi="Calibri"/>
          <w:i w:val="0"/>
          <w:color w:val="182230"/>
        </w:rPr>
        <w:t>Open the profile menu in the top-right corner to access personal account pages. Depending on the configured release, these pages include profile editing, password change, language, privacy/terms, two-factor authentication, and account deactivation. Company membership changes remain in Onboarding and are separate from the personal profile.</w:t>
      </w:r>
    </w:p>
    <w:p>
      <w:pPr>
        <w:pStyle w:val="ListBullet"/>
      </w:pPr>
      <w:r>
        <w:rPr>
          <w:rFonts w:ascii="Calibri" w:hAnsi="Calibri"/>
          <w:color w:val="182230"/>
        </w:rPr>
        <w:t>Use a unique password and change it immediately if compromise is suspected.</w:t>
      </w:r>
    </w:p>
    <w:p>
      <w:pPr>
        <w:pStyle w:val="ListBullet"/>
      </w:pPr>
      <w:r>
        <w:rPr>
          <w:rFonts w:ascii="Calibri" w:hAnsi="Calibri"/>
          <w:color w:val="182230"/>
        </w:rPr>
        <w:t>Enable two-factor authentication when the deployed authentication configuration supports it.</w:t>
      </w:r>
    </w:p>
    <w:p>
      <w:pPr>
        <w:pStyle w:val="ListBullet"/>
      </w:pPr>
      <w:r>
        <w:rPr>
          <w:rFonts w:ascii="Calibri" w:hAnsi="Calibri"/>
          <w:color w:val="182230"/>
        </w:rPr>
        <w:t>Do not deactivate the sole Owner account until another active Owner has been confirmed.</w:t>
      </w:r>
    </w:p>
    <w:p>
      <w:pPr>
        <w:pStyle w:val="Heading1"/>
      </w:pPr>
      <w:r>
        <w:t>4. Onboarding Workspace</w:t>
      </w:r>
    </w:p>
    <w:p>
      <w:r>
        <w:rPr>
          <w:rFonts w:ascii="Calibri" w:hAnsi="Calibri"/>
          <w:i w:val="0"/>
          <w:color w:val="182230"/>
        </w:rPr>
        <w:t>The Onboarding workspace is the control centre for business creation, membership, PRAL progress, and activity history. Available tabs depend on the user's role.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vAlign w:val="center"/>
            <w:tcMar>
              <w:top w:w="80" w:type="dxa"/>
              <w:start w:w="120" w:type="dxa"/>
              <w:bottom w:w="80" w:type="dxa"/>
              <w:end w:w="120" w:type="dxa"/>
            </w:tcMar>
          </w:tcPr>
          <w:p>
            <w:pPr>
              <w:spacing w:after="0"/>
              <w:jc w:val="left"/>
            </w:pPr>
            <w:r>
              <w:rPr>
                <w:rFonts w:ascii="Calibri" w:hAnsi="Calibri"/>
                <w:b/>
                <w:color w:val="0B2545"/>
                <w:sz w:val="19"/>
              </w:rPr>
              <w:t>Area</w:t>
            </w:r>
          </w:p>
        </w:tc>
        <w:tc>
          <w:tcPr>
            <w:tcW w:type="dxa" w:w="7160"/>
            <w:shd w:fill="E8EEF5"/>
            <w:vAlign w:val="center"/>
            <w:tcMar>
              <w:top w:w="80" w:type="dxa"/>
              <w:start w:w="120" w:type="dxa"/>
              <w:bottom w:w="80" w:type="dxa"/>
              <w:end w:w="120" w:type="dxa"/>
            </w:tcMar>
          </w:tcPr>
          <w:p>
            <w:pPr>
              <w:spacing w:after="0"/>
              <w:jc w:val="left"/>
            </w:pPr>
            <w:r>
              <w:rPr>
                <w:rFonts w:ascii="Calibri" w:hAnsi="Calibri"/>
                <w:b/>
                <w:color w:val="0B2545"/>
                <w:sz w:val="19"/>
              </w:rPr>
              <w:t>Use</w:t>
            </w:r>
          </w:p>
        </w:tc>
      </w:tr>
      <w:tr>
        <w:tc>
          <w:tcPr>
            <w:tcW w:type="dxa" w:w="2200"/>
            <w:vAlign w:val="center"/>
            <w:tcMar>
              <w:top w:w="80" w:type="dxa"/>
              <w:start w:w="120" w:type="dxa"/>
              <w:bottom w:w="80" w:type="dxa"/>
              <w:end w:w="120" w:type="dxa"/>
            </w:tcMar>
          </w:tcPr>
          <w:p>
            <w:pPr>
              <w:spacing w:after="0"/>
            </w:pPr>
            <w:r>
              <w:rPr>
                <w:rFonts w:ascii="Calibri" w:hAnsi="Calibri"/>
                <w:color w:val="182230"/>
                <w:sz w:val="19"/>
              </w:rPr>
              <w:t>Overview</w:t>
            </w:r>
          </w:p>
        </w:tc>
        <w:tc>
          <w:tcPr>
            <w:tcW w:type="dxa" w:w="7160"/>
            <w:vAlign w:val="center"/>
            <w:tcMar>
              <w:top w:w="80" w:type="dxa"/>
              <w:start w:w="120" w:type="dxa"/>
              <w:bottom w:w="80" w:type="dxa"/>
              <w:end w:w="120" w:type="dxa"/>
            </w:tcMar>
          </w:tcPr>
          <w:p>
            <w:pPr>
              <w:spacing w:after="0"/>
            </w:pPr>
            <w:r>
              <w:rPr>
                <w:rFonts w:ascii="Calibri" w:hAnsi="Calibri"/>
                <w:color w:val="182230"/>
                <w:sz w:val="19"/>
              </w:rPr>
              <w:t>See the current company, completion milestones, and next required action.</w:t>
            </w:r>
          </w:p>
        </w:tc>
      </w:tr>
      <w:tr>
        <w:tc>
          <w:tcPr>
            <w:tcW w:type="dxa" w:w="2200"/>
            <w:vAlign w:val="center"/>
            <w:tcMar>
              <w:top w:w="80" w:type="dxa"/>
              <w:start w:w="120" w:type="dxa"/>
              <w:bottom w:w="80" w:type="dxa"/>
              <w:end w:w="120" w:type="dxa"/>
            </w:tcMar>
          </w:tcPr>
          <w:p>
            <w:pPr>
              <w:spacing w:after="0"/>
            </w:pPr>
            <w:r>
              <w:rPr>
                <w:rFonts w:ascii="Calibri" w:hAnsi="Calibri"/>
                <w:color w:val="182230"/>
                <w:sz w:val="19"/>
              </w:rPr>
              <w:t>Business details</w:t>
            </w:r>
          </w:p>
        </w:tc>
        <w:tc>
          <w:tcPr>
            <w:tcW w:type="dxa" w:w="7160"/>
            <w:vAlign w:val="center"/>
            <w:tcMar>
              <w:top w:w="80" w:type="dxa"/>
              <w:start w:w="120" w:type="dxa"/>
              <w:bottom w:w="80" w:type="dxa"/>
              <w:end w:w="120" w:type="dxa"/>
            </w:tcMar>
          </w:tcPr>
          <w:p>
            <w:pPr>
              <w:spacing w:after="0"/>
            </w:pPr>
            <w:r>
              <w:rPr>
                <w:rFonts w:ascii="Calibri" w:hAnsi="Calibri"/>
                <w:color w:val="182230"/>
                <w:sz w:val="19"/>
              </w:rPr>
              <w:t>Maintain company name, legal name, and NTN.</w:t>
            </w:r>
          </w:p>
        </w:tc>
      </w:tr>
      <w:tr>
        <w:tc>
          <w:tcPr>
            <w:tcW w:type="dxa" w:w="2200"/>
            <w:vAlign w:val="center"/>
            <w:tcMar>
              <w:top w:w="80" w:type="dxa"/>
              <w:start w:w="120" w:type="dxa"/>
              <w:bottom w:w="80" w:type="dxa"/>
              <w:end w:w="120" w:type="dxa"/>
            </w:tcMar>
          </w:tcPr>
          <w:p>
            <w:pPr>
              <w:spacing w:after="0"/>
            </w:pPr>
            <w:r>
              <w:rPr>
                <w:rFonts w:ascii="Calibri" w:hAnsi="Calibri"/>
                <w:color w:val="182230"/>
                <w:sz w:val="19"/>
              </w:rPr>
              <w:t>FBR progress</w:t>
            </w:r>
          </w:p>
        </w:tc>
        <w:tc>
          <w:tcPr>
            <w:tcW w:type="dxa" w:w="7160"/>
            <w:vAlign w:val="center"/>
            <w:tcMar>
              <w:top w:w="80" w:type="dxa"/>
              <w:start w:w="120" w:type="dxa"/>
              <w:bottom w:w="80" w:type="dxa"/>
              <w:end w:w="120" w:type="dxa"/>
            </w:tcMar>
          </w:tcPr>
          <w:p>
            <w:pPr>
              <w:spacing w:after="0"/>
            </w:pPr>
            <w:r>
              <w:rPr>
                <w:rFonts w:ascii="Calibri" w:hAnsi="Calibri"/>
                <w:color w:val="182230"/>
                <w:sz w:val="19"/>
              </w:rPr>
              <w:t>Record business nature, sector, technical contact, IRIS submission, whitelist state, token states, sandbox state, and notes.</w:t>
            </w:r>
          </w:p>
        </w:tc>
      </w:tr>
      <w:tr>
        <w:tc>
          <w:tcPr>
            <w:tcW w:type="dxa" w:w="2200"/>
            <w:vAlign w:val="center"/>
            <w:tcMar>
              <w:top w:w="80" w:type="dxa"/>
              <w:start w:w="120" w:type="dxa"/>
              <w:bottom w:w="80" w:type="dxa"/>
              <w:end w:w="120" w:type="dxa"/>
            </w:tcMar>
          </w:tcPr>
          <w:p>
            <w:pPr>
              <w:spacing w:after="0"/>
            </w:pPr>
            <w:r>
              <w:rPr>
                <w:rFonts w:ascii="Calibri" w:hAnsi="Calibri"/>
                <w:color w:val="182230"/>
                <w:sz w:val="19"/>
              </w:rPr>
              <w:t>Members</w:t>
            </w:r>
          </w:p>
        </w:tc>
        <w:tc>
          <w:tcPr>
            <w:tcW w:type="dxa" w:w="7160"/>
            <w:vAlign w:val="center"/>
            <w:tcMar>
              <w:top w:w="80" w:type="dxa"/>
              <w:start w:w="120" w:type="dxa"/>
              <w:bottom w:w="80" w:type="dxa"/>
              <w:end w:w="120" w:type="dxa"/>
            </w:tcMar>
          </w:tcPr>
          <w:p>
            <w:pPr>
              <w:spacing w:after="0"/>
            </w:pPr>
            <w:r>
              <w:rPr>
                <w:rFonts w:ascii="Calibri" w:hAnsi="Calibri"/>
                <w:color w:val="182230"/>
                <w:sz w:val="19"/>
              </w:rPr>
              <w:t>Review users, change membership roles, and remove access.</w:t>
            </w:r>
          </w:p>
        </w:tc>
      </w:tr>
      <w:tr>
        <w:tc>
          <w:tcPr>
            <w:tcW w:type="dxa" w:w="2200"/>
            <w:vAlign w:val="center"/>
            <w:tcMar>
              <w:top w:w="80" w:type="dxa"/>
              <w:start w:w="120" w:type="dxa"/>
              <w:bottom w:w="80" w:type="dxa"/>
              <w:end w:w="120" w:type="dxa"/>
            </w:tcMar>
          </w:tcPr>
          <w:p>
            <w:pPr>
              <w:spacing w:after="0"/>
            </w:pPr>
            <w:r>
              <w:rPr>
                <w:rFonts w:ascii="Calibri" w:hAnsi="Calibri"/>
                <w:color w:val="182230"/>
                <w:sz w:val="19"/>
              </w:rPr>
              <w:t>Invitations</w:t>
            </w:r>
          </w:p>
        </w:tc>
        <w:tc>
          <w:tcPr>
            <w:tcW w:type="dxa" w:w="7160"/>
            <w:vAlign w:val="center"/>
            <w:tcMar>
              <w:top w:w="80" w:type="dxa"/>
              <w:start w:w="120" w:type="dxa"/>
              <w:bottom w:w="80" w:type="dxa"/>
              <w:end w:w="120" w:type="dxa"/>
            </w:tcMar>
          </w:tcPr>
          <w:p>
            <w:pPr>
              <w:spacing w:after="0"/>
            </w:pPr>
            <w:r>
              <w:rPr>
                <w:rFonts w:ascii="Calibri" w:hAnsi="Calibri"/>
                <w:color w:val="182230"/>
                <w:sz w:val="19"/>
              </w:rPr>
              <w:t>Send, review, and revoke invitations; inspect email delivery status.</w:t>
            </w:r>
          </w:p>
        </w:tc>
      </w:tr>
      <w:tr>
        <w:tc>
          <w:tcPr>
            <w:tcW w:type="dxa" w:w="2200"/>
            <w:vAlign w:val="center"/>
            <w:tcMar>
              <w:top w:w="80" w:type="dxa"/>
              <w:start w:w="120" w:type="dxa"/>
              <w:bottom w:w="80" w:type="dxa"/>
              <w:end w:w="120" w:type="dxa"/>
            </w:tcMar>
          </w:tcPr>
          <w:p>
            <w:pPr>
              <w:spacing w:after="0"/>
            </w:pPr>
            <w:r>
              <w:rPr>
                <w:rFonts w:ascii="Calibri" w:hAnsi="Calibri"/>
                <w:color w:val="182230"/>
                <w:sz w:val="19"/>
              </w:rPr>
              <w:t>Activity</w:t>
            </w:r>
          </w:p>
        </w:tc>
        <w:tc>
          <w:tcPr>
            <w:tcW w:type="dxa" w:w="7160"/>
            <w:vAlign w:val="center"/>
            <w:tcMar>
              <w:top w:w="80" w:type="dxa"/>
              <w:start w:w="120" w:type="dxa"/>
              <w:bottom w:w="80" w:type="dxa"/>
              <w:end w:w="120" w:type="dxa"/>
            </w:tcMar>
          </w:tcPr>
          <w:p>
            <w:pPr>
              <w:spacing w:after="0"/>
            </w:pPr>
            <w:r>
              <w:rPr>
                <w:rFonts w:ascii="Calibri" w:hAnsi="Calibri"/>
                <w:color w:val="182230"/>
                <w:sz w:val="19"/>
              </w:rPr>
              <w:t>Review who changed membership, company details, or onboarding status and when.</w:t>
            </w:r>
          </w:p>
        </w:tc>
      </w:tr>
      <w:tr>
        <w:tc>
          <w:tcPr>
            <w:tcW w:type="dxa" w:w="2200"/>
            <w:vAlign w:val="center"/>
            <w:tcMar>
              <w:top w:w="80" w:type="dxa"/>
              <w:start w:w="120" w:type="dxa"/>
              <w:bottom w:w="80" w:type="dxa"/>
              <w:end w:w="120" w:type="dxa"/>
            </w:tcMar>
          </w:tcPr>
          <w:p>
            <w:pPr>
              <w:spacing w:after="0"/>
            </w:pPr>
            <w:r>
              <w:rPr>
                <w:rFonts w:ascii="Calibri" w:hAnsi="Calibri"/>
                <w:color w:val="182230"/>
                <w:sz w:val="19"/>
              </w:rPr>
              <w:t>Businesses</w:t>
            </w:r>
          </w:p>
        </w:tc>
        <w:tc>
          <w:tcPr>
            <w:tcW w:type="dxa" w:w="7160"/>
            <w:vAlign w:val="center"/>
            <w:tcMar>
              <w:top w:w="80" w:type="dxa"/>
              <w:start w:w="120" w:type="dxa"/>
              <w:bottom w:w="80" w:type="dxa"/>
              <w:end w:w="120" w:type="dxa"/>
            </w:tcMar>
          </w:tcPr>
          <w:p>
            <w:pPr>
              <w:spacing w:after="0"/>
            </w:pPr>
            <w:r>
              <w:rPr>
                <w:rFonts w:ascii="Calibri" w:hAnsi="Calibri"/>
                <w:color w:val="182230"/>
                <w:sz w:val="19"/>
              </w:rPr>
              <w:t>Techionik super admins create and filter multiple business tenants.</w:t>
            </w:r>
          </w:p>
        </w:tc>
      </w:tr>
    </w:tbl>
    <w:p>
      <w:pPr>
        <w:spacing w:after="40"/>
      </w:pPr>
    </w:p>
    <w:p>
      <w:pPr>
        <w:pStyle w:val="Heading2"/>
      </w:pPr>
      <w:r>
        <w:t>Recommended onboarding status sequence</w:t>
      </w:r>
    </w:p>
    <w:p>
      <w:pPr>
        <w:pStyle w:val="ListNumber"/>
      </w:pPr>
      <w:r>
        <w:rPr>
          <w:rFonts w:ascii="Calibri" w:hAnsi="Calibri"/>
          <w:color w:val="182230"/>
        </w:rPr>
        <w:t>Profile Pending</w:t>
      </w:r>
    </w:p>
    <w:p>
      <w:pPr>
        <w:pStyle w:val="ListNumber"/>
      </w:pPr>
      <w:r>
        <w:rPr>
          <w:rFonts w:ascii="Calibri" w:hAnsi="Calibri"/>
          <w:color w:val="182230"/>
        </w:rPr>
        <w:t>Product Mapping Pending</w:t>
      </w:r>
    </w:p>
    <w:p>
      <w:pPr>
        <w:pStyle w:val="ListNumber"/>
      </w:pPr>
      <w:r>
        <w:rPr>
          <w:rFonts w:ascii="Calibri" w:hAnsi="Calibri"/>
          <w:color w:val="182230"/>
        </w:rPr>
        <w:t>IRIS Registration Pending</w:t>
      </w:r>
    </w:p>
    <w:p>
      <w:pPr>
        <w:pStyle w:val="ListNumber"/>
      </w:pPr>
      <w:r>
        <w:rPr>
          <w:rFonts w:ascii="Calibri" w:hAnsi="Calibri"/>
          <w:color w:val="182230"/>
        </w:rPr>
        <w:t>IP Whitelist Pending</w:t>
      </w:r>
    </w:p>
    <w:p>
      <w:pPr>
        <w:pStyle w:val="ListNumber"/>
      </w:pPr>
      <w:r>
        <w:rPr>
          <w:rFonts w:ascii="Calibri" w:hAnsi="Calibri"/>
          <w:color w:val="182230"/>
        </w:rPr>
        <w:t>Sandbox Token Pending</w:t>
      </w:r>
    </w:p>
    <w:p>
      <w:pPr>
        <w:pStyle w:val="ListNumber"/>
      </w:pPr>
      <w:r>
        <w:rPr>
          <w:rFonts w:ascii="Calibri" w:hAnsi="Calibri"/>
          <w:color w:val="182230"/>
        </w:rPr>
        <w:t>Sandbox Testing</w:t>
      </w:r>
    </w:p>
    <w:p>
      <w:pPr>
        <w:pStyle w:val="ListNumber"/>
      </w:pPr>
      <w:r>
        <w:rPr>
          <w:rFonts w:ascii="Calibri" w:hAnsi="Calibri"/>
          <w:color w:val="182230"/>
        </w:rPr>
        <w:t>Client Testing</w:t>
      </w:r>
    </w:p>
    <w:p>
      <w:pPr>
        <w:pStyle w:val="ListNumber"/>
      </w:pPr>
      <w:r>
        <w:rPr>
          <w:rFonts w:ascii="Calibri" w:hAnsi="Calibri"/>
          <w:color w:val="182230"/>
        </w:rPr>
        <w:t>Production Token Pending</w:t>
      </w:r>
    </w:p>
    <w:p>
      <w:pPr>
        <w:pStyle w:val="ListNumber"/>
      </w:pPr>
      <w:r>
        <w:rPr>
          <w:rFonts w:ascii="Calibri" w:hAnsi="Calibri"/>
          <w:color w:val="182230"/>
        </w:rPr>
        <w:t>Ready for Live</w:t>
      </w:r>
    </w:p>
    <w:p>
      <w:pPr>
        <w:pStyle w:val="ListNumber"/>
      </w:pPr>
      <w:r>
        <w:rPr>
          <w:rFonts w:ascii="Calibri" w:hAnsi="Calibri"/>
          <w:color w:val="182230"/>
        </w:rPr>
        <w:t>Live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FF4CC"/>
          </w:tcPr>
          <w:p>
            <w:pPr>
              <w:spacing w:after="40"/>
            </w:pPr>
            <w:r>
              <w:rPr>
                <w:rFonts w:ascii="Calibri" w:hAnsi="Calibri"/>
                <w:b/>
                <w:color w:val="7A5A00"/>
              </w:rPr>
              <w:t xml:space="preserve">Status discipline: </w:t>
            </w:r>
            <w:r>
              <w:rPr>
                <w:rFonts w:ascii="Calibri" w:hAnsi="Calibri"/>
                <w:color w:val="7A5A00"/>
              </w:rPr>
              <w:t>Only advance a status when evidence exists. For example, mark IP whitelisting Approved only after PRAL confirms it, and mark sandbox Passed only after all scenarios applicable to the client's business nature and sector have succeeded.</w:t>
            </w:r>
          </w:p>
        </w:tc>
      </w:tr>
    </w:tbl>
    <w:p>
      <w:pPr>
        <w:spacing w:after="20"/>
      </w:pPr>
    </w:p>
    <w:p>
      <w:pPr>
        <w:pStyle w:val="Heading1"/>
      </w:pPr>
      <w:r>
        <w:t>5. Company Profile and Master Data</w:t>
      </w:r>
    </w:p>
    <w:p>
      <w:pPr>
        <w:pStyle w:val="Heading2"/>
      </w:pPr>
      <w:r>
        <w:t>Company profile</w:t>
      </w:r>
    </w:p>
    <w:p>
      <w:pPr>
        <w:pStyle w:val="ListBullet"/>
      </w:pPr>
      <w:r>
        <w:rPr>
          <w:rFonts w:ascii="Calibri" w:hAnsi="Calibri"/>
          <w:color w:val="182230"/>
        </w:rPr>
        <w:t>Enter the registered company name exactly as shown in FBR records.</w:t>
      </w:r>
    </w:p>
    <w:p>
      <w:pPr>
        <w:pStyle w:val="ListBullet"/>
      </w:pPr>
      <w:r>
        <w:rPr>
          <w:rFonts w:ascii="Calibri" w:hAnsi="Calibri"/>
          <w:color w:val="182230"/>
        </w:rPr>
        <w:t>Enter the NTN or CNIC in the correct format.</w:t>
      </w:r>
    </w:p>
    <w:p>
      <w:pPr>
        <w:pStyle w:val="ListBullet"/>
      </w:pPr>
      <w:r>
        <w:rPr>
          <w:rFonts w:ascii="Calibri" w:hAnsi="Calibri"/>
          <w:color w:val="182230"/>
        </w:rPr>
        <w:t>Maintain business type, province, complete address, telephone, email, and logo where required.</w:t>
      </w:r>
    </w:p>
    <w:p>
      <w:pPr>
        <w:pStyle w:val="ListBullet"/>
      </w:pPr>
      <w:r>
        <w:rPr>
          <w:rFonts w:ascii="Calibri" w:hAnsi="Calibri"/>
          <w:color w:val="182230"/>
        </w:rPr>
        <w:t>Save and verify the profile before creating invoices; seller details are populated from this record.</w:t>
      </w:r>
    </w:p>
    <w:p>
      <w:pPr>
        <w:pStyle w:val="Heading2"/>
      </w:pPr>
      <w:r>
        <w:t>Customers</w:t>
      </w:r>
    </w:p>
    <w:p>
      <w:r>
        <w:rPr>
          <w:rFonts w:ascii="Calibri" w:hAnsi="Calibri"/>
          <w:i w:val="0"/>
          <w:color w:val="182230"/>
        </w:rPr>
        <w:t>Use Customers to maintain repeat buyers. Store the buyer name, registration number, registration type, province, and address. Registered and unregistered buyers may require different data and sandbox scenarios.</w:t>
      </w:r>
    </w:p>
    <w:p>
      <w:pPr>
        <w:pStyle w:val="Heading2"/>
      </w:pPr>
      <w:r>
        <w:t>Products</w:t>
      </w:r>
    </w:p>
    <w:p>
      <w:r>
        <w:rPr>
          <w:rFonts w:ascii="Calibri" w:hAnsi="Calibri"/>
          <w:i w:val="0"/>
          <w:color w:val="182230"/>
        </w:rPr>
        <w:t>Use Products for commercial product records and product mappings for FBR tax metadata. Each invoice line should resolve to the correct HS code, unit of measure, sales tax rate, sale type, SRO schedule/item where applicable, FED, further tax, and fixed/notified value rules.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DE8E7"/>
          </w:tcPr>
          <w:p>
            <w:pPr>
              <w:spacing w:after="40"/>
            </w:pPr>
            <w:r>
              <w:rPr>
                <w:rFonts w:ascii="Calibri" w:hAnsi="Calibri"/>
                <w:b/>
                <w:color w:val="9B1C1C"/>
              </w:rPr>
              <w:t xml:space="preserve">Tax mapping control: </w:t>
            </w:r>
            <w:r>
              <w:rPr>
                <w:rFonts w:ascii="Calibri" w:hAnsi="Calibri"/>
                <w:color w:val="9B1C1C"/>
              </w:rPr>
              <w:t>Do not guess HS codes, rates, sale types, or SRO references. Mapping must be confirmed against the client's product facts and current FBR reference data, ideally reviewed by the client's tax adviser.</w:t>
            </w:r>
          </w:p>
        </w:tc>
      </w:tr>
    </w:tbl>
    <w:p>
      <w:pPr>
        <w:spacing w:after="20"/>
      </w:pPr>
    </w:p>
    <w:p>
      <w:pPr>
        <w:pStyle w:val="Heading2"/>
      </w:pPr>
      <w:r>
        <w:t>Services and staff</w:t>
      </w:r>
    </w:p>
    <w:p>
      <w:r>
        <w:rPr>
          <w:rFonts w:ascii="Calibri" w:hAnsi="Calibri"/>
          <w:i w:val="0"/>
          <w:color w:val="182230"/>
        </w:rPr>
        <w:t>Services maintains service records used by the business. Staff provides an operational staff directory. Company membership and security roles are managed from Onboarding; staff records alone do not grant tenant access.</w:t>
      </w:r>
    </w:p>
    <w:p>
      <w:pPr>
        <w:pStyle w:val="Heading1"/>
      </w:pPr>
      <w:r>
        <w:t>6. Invoice Operations</w:t>
      </w:r>
    </w:p>
    <w:p>
      <w:pPr>
        <w:pStyle w:val="Heading2"/>
      </w:pPr>
      <w:r>
        <w:t>Create an invoice</w:t>
      </w:r>
    </w:p>
    <w:p>
      <w:pPr>
        <w:pStyle w:val="ListNumber"/>
      </w:pPr>
      <w:r>
        <w:rPr>
          <w:rFonts w:ascii="Calibri" w:hAnsi="Calibri"/>
          <w:b/>
          <w:color w:val="182230"/>
        </w:rPr>
        <w:t xml:space="preserve">Open Invoices &gt; Add Invoice. </w:t>
      </w:r>
      <w:r>
        <w:rPr>
          <w:rFonts w:ascii="Calibri" w:hAnsi="Calibri"/>
          <w:color w:val="182230"/>
        </w:rPr>
        <w:t>Confirm the active company and current FBR environment.</w:t>
      </w:r>
    </w:p>
    <w:p>
      <w:pPr>
        <w:pStyle w:val="ListNumber"/>
      </w:pPr>
      <w:r>
        <w:rPr>
          <w:rFonts w:ascii="Calibri" w:hAnsi="Calibri"/>
          <w:b/>
          <w:color w:val="182230"/>
        </w:rPr>
        <w:t xml:space="preserve">Choose the invoice type and date. </w:t>
      </w:r>
      <w:r>
        <w:rPr>
          <w:rFonts w:ascii="Calibri" w:hAnsi="Calibri"/>
          <w:color w:val="182230"/>
        </w:rPr>
        <w:t>For debit/credit notes, provide the original FBR invoice reference where required.</w:t>
      </w:r>
    </w:p>
    <w:p>
      <w:pPr>
        <w:pStyle w:val="ListNumber"/>
      </w:pPr>
      <w:r>
        <w:rPr>
          <w:rFonts w:ascii="Calibri" w:hAnsi="Calibri"/>
          <w:b/>
          <w:color w:val="182230"/>
        </w:rPr>
        <w:t xml:space="preserve">Review seller details. </w:t>
      </w:r>
      <w:r>
        <w:rPr>
          <w:rFonts w:ascii="Calibri" w:hAnsi="Calibri"/>
          <w:color w:val="182230"/>
        </w:rPr>
        <w:t>They should match the active company's saved profile and FBR registration.</w:t>
      </w:r>
    </w:p>
    <w:p>
      <w:pPr>
        <w:pStyle w:val="ListNumber"/>
      </w:pPr>
      <w:r>
        <w:rPr>
          <w:rFonts w:ascii="Calibri" w:hAnsi="Calibri"/>
          <w:b/>
          <w:color w:val="182230"/>
        </w:rPr>
        <w:t xml:space="preserve">Select or enter the buyer. </w:t>
      </w:r>
      <w:r>
        <w:rPr>
          <w:rFonts w:ascii="Calibri" w:hAnsi="Calibri"/>
          <w:color w:val="182230"/>
        </w:rPr>
        <w:t>Confirm registration type, NTN/CNIC, province, business name, and address.</w:t>
      </w:r>
    </w:p>
    <w:p>
      <w:pPr>
        <w:pStyle w:val="ListNumber"/>
      </w:pPr>
      <w:r>
        <w:rPr>
          <w:rFonts w:ascii="Calibri" w:hAnsi="Calibri"/>
          <w:b/>
          <w:color w:val="182230"/>
        </w:rPr>
        <w:t xml:space="preserve">Select the sandbox scenario when testing. </w:t>
      </w:r>
      <w:r>
        <w:rPr>
          <w:rFonts w:ascii="Calibri" w:hAnsi="Calibri"/>
          <w:color w:val="182230"/>
        </w:rPr>
        <w:t>The list comes from the backend; production invoices normally do not carry a sandbox scenario ID.</w:t>
      </w:r>
    </w:p>
    <w:p>
      <w:pPr>
        <w:pStyle w:val="ListNumber"/>
      </w:pPr>
      <w:r>
        <w:rPr>
          <w:rFonts w:ascii="Calibri" w:hAnsi="Calibri"/>
          <w:b/>
          <w:color w:val="182230"/>
        </w:rPr>
        <w:t xml:space="preserve">Add one or more items. </w:t>
      </w:r>
      <w:r>
        <w:rPr>
          <w:rFonts w:ascii="Calibri" w:hAnsi="Calibri"/>
          <w:color w:val="182230"/>
        </w:rPr>
        <w:t>Select a mapped product where possible, then enter quantity and value. Review calculated tax and total fields.</w:t>
      </w:r>
    </w:p>
    <w:p>
      <w:pPr>
        <w:pStyle w:val="ListNumber"/>
      </w:pPr>
      <w:r>
        <w:rPr>
          <w:rFonts w:ascii="Calibri" w:hAnsi="Calibri"/>
          <w:b/>
          <w:color w:val="182230"/>
        </w:rPr>
        <w:t xml:space="preserve">Validate. </w:t>
      </w:r>
      <w:r>
        <w:rPr>
          <w:rFonts w:ascii="Calibri" w:hAnsi="Calibri"/>
          <w:color w:val="182230"/>
        </w:rPr>
        <w:t>Correct any field-level FBR errors shown by the application.</w:t>
      </w:r>
    </w:p>
    <w:p>
      <w:pPr>
        <w:pStyle w:val="ListNumber"/>
      </w:pPr>
      <w:r>
        <w:rPr>
          <w:rFonts w:ascii="Calibri" w:hAnsi="Calibri"/>
          <w:b/>
          <w:color w:val="182230"/>
        </w:rPr>
        <w:t xml:space="preserve">Submit. </w:t>
      </w:r>
      <w:r>
        <w:rPr>
          <w:rFonts w:ascii="Calibri" w:hAnsi="Calibri"/>
          <w:color w:val="182230"/>
        </w:rPr>
        <w:t>Wait for the final response. Do not repeatedly click Submit while a request is processing.</w:t>
      </w:r>
    </w:p>
    <w:p>
      <w:pPr>
        <w:pStyle w:val="ListNumber"/>
      </w:pPr>
      <w:r>
        <w:rPr>
          <w:rFonts w:ascii="Calibri" w:hAnsi="Calibri"/>
          <w:b/>
          <w:color w:val="182230"/>
        </w:rPr>
        <w:t xml:space="preserve">Confirm success. </w:t>
      </w:r>
      <w:r>
        <w:rPr>
          <w:rFonts w:ascii="Calibri" w:hAnsi="Calibri"/>
          <w:color w:val="182230"/>
        </w:rPr>
        <w:t>Record the returned FBR invoice number and review the generated invoice/QR code.</w:t>
      </w:r>
    </w:p>
    <w:p>
      <w:pPr>
        <w:pStyle w:val="Heading2"/>
      </w:pPr>
      <w:r>
        <w:t>Upload an invoice</w:t>
      </w:r>
    </w:p>
    <w:p>
      <w:pPr>
        <w:pStyle w:val="ListNumber"/>
      </w:pPr>
      <w:r>
        <w:rPr>
          <w:rFonts w:ascii="Calibri" w:hAnsi="Calibri"/>
          <w:color w:val="182230"/>
        </w:rPr>
        <w:t>Open Invoices &gt; Upload Invoice.</w:t>
      </w:r>
    </w:p>
    <w:p>
      <w:pPr>
        <w:pStyle w:val="ListNumber"/>
      </w:pPr>
      <w:r>
        <w:rPr>
          <w:rFonts w:ascii="Calibri" w:hAnsi="Calibri"/>
          <w:color w:val="182230"/>
        </w:rPr>
        <w:t>Choose the supported invoice file and review the preview.</w:t>
      </w:r>
    </w:p>
    <w:p>
      <w:pPr>
        <w:pStyle w:val="ListNumber"/>
      </w:pPr>
      <w:r>
        <w:rPr>
          <w:rFonts w:ascii="Calibri" w:hAnsi="Calibri"/>
          <w:color w:val="182230"/>
        </w:rPr>
        <w:t>Resolve validation or mapping errors before submission.</w:t>
      </w:r>
    </w:p>
    <w:p>
      <w:pPr>
        <w:pStyle w:val="ListNumber"/>
      </w:pPr>
      <w:r>
        <w:rPr>
          <w:rFonts w:ascii="Calibri" w:hAnsi="Calibri"/>
          <w:color w:val="182230"/>
        </w:rPr>
        <w:t>Submit and confirm the final FBR result in invoice history.</w:t>
      </w:r>
    </w:p>
    <w:p>
      <w:pPr>
        <w:pStyle w:val="Heading2"/>
      </w:pPr>
      <w:r>
        <w:t>Correcting a failed invoice</w:t>
      </w:r>
    </w:p>
    <w:p>
      <w:pPr>
        <w:pStyle w:val="ListBullet"/>
      </w:pPr>
      <w:r>
        <w:rPr>
          <w:rFonts w:ascii="Calibri" w:hAnsi="Calibri"/>
          <w:color w:val="182230"/>
        </w:rPr>
        <w:t>Read the error code, FBR message, mapped field, and suggested fix.</w:t>
      </w:r>
    </w:p>
    <w:p>
      <w:pPr>
        <w:pStyle w:val="ListBullet"/>
      </w:pPr>
      <w:r>
        <w:rPr>
          <w:rFonts w:ascii="Calibri" w:hAnsi="Calibri"/>
          <w:color w:val="182230"/>
        </w:rPr>
        <w:t>Correct master data first when the same error will affect multiple invoices.</w:t>
      </w:r>
    </w:p>
    <w:p>
      <w:pPr>
        <w:pStyle w:val="ListBullet"/>
      </w:pPr>
      <w:r>
        <w:rPr>
          <w:rFonts w:ascii="Calibri" w:hAnsi="Calibri"/>
          <w:color w:val="182230"/>
        </w:rPr>
        <w:t>Revalidate after changes, then submit once.</w:t>
      </w:r>
    </w:p>
    <w:p>
      <w:pPr>
        <w:pStyle w:val="ListBullet"/>
      </w:pPr>
      <w:r>
        <w:rPr>
          <w:rFonts w:ascii="Calibri" w:hAnsi="Calibri"/>
          <w:color w:val="182230"/>
        </w:rPr>
        <w:t>Use a debit/credit note workflow for correction of an already accepted invoice where FBR rules require it; do not overwrite the accepted record.</w:t>
      </w:r>
    </w:p>
    <w:p>
      <w:pPr>
        <w:pStyle w:val="Heading1"/>
      </w:pPr>
      <w:r>
        <w:t>7. Dashboard and Invoice History</w:t>
      </w:r>
    </w:p>
    <w:p>
      <w:r>
        <w:rPr>
          <w:rFonts w:ascii="Calibri" w:hAnsi="Calibri"/>
          <w:i w:val="0"/>
          <w:color w:val="182230"/>
        </w:rPr>
        <w:t>The Dashboard summarizes total, submitted, failed, and draft invoices for the active company. It also displays invoice activity, recent invoices, token readiness, queue state, and validation health.</w:t>
      </w:r>
    </w:p>
    <w:p>
      <w:pPr>
        <w:pStyle w:val="ListBullet"/>
      </w:pPr>
      <w:r>
        <w:rPr>
          <w:rFonts w:ascii="Calibri" w:hAnsi="Calibri"/>
          <w:color w:val="182230"/>
        </w:rPr>
        <w:t>Use the date control to change the reporting period.</w:t>
      </w:r>
    </w:p>
    <w:p>
      <w:pPr>
        <w:pStyle w:val="ListBullet"/>
      </w:pPr>
      <w:r>
        <w:rPr>
          <w:rFonts w:ascii="Calibri" w:hAnsi="Calibri"/>
          <w:color w:val="182230"/>
        </w:rPr>
        <w:t>Open Invoices to review stored invoice records and submission status.</w:t>
      </w:r>
    </w:p>
    <w:p>
      <w:pPr>
        <w:pStyle w:val="ListBullet"/>
      </w:pPr>
      <w:r>
        <w:rPr>
          <w:rFonts w:ascii="Calibri" w:hAnsi="Calibri"/>
          <w:color w:val="182230"/>
        </w:rPr>
        <w:t>Treat a returned FBR invoice number as the primary success indicator.</w:t>
      </w:r>
    </w:p>
    <w:p>
      <w:pPr>
        <w:pStyle w:val="ListBullet"/>
      </w:pPr>
      <w:r>
        <w:rPr>
          <w:rFonts w:ascii="Calibri" w:hAnsi="Calibri"/>
          <w:color w:val="182230"/>
        </w:rPr>
        <w:t>A local Draft or Offline state is not an FBR submission.</w:t>
      </w:r>
    </w:p>
    <w:p>
      <w:pPr>
        <w:pStyle w:val="ListBullet"/>
      </w:pPr>
      <w:r>
        <w:rPr>
          <w:rFonts w:ascii="Calibri" w:hAnsi="Calibri"/>
          <w:color w:val="182230"/>
        </w:rPr>
        <w:t>A Failed status requires correction or retry; preserve the response for support.</w:t>
      </w:r>
    </w:p>
    <w:p>
      <w:pPr>
        <w:pStyle w:val="Heading1"/>
      </w:pPr>
      <w:r>
        <w:t>8. Offline Queue and Recovery</w:t>
      </w:r>
    </w:p>
    <w:p>
      <w:r>
        <w:rPr>
          <w:rFonts w:ascii="Calibri" w:hAnsi="Calibri"/>
          <w:i w:val="0"/>
          <w:color w:val="182230"/>
        </w:rPr>
        <w:t>When a user cannot reach the backend/FBR path, the platform can queue an invoice for later processing. Queued records remain company-specific and should be monitored until they receive a final FBR result.</w:t>
      </w:r>
    </w:p>
    <w:p>
      <w:pPr>
        <w:pStyle w:val="ListNumber"/>
      </w:pPr>
      <w:r>
        <w:rPr>
          <w:rFonts w:ascii="Calibri" w:hAnsi="Calibri"/>
          <w:color w:val="182230"/>
        </w:rPr>
        <w:t>Create the invoice while offline or during a temporary connectivity failure.</w:t>
      </w:r>
    </w:p>
    <w:p>
      <w:pPr>
        <w:pStyle w:val="ListNumber"/>
      </w:pPr>
      <w:r>
        <w:rPr>
          <w:rFonts w:ascii="Calibri" w:hAnsi="Calibri"/>
          <w:color w:val="182230"/>
        </w:rPr>
        <w:t>Confirm that the application reports the invoice as queued, not submitted.</w:t>
      </w:r>
    </w:p>
    <w:p>
      <w:pPr>
        <w:pStyle w:val="ListNumber"/>
      </w:pPr>
      <w:r>
        <w:rPr>
          <w:rFonts w:ascii="Calibri" w:hAnsi="Calibri"/>
          <w:color w:val="182230"/>
        </w:rPr>
        <w:t>Open Invoices &gt; Offline Queue and review Pending, Upload Failed, Processing, Submitted, and Failed states.</w:t>
      </w:r>
    </w:p>
    <w:p>
      <w:pPr>
        <w:pStyle w:val="ListNumber"/>
      </w:pPr>
      <w:r>
        <w:rPr>
          <w:rFonts w:ascii="Calibri" w:hAnsi="Calibri"/>
          <w:color w:val="182230"/>
        </w:rPr>
        <w:t>When connectivity returns, allow automatic processing or use the manual retry action.</w:t>
      </w:r>
    </w:p>
    <w:p>
      <w:pPr>
        <w:pStyle w:val="ListNumber"/>
      </w:pPr>
      <w:r>
        <w:rPr>
          <w:rFonts w:ascii="Calibri" w:hAnsi="Calibri"/>
          <w:color w:val="182230"/>
        </w:rPr>
        <w:t>After retry, verify the FBR invoice number in invoice history.</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DE8E7"/>
          </w:tcPr>
          <w:p>
            <w:pPr>
              <w:spacing w:after="40"/>
            </w:pPr>
            <w:r>
              <w:rPr>
                <w:rFonts w:ascii="Calibri" w:hAnsi="Calibri"/>
                <w:b/>
                <w:color w:val="9B1C1C"/>
              </w:rPr>
              <w:t xml:space="preserve">Avoid duplicates: </w:t>
            </w:r>
            <w:r>
              <w:rPr>
                <w:rFonts w:ascii="Calibri" w:hAnsi="Calibri"/>
                <w:color w:val="9B1C1C"/>
              </w:rPr>
              <w:t>Do not recreate and resubmit the same commercial invoice while its offline copy is still pending. Resolve or remove the queued record through the approved workflow first.</w:t>
            </w:r>
          </w:p>
        </w:tc>
      </w:tr>
    </w:tbl>
    <w:p>
      <w:pPr>
        <w:spacing w:after="20"/>
      </w:pPr>
    </w:p>
    <w:p>
      <w:pPr>
        <w:pStyle w:val="Heading1"/>
      </w:pPr>
      <w:r>
        <w:t>9. Sandbox Testing and Certification</w:t>
      </w:r>
    </w:p>
    <w:p>
      <w:pPr>
        <w:pStyle w:val="Heading2"/>
      </w:pPr>
      <w:r>
        <w:t>Preflight</w:t>
      </w:r>
    </w:p>
    <w:p>
      <w:r>
        <w:rPr>
          <w:rFonts w:ascii="Calibri" w:hAnsi="Calibri"/>
          <w:i w:val="0"/>
          <w:color w:val="182230"/>
        </w:rPr>
        <w:t>Open Sandbox and review Live Sandbox Preflight. A live PRAL run should remain disabled until all blocking checks pass.</w:t>
      </w:r>
    </w:p>
    <w:tbl>
      <w:tblPr>
        <w:tblStyle w:val="TableGrid"/>
        <w:tblW w:type="dxa" w:w="9360"/>
        <w:jc w:val="left"/>
        <w:tblLayout w:type="fixed"/>
        <w:tblLook w:firstColumn="1" w:firstRow="1" w:lastColumn="0" w:lastRow="0" w:noHBand="0" w:noVBand="1" w:val="04A0"/>
        <w:tblInd w:w="120" w:type="dxa"/>
      </w:tblPr>
      <w:tblGrid>
        <w:gridCol w:w="3400"/>
        <w:gridCol w:w="5960"/>
      </w:tblGrid>
      <w:tr>
        <w:trPr>
          <w:tblHeader w:val="true"/>
        </w:trPr>
        <w:tc>
          <w:tcPr>
            <w:tcW w:type="dxa" w:w="3400"/>
            <w:shd w:fill="E8EEF5"/>
            <w:vAlign w:val="center"/>
            <w:tcMar>
              <w:top w:w="80" w:type="dxa"/>
              <w:start w:w="120" w:type="dxa"/>
              <w:bottom w:w="80" w:type="dxa"/>
              <w:end w:w="120" w:type="dxa"/>
            </w:tcMar>
          </w:tcPr>
          <w:p>
            <w:pPr>
              <w:spacing w:after="0"/>
              <w:jc w:val="left"/>
            </w:pPr>
            <w:r>
              <w:rPr>
                <w:rFonts w:ascii="Calibri" w:hAnsi="Calibri"/>
                <w:b/>
                <w:color w:val="0B2545"/>
                <w:sz w:val="19"/>
              </w:rPr>
              <w:t>Preflight check</w:t>
            </w:r>
          </w:p>
        </w:tc>
        <w:tc>
          <w:tcPr>
            <w:tcW w:type="dxa" w:w="5960"/>
            <w:shd w:fill="E8EEF5"/>
            <w:vAlign w:val="center"/>
            <w:tcMar>
              <w:top w:w="80" w:type="dxa"/>
              <w:start w:w="120" w:type="dxa"/>
              <w:bottom w:w="80" w:type="dxa"/>
              <w:end w:w="120" w:type="dxa"/>
            </w:tcMar>
          </w:tcPr>
          <w:p>
            <w:pPr>
              <w:spacing w:after="0"/>
              <w:jc w:val="left"/>
            </w:pPr>
            <w:r>
              <w:rPr>
                <w:rFonts w:ascii="Calibri" w:hAnsi="Calibri"/>
                <w:b/>
                <w:color w:val="0B2545"/>
                <w:sz w:val="19"/>
              </w:rPr>
              <w:t>Required state</w:t>
            </w:r>
          </w:p>
        </w:tc>
      </w:tr>
      <w:tr>
        <w:tc>
          <w:tcPr>
            <w:tcW w:type="dxa" w:w="3400"/>
            <w:vAlign w:val="center"/>
            <w:tcMar>
              <w:top w:w="80" w:type="dxa"/>
              <w:start w:w="120" w:type="dxa"/>
              <w:bottom w:w="80" w:type="dxa"/>
              <w:end w:w="120" w:type="dxa"/>
            </w:tcMar>
          </w:tcPr>
          <w:p>
            <w:pPr>
              <w:spacing w:after="0"/>
            </w:pPr>
            <w:r>
              <w:rPr>
                <w:rFonts w:ascii="Calibri" w:hAnsi="Calibri"/>
                <w:color w:val="182230"/>
                <w:sz w:val="19"/>
              </w:rPr>
              <w:t>Environment</w:t>
            </w:r>
          </w:p>
        </w:tc>
        <w:tc>
          <w:tcPr>
            <w:tcW w:type="dxa" w:w="5960"/>
            <w:vAlign w:val="center"/>
            <w:tcMar>
              <w:top w:w="80" w:type="dxa"/>
              <w:start w:w="120" w:type="dxa"/>
              <w:bottom w:w="80" w:type="dxa"/>
              <w:end w:w="120" w:type="dxa"/>
            </w:tcMar>
          </w:tcPr>
          <w:p>
            <w:pPr>
              <w:spacing w:after="0"/>
            </w:pPr>
            <w:r>
              <w:rPr>
                <w:rFonts w:ascii="Calibri" w:hAnsi="Calibri"/>
                <w:color w:val="182230"/>
                <w:sz w:val="19"/>
              </w:rPr>
              <w:t>Sandbox</w:t>
            </w:r>
          </w:p>
        </w:tc>
      </w:tr>
      <w:tr>
        <w:tc>
          <w:tcPr>
            <w:tcW w:type="dxa" w:w="3400"/>
            <w:vAlign w:val="center"/>
            <w:tcMar>
              <w:top w:w="80" w:type="dxa"/>
              <w:start w:w="120" w:type="dxa"/>
              <w:bottom w:w="80" w:type="dxa"/>
              <w:end w:w="120" w:type="dxa"/>
            </w:tcMar>
          </w:tcPr>
          <w:p>
            <w:pPr>
              <w:spacing w:after="0"/>
            </w:pPr>
            <w:r>
              <w:rPr>
                <w:rFonts w:ascii="Calibri" w:hAnsi="Calibri"/>
                <w:color w:val="182230"/>
                <w:sz w:val="19"/>
              </w:rPr>
              <w:t>Mock mode</w:t>
            </w:r>
          </w:p>
        </w:tc>
        <w:tc>
          <w:tcPr>
            <w:tcW w:type="dxa" w:w="5960"/>
            <w:vAlign w:val="center"/>
            <w:tcMar>
              <w:top w:w="80" w:type="dxa"/>
              <w:start w:w="120" w:type="dxa"/>
              <w:bottom w:w="80" w:type="dxa"/>
              <w:end w:w="120" w:type="dxa"/>
            </w:tcMar>
          </w:tcPr>
          <w:p>
            <w:pPr>
              <w:spacing w:after="0"/>
            </w:pPr>
            <w:r>
              <w:rPr>
                <w:rFonts w:ascii="Calibri" w:hAnsi="Calibri"/>
                <w:color w:val="182230"/>
                <w:sz w:val="19"/>
              </w:rPr>
              <w:t>Disabled for a live PRAL run</w:t>
            </w:r>
          </w:p>
        </w:tc>
      </w:tr>
      <w:tr>
        <w:tc>
          <w:tcPr>
            <w:tcW w:type="dxa" w:w="3400"/>
            <w:vAlign w:val="center"/>
            <w:tcMar>
              <w:top w:w="80" w:type="dxa"/>
              <w:start w:w="120" w:type="dxa"/>
              <w:bottom w:w="80" w:type="dxa"/>
              <w:end w:w="120" w:type="dxa"/>
            </w:tcMar>
          </w:tcPr>
          <w:p>
            <w:pPr>
              <w:spacing w:after="0"/>
            </w:pPr>
            <w:r>
              <w:rPr>
                <w:rFonts w:ascii="Calibri" w:hAnsi="Calibri"/>
                <w:color w:val="182230"/>
                <w:sz w:val="19"/>
              </w:rPr>
              <w:t>Sandbox token</w:t>
            </w:r>
          </w:p>
        </w:tc>
        <w:tc>
          <w:tcPr>
            <w:tcW w:type="dxa" w:w="5960"/>
            <w:vAlign w:val="center"/>
            <w:tcMar>
              <w:top w:w="80" w:type="dxa"/>
              <w:start w:w="120" w:type="dxa"/>
              <w:bottom w:w="80" w:type="dxa"/>
              <w:end w:w="120" w:type="dxa"/>
            </w:tcMar>
          </w:tcPr>
          <w:p>
            <w:pPr>
              <w:spacing w:after="0"/>
            </w:pPr>
            <w:r>
              <w:rPr>
                <w:rFonts w:ascii="Calibri" w:hAnsi="Calibri"/>
                <w:color w:val="182230"/>
                <w:sz w:val="19"/>
              </w:rPr>
              <w:t>Configured for the active company</w:t>
            </w:r>
          </w:p>
        </w:tc>
      </w:tr>
      <w:tr>
        <w:tc>
          <w:tcPr>
            <w:tcW w:type="dxa" w:w="3400"/>
            <w:vAlign w:val="center"/>
            <w:tcMar>
              <w:top w:w="80" w:type="dxa"/>
              <w:start w:w="120" w:type="dxa"/>
              <w:bottom w:w="80" w:type="dxa"/>
              <w:end w:w="120" w:type="dxa"/>
            </w:tcMar>
          </w:tcPr>
          <w:p>
            <w:pPr>
              <w:spacing w:after="0"/>
            </w:pPr>
            <w:r>
              <w:rPr>
                <w:rFonts w:ascii="Calibri" w:hAnsi="Calibri"/>
                <w:color w:val="182230"/>
                <w:sz w:val="19"/>
              </w:rPr>
              <w:t>Outbound IP</w:t>
            </w:r>
          </w:p>
        </w:tc>
        <w:tc>
          <w:tcPr>
            <w:tcW w:type="dxa" w:w="5960"/>
            <w:vAlign w:val="center"/>
            <w:tcMar>
              <w:top w:w="80" w:type="dxa"/>
              <w:start w:w="120" w:type="dxa"/>
              <w:bottom w:w="80" w:type="dxa"/>
              <w:end w:w="120" w:type="dxa"/>
            </w:tcMar>
          </w:tcPr>
          <w:p>
            <w:pPr>
              <w:spacing w:after="0"/>
            </w:pPr>
            <w:r>
              <w:rPr>
                <w:rFonts w:ascii="Calibri" w:hAnsi="Calibri"/>
                <w:color w:val="182230"/>
                <w:sz w:val="19"/>
              </w:rPr>
              <w:t>Detected and confirmed as the deployed server's static public egress IP</w:t>
            </w:r>
          </w:p>
        </w:tc>
      </w:tr>
      <w:tr>
        <w:tc>
          <w:tcPr>
            <w:tcW w:type="dxa" w:w="3400"/>
            <w:vAlign w:val="center"/>
            <w:tcMar>
              <w:top w:w="80" w:type="dxa"/>
              <w:start w:w="120" w:type="dxa"/>
              <w:bottom w:w="80" w:type="dxa"/>
              <w:end w:w="120" w:type="dxa"/>
            </w:tcMar>
          </w:tcPr>
          <w:p>
            <w:pPr>
              <w:spacing w:after="0"/>
            </w:pPr>
            <w:r>
              <w:rPr>
                <w:rFonts w:ascii="Calibri" w:hAnsi="Calibri"/>
                <w:color w:val="182230"/>
                <w:sz w:val="19"/>
              </w:rPr>
              <w:t>IP whitelist</w:t>
            </w:r>
          </w:p>
        </w:tc>
        <w:tc>
          <w:tcPr>
            <w:tcW w:type="dxa" w:w="5960"/>
            <w:vAlign w:val="center"/>
            <w:tcMar>
              <w:top w:w="80" w:type="dxa"/>
              <w:start w:w="120" w:type="dxa"/>
              <w:bottom w:w="80" w:type="dxa"/>
              <w:end w:w="120" w:type="dxa"/>
            </w:tcMar>
          </w:tcPr>
          <w:p>
            <w:pPr>
              <w:spacing w:after="0"/>
            </w:pPr>
            <w:r>
              <w:rPr>
                <w:rFonts w:ascii="Calibri" w:hAnsi="Calibri"/>
                <w:color w:val="182230"/>
                <w:sz w:val="19"/>
              </w:rPr>
              <w:t>Approved by PRAL/FBR</w:t>
            </w:r>
          </w:p>
        </w:tc>
      </w:tr>
      <w:tr>
        <w:tc>
          <w:tcPr>
            <w:tcW w:type="dxa" w:w="3400"/>
            <w:vAlign w:val="center"/>
            <w:tcMar>
              <w:top w:w="80" w:type="dxa"/>
              <w:start w:w="120" w:type="dxa"/>
              <w:bottom w:w="80" w:type="dxa"/>
              <w:end w:w="120" w:type="dxa"/>
            </w:tcMar>
          </w:tcPr>
          <w:p>
            <w:pPr>
              <w:spacing w:after="0"/>
            </w:pPr>
            <w:r>
              <w:rPr>
                <w:rFonts w:ascii="Calibri" w:hAnsi="Calibri"/>
                <w:color w:val="182230"/>
                <w:sz w:val="19"/>
              </w:rPr>
              <w:t>Company profile</w:t>
            </w:r>
          </w:p>
        </w:tc>
        <w:tc>
          <w:tcPr>
            <w:tcW w:type="dxa" w:w="5960"/>
            <w:vAlign w:val="center"/>
            <w:tcMar>
              <w:top w:w="80" w:type="dxa"/>
              <w:start w:w="120" w:type="dxa"/>
              <w:bottom w:w="80" w:type="dxa"/>
              <w:end w:w="120" w:type="dxa"/>
            </w:tcMar>
          </w:tcPr>
          <w:p>
            <w:pPr>
              <w:spacing w:after="0"/>
            </w:pPr>
            <w:r>
              <w:rPr>
                <w:rFonts w:ascii="Calibri" w:hAnsi="Calibri"/>
                <w:color w:val="182230"/>
                <w:sz w:val="19"/>
              </w:rPr>
              <w:t>Required seller identity/contact fields complete</w:t>
            </w:r>
          </w:p>
        </w:tc>
      </w:tr>
      <w:tr>
        <w:tc>
          <w:tcPr>
            <w:tcW w:type="dxa" w:w="3400"/>
            <w:vAlign w:val="center"/>
            <w:tcMar>
              <w:top w:w="80" w:type="dxa"/>
              <w:start w:w="120" w:type="dxa"/>
              <w:bottom w:w="80" w:type="dxa"/>
              <w:end w:w="120" w:type="dxa"/>
            </w:tcMar>
          </w:tcPr>
          <w:p>
            <w:pPr>
              <w:spacing w:after="0"/>
            </w:pPr>
            <w:r>
              <w:rPr>
                <w:rFonts w:ascii="Calibri" w:hAnsi="Calibri"/>
                <w:color w:val="182230"/>
                <w:sz w:val="19"/>
              </w:rPr>
              <w:t>Onboarding details</w:t>
            </w:r>
          </w:p>
        </w:tc>
        <w:tc>
          <w:tcPr>
            <w:tcW w:type="dxa" w:w="5960"/>
            <w:vAlign w:val="center"/>
            <w:tcMar>
              <w:top w:w="80" w:type="dxa"/>
              <w:start w:w="120" w:type="dxa"/>
              <w:bottom w:w="80" w:type="dxa"/>
              <w:end w:w="120" w:type="dxa"/>
            </w:tcMar>
          </w:tcPr>
          <w:p>
            <w:pPr>
              <w:spacing w:after="0"/>
            </w:pPr>
            <w:r>
              <w:rPr>
                <w:rFonts w:ascii="Calibri" w:hAnsi="Calibri"/>
                <w:color w:val="182230"/>
                <w:sz w:val="19"/>
              </w:rPr>
              <w:t>Business nature, sector, and technical contact complete</w:t>
            </w:r>
          </w:p>
        </w:tc>
      </w:tr>
      <w:tr>
        <w:tc>
          <w:tcPr>
            <w:tcW w:type="dxa" w:w="3400"/>
            <w:vAlign w:val="center"/>
            <w:tcMar>
              <w:top w:w="80" w:type="dxa"/>
              <w:start w:w="120" w:type="dxa"/>
              <w:bottom w:w="80" w:type="dxa"/>
              <w:end w:w="120" w:type="dxa"/>
            </w:tcMar>
          </w:tcPr>
          <w:p>
            <w:pPr>
              <w:spacing w:after="0"/>
            </w:pPr>
            <w:r>
              <w:rPr>
                <w:rFonts w:ascii="Calibri" w:hAnsi="Calibri"/>
                <w:color w:val="182230"/>
                <w:sz w:val="19"/>
              </w:rPr>
              <w:t>Scenario fixtures</w:t>
            </w:r>
          </w:p>
        </w:tc>
        <w:tc>
          <w:tcPr>
            <w:tcW w:type="dxa" w:w="5960"/>
            <w:vAlign w:val="center"/>
            <w:tcMar>
              <w:top w:w="80" w:type="dxa"/>
              <w:start w:w="120" w:type="dxa"/>
              <w:bottom w:w="80" w:type="dxa"/>
              <w:end w:w="120" w:type="dxa"/>
            </w:tcMar>
          </w:tcPr>
          <w:p>
            <w:pPr>
              <w:spacing w:after="0"/>
            </w:pPr>
            <w:r>
              <w:rPr>
                <w:rFonts w:ascii="Calibri" w:hAnsi="Calibri"/>
                <w:color w:val="182230"/>
                <w:sz w:val="19"/>
              </w:rPr>
              <w:t>All scenarios applicable to the selected business nature and sector are ready</w:t>
            </w:r>
          </w:p>
        </w:tc>
      </w:tr>
    </w:tbl>
    <w:p>
      <w:pPr>
        <w:spacing w:after="40"/>
      </w:pPr>
    </w:p>
    <w:p>
      <w:pPr>
        <w:pStyle w:val="Heading2"/>
      </w:pPr>
      <w:r>
        <w:t>Run and interpret scenarios</w:t>
      </w:r>
    </w:p>
    <w:p>
      <w:pPr>
        <w:pStyle w:val="ListNumber"/>
      </w:pPr>
      <w:r>
        <w:rPr>
          <w:rFonts w:ascii="Calibri" w:hAnsi="Calibri"/>
          <w:color w:val="182230"/>
        </w:rPr>
        <w:t>Run fixtures in Mock mode first to confirm local behavior.</w:t>
      </w:r>
    </w:p>
    <w:p>
      <w:pPr>
        <w:pStyle w:val="ListNumber"/>
      </w:pPr>
      <w:r>
        <w:rPr>
          <w:rFonts w:ascii="Calibri" w:hAnsi="Calibri"/>
          <w:color w:val="182230"/>
        </w:rPr>
        <w:t>Switch to Live FBR only after the preflight allows it.</w:t>
      </w:r>
    </w:p>
    <w:p>
      <w:pPr>
        <w:pStyle w:val="ListNumber"/>
      </w:pPr>
      <w:r>
        <w:rPr>
          <w:rFonts w:ascii="Calibri" w:hAnsi="Calibri"/>
          <w:color w:val="182230"/>
        </w:rPr>
        <w:t>Choose Validate or Submit according to the certification step.</w:t>
      </w:r>
    </w:p>
    <w:p>
      <w:pPr>
        <w:pStyle w:val="ListNumber"/>
      </w:pPr>
      <w:r>
        <w:rPr>
          <w:rFonts w:ascii="Calibri" w:hAnsi="Calibri"/>
          <w:color w:val="182230"/>
        </w:rPr>
        <w:t>Run applicable scenarios individually while diagnosing, then run the complete applicable set.</w:t>
      </w:r>
    </w:p>
    <w:p>
      <w:pPr>
        <w:pStyle w:val="ListNumber"/>
      </w:pPr>
      <w:r>
        <w:rPr>
          <w:rFonts w:ascii="Calibri" w:hAnsi="Calibri"/>
          <w:color w:val="182230"/>
        </w:rPr>
        <w:t>Use the status/source filters to separate Passed, Failed, Not Run, Mock, and Live results.</w:t>
      </w:r>
    </w:p>
    <w:p>
      <w:pPr>
        <w:pStyle w:val="ListNumber"/>
      </w:pPr>
      <w:r>
        <w:rPr>
          <w:rFonts w:ascii="Calibri" w:hAnsi="Calibri"/>
          <w:color w:val="182230"/>
        </w:rPr>
        <w:t>Expand a result to inspect the masked payload, raw FBR response, error code, mapped field, suggested fix, and retry action.</w:t>
      </w:r>
    </w:p>
    <w:p>
      <w:pPr>
        <w:pStyle w:val="ListNumber"/>
      </w:pPr>
      <w:r>
        <w:rPr>
          <w:rFonts w:ascii="Calibri" w:hAnsi="Calibri"/>
          <w:color w:val="182230"/>
        </w:rPr>
        <w:t>Retain successful FBR invoice numbers and the final scenario result summary as evidence.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FF4CC"/>
          </w:tcPr>
          <w:p>
            <w:pPr>
              <w:spacing w:after="40"/>
            </w:pPr>
            <w:r>
              <w:rPr>
                <w:rFonts w:ascii="Calibri" w:hAnsi="Calibri"/>
                <w:b/>
                <w:color w:val="7A5A00"/>
              </w:rPr>
              <w:t xml:space="preserve">Scenario scope: </w:t>
            </w:r>
            <w:r>
              <w:rPr>
                <w:rFonts w:ascii="Calibri" w:hAnsi="Calibri"/>
                <w:color w:val="7A5A00"/>
              </w:rPr>
              <w:t>PRAL's technical specification lists scenarios SN001-SN028, but the required subset depends on business nature and sector. Confirm the client's exact matrix in IRIS/current PRAL documentation. The application's fixture library must cover that subset before certification is declared complete.</w:t>
            </w:r>
          </w:p>
        </w:tc>
      </w:tr>
    </w:tbl>
    <w:p>
      <w:pPr>
        <w:spacing w:after="20"/>
      </w:pPr>
    </w:p>
    <w:p>
      <w:pPr>
        <w:pStyle w:val="Heading1"/>
      </w:pPr>
      <w:r>
        <w:t>10. FBR Settings and Tokens</w:t>
      </w:r>
    </w:p>
    <w:p>
      <w:r>
        <w:rPr>
          <w:rFonts w:ascii="Calibri" w:hAnsi="Calibri"/>
          <w:i w:val="0"/>
          <w:color w:val="182230"/>
        </w:rPr>
        <w:t>Settings separates sandbox and production credentials for each company. Tokens are sensitive and must not be placed in screenshots, tickets, chat messages, or shared documents.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8EEF5"/>
            <w:vAlign w:val="center"/>
            <w:tcMar>
              <w:top w:w="80" w:type="dxa"/>
              <w:start w:w="120" w:type="dxa"/>
              <w:bottom w:w="80" w:type="dxa"/>
              <w:end w:w="120" w:type="dxa"/>
            </w:tcMar>
          </w:tcPr>
          <w:p>
            <w:pPr>
              <w:spacing w:after="0"/>
              <w:jc w:val="left"/>
            </w:pPr>
            <w:r>
              <w:rPr>
                <w:rFonts w:ascii="Calibri" w:hAnsi="Calibri"/>
                <w:b/>
                <w:color w:val="0B2545"/>
                <w:sz w:val="19"/>
              </w:rPr>
              <w:t>Setting</w:t>
            </w:r>
          </w:p>
        </w:tc>
        <w:tc>
          <w:tcPr>
            <w:tcW w:type="dxa" w:w="6860"/>
            <w:shd w:fill="E8EEF5"/>
            <w:vAlign w:val="center"/>
            <w:tcMar>
              <w:top w:w="80" w:type="dxa"/>
              <w:start w:w="120" w:type="dxa"/>
              <w:bottom w:w="80" w:type="dxa"/>
              <w:end w:w="120" w:type="dxa"/>
            </w:tcMar>
          </w:tcPr>
          <w:p>
            <w:pPr>
              <w:spacing w:after="0"/>
              <w:jc w:val="left"/>
            </w:pPr>
            <w:r>
              <w:rPr>
                <w:rFonts w:ascii="Calibri" w:hAnsi="Calibri"/>
                <w:b/>
                <w:color w:val="0B2545"/>
                <w:sz w:val="19"/>
              </w:rPr>
              <w:t>Correct use</w:t>
            </w:r>
          </w:p>
        </w:tc>
      </w:tr>
      <w:tr>
        <w:tc>
          <w:tcPr>
            <w:tcW w:type="dxa" w:w="2500"/>
            <w:vAlign w:val="center"/>
            <w:tcMar>
              <w:top w:w="80" w:type="dxa"/>
              <w:start w:w="120" w:type="dxa"/>
              <w:bottom w:w="80" w:type="dxa"/>
              <w:end w:w="120" w:type="dxa"/>
            </w:tcMar>
          </w:tcPr>
          <w:p>
            <w:pPr>
              <w:spacing w:after="0"/>
            </w:pPr>
            <w:r>
              <w:rPr>
                <w:rFonts w:ascii="Calibri" w:hAnsi="Calibri"/>
                <w:color w:val="182230"/>
                <w:sz w:val="19"/>
              </w:rPr>
              <w:t>Environment</w:t>
            </w:r>
          </w:p>
        </w:tc>
        <w:tc>
          <w:tcPr>
            <w:tcW w:type="dxa" w:w="6860"/>
            <w:vAlign w:val="center"/>
            <w:tcMar>
              <w:top w:w="80" w:type="dxa"/>
              <w:start w:w="120" w:type="dxa"/>
              <w:bottom w:w="80" w:type="dxa"/>
              <w:end w:w="120" w:type="dxa"/>
            </w:tcMar>
          </w:tcPr>
          <w:p>
            <w:pPr>
              <w:spacing w:after="0"/>
            </w:pPr>
            <w:r>
              <w:rPr>
                <w:rFonts w:ascii="Calibri" w:hAnsi="Calibri"/>
                <w:color w:val="182230"/>
                <w:sz w:val="19"/>
              </w:rPr>
              <w:t>Sandbox during certification; Production only after formal readiness and authorization.</w:t>
            </w:r>
          </w:p>
        </w:tc>
      </w:tr>
      <w:tr>
        <w:tc>
          <w:tcPr>
            <w:tcW w:type="dxa" w:w="2500"/>
            <w:vAlign w:val="center"/>
            <w:tcMar>
              <w:top w:w="80" w:type="dxa"/>
              <w:start w:w="120" w:type="dxa"/>
              <w:bottom w:w="80" w:type="dxa"/>
              <w:end w:w="120" w:type="dxa"/>
            </w:tcMar>
          </w:tcPr>
          <w:p>
            <w:pPr>
              <w:spacing w:after="0"/>
            </w:pPr>
            <w:r>
              <w:rPr>
                <w:rFonts w:ascii="Calibri" w:hAnsi="Calibri"/>
                <w:color w:val="182230"/>
                <w:sz w:val="19"/>
              </w:rPr>
              <w:t>Mock mode</w:t>
            </w:r>
          </w:p>
        </w:tc>
        <w:tc>
          <w:tcPr>
            <w:tcW w:type="dxa" w:w="6860"/>
            <w:vAlign w:val="center"/>
            <w:tcMar>
              <w:top w:w="80" w:type="dxa"/>
              <w:start w:w="120" w:type="dxa"/>
              <w:bottom w:w="80" w:type="dxa"/>
              <w:end w:w="120" w:type="dxa"/>
            </w:tcMar>
          </w:tcPr>
          <w:p>
            <w:pPr>
              <w:spacing w:after="0"/>
            </w:pPr>
            <w:r>
              <w:rPr>
                <w:rFonts w:ascii="Calibri" w:hAnsi="Calibri"/>
                <w:color w:val="182230"/>
                <w:sz w:val="19"/>
              </w:rPr>
              <w:t>On for internal testing; off for a real PRAL/FBR call.</w:t>
            </w:r>
          </w:p>
        </w:tc>
      </w:tr>
      <w:tr>
        <w:tc>
          <w:tcPr>
            <w:tcW w:type="dxa" w:w="2500"/>
            <w:vAlign w:val="center"/>
            <w:tcMar>
              <w:top w:w="80" w:type="dxa"/>
              <w:start w:w="120" w:type="dxa"/>
              <w:bottom w:w="80" w:type="dxa"/>
              <w:end w:w="120" w:type="dxa"/>
            </w:tcMar>
          </w:tcPr>
          <w:p>
            <w:pPr>
              <w:spacing w:after="0"/>
            </w:pPr>
            <w:r>
              <w:rPr>
                <w:rFonts w:ascii="Calibri" w:hAnsi="Calibri"/>
                <w:color w:val="182230"/>
                <w:sz w:val="19"/>
              </w:rPr>
              <w:t>Sandbox token</w:t>
            </w:r>
          </w:p>
        </w:tc>
        <w:tc>
          <w:tcPr>
            <w:tcW w:type="dxa" w:w="6860"/>
            <w:vAlign w:val="center"/>
            <w:tcMar>
              <w:top w:w="80" w:type="dxa"/>
              <w:start w:w="120" w:type="dxa"/>
              <w:bottom w:w="80" w:type="dxa"/>
              <w:end w:w="120" w:type="dxa"/>
            </w:tcMar>
          </w:tcPr>
          <w:p>
            <w:pPr>
              <w:spacing w:after="0"/>
            </w:pPr>
            <w:r>
              <w:rPr>
                <w:rFonts w:ascii="Calibri" w:hAnsi="Calibri"/>
                <w:color w:val="182230"/>
                <w:sz w:val="19"/>
              </w:rPr>
              <w:t>Issued for certification and stored only under the correct company.</w:t>
            </w:r>
          </w:p>
        </w:tc>
      </w:tr>
      <w:tr>
        <w:tc>
          <w:tcPr>
            <w:tcW w:type="dxa" w:w="2500"/>
            <w:vAlign w:val="center"/>
            <w:tcMar>
              <w:top w:w="80" w:type="dxa"/>
              <w:start w:w="120" w:type="dxa"/>
              <w:bottom w:w="80" w:type="dxa"/>
              <w:end w:w="120" w:type="dxa"/>
            </w:tcMar>
          </w:tcPr>
          <w:p>
            <w:pPr>
              <w:spacing w:after="0"/>
            </w:pPr>
            <w:r>
              <w:rPr>
                <w:rFonts w:ascii="Calibri" w:hAnsi="Calibri"/>
                <w:color w:val="182230"/>
                <w:sz w:val="19"/>
              </w:rPr>
              <w:t>Production token</w:t>
            </w:r>
          </w:p>
        </w:tc>
        <w:tc>
          <w:tcPr>
            <w:tcW w:type="dxa" w:w="6860"/>
            <w:vAlign w:val="center"/>
            <w:tcMar>
              <w:top w:w="80" w:type="dxa"/>
              <w:start w:w="120" w:type="dxa"/>
              <w:bottom w:w="80" w:type="dxa"/>
              <w:end w:w="120" w:type="dxa"/>
            </w:tcMar>
          </w:tcPr>
          <w:p>
            <w:pPr>
              <w:spacing w:after="0"/>
            </w:pPr>
            <w:r>
              <w:rPr>
                <w:rFonts w:ascii="Calibri" w:hAnsi="Calibri"/>
                <w:color w:val="182230"/>
                <w:sz w:val="19"/>
              </w:rPr>
              <w:t>Issued after applicable sandbox scenarios pass; used only for real invoices.</w:t>
            </w:r>
          </w:p>
        </w:tc>
      </w:tr>
      <w:tr>
        <w:tc>
          <w:tcPr>
            <w:tcW w:type="dxa" w:w="2500"/>
            <w:vAlign w:val="center"/>
            <w:tcMar>
              <w:top w:w="80" w:type="dxa"/>
              <w:start w:w="120" w:type="dxa"/>
              <w:bottom w:w="80" w:type="dxa"/>
              <w:end w:w="120" w:type="dxa"/>
            </w:tcMar>
          </w:tcPr>
          <w:p>
            <w:pPr>
              <w:spacing w:after="0"/>
            </w:pPr>
            <w:r>
              <w:rPr>
                <w:rFonts w:ascii="Calibri" w:hAnsi="Calibri"/>
                <w:color w:val="182230"/>
                <w:sz w:val="19"/>
              </w:rPr>
              <w:t>Outbound IP</w:t>
            </w:r>
          </w:p>
        </w:tc>
        <w:tc>
          <w:tcPr>
            <w:tcW w:type="dxa" w:w="6860"/>
            <w:vAlign w:val="center"/>
            <w:tcMar>
              <w:top w:w="80" w:type="dxa"/>
              <w:start w:w="120" w:type="dxa"/>
              <w:bottom w:w="80" w:type="dxa"/>
              <w:end w:w="120" w:type="dxa"/>
            </w:tcMar>
          </w:tcPr>
          <w:p>
            <w:pPr>
              <w:spacing w:after="0"/>
            </w:pPr>
            <w:r>
              <w:rPr>
                <w:rFonts w:ascii="Calibri" w:hAnsi="Calibri"/>
                <w:color w:val="182230"/>
                <w:sz w:val="19"/>
              </w:rPr>
              <w:t>The deployment server's public egress IP supplied for PRAL whitelisting.</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DE8E7"/>
          </w:tcPr>
          <w:p>
            <w:pPr>
              <w:spacing w:after="40"/>
            </w:pPr>
            <w:r>
              <w:rPr>
                <w:rFonts w:ascii="Calibri" w:hAnsi="Calibri"/>
                <w:b/>
                <w:color w:val="9B1C1C"/>
              </w:rPr>
              <w:t xml:space="preserve">Production change control: </w:t>
            </w:r>
            <w:r>
              <w:rPr>
                <w:rFonts w:ascii="Calibri" w:hAnsi="Calibri"/>
                <w:color w:val="9B1C1C"/>
              </w:rPr>
              <w:t>Switching to Production is a controlled go-live action. Confirm the active company, token, environment, deployment IP, company profile, and approved start time with the business owner before changing the setting.</w:t>
            </w:r>
          </w:p>
        </w:tc>
      </w:tr>
    </w:tbl>
    <w:p>
      <w:pPr>
        <w:spacing w:after="20"/>
      </w:pPr>
    </w:p>
    <w:p>
      <w:pPr>
        <w:pStyle w:val="Heading2"/>
      </w:pPr>
      <w:r>
        <w:t>Production go-live procedure</w:t>
      </w:r>
    </w:p>
    <w:p>
      <w:pPr>
        <w:pStyle w:val="ListNumber"/>
      </w:pPr>
      <w:r>
        <w:rPr>
          <w:rFonts w:ascii="Calibri" w:hAnsi="Calibri"/>
          <w:color w:val="182230"/>
        </w:rPr>
        <w:t>Confirm that every PRAL scenario applicable to the client's business nature and sector has a successful live sandbox result.</w:t>
      </w:r>
    </w:p>
    <w:p>
      <w:pPr>
        <w:pStyle w:val="ListNumber"/>
      </w:pPr>
      <w:r>
        <w:rPr>
          <w:rFonts w:ascii="Calibri" w:hAnsi="Calibri"/>
          <w:color w:val="182230"/>
        </w:rPr>
        <w:t>Obtain or confirm the production token through the authorized IRIS/PRAL flow and store it under the correct active company.</w:t>
      </w:r>
    </w:p>
    <w:p>
      <w:pPr>
        <w:pStyle w:val="ListNumber"/>
      </w:pPr>
      <w:r>
        <w:rPr>
          <w:rFonts w:ascii="Calibri" w:hAnsi="Calibri"/>
          <w:color w:val="182230"/>
        </w:rPr>
        <w:t>Verify that the deployed outbound IP remains approved for the production integration path.</w:t>
      </w:r>
    </w:p>
    <w:p>
      <w:pPr>
        <w:pStyle w:val="ListNumber"/>
      </w:pPr>
      <w:r>
        <w:rPr>
          <w:rFonts w:ascii="Calibri" w:hAnsi="Calibri"/>
          <w:color w:val="182230"/>
        </w:rPr>
        <w:t>Schedule the change with the business owner and stop operators from submitting during the switch.</w:t>
      </w:r>
    </w:p>
    <w:p>
      <w:pPr>
        <w:pStyle w:val="ListNumber"/>
      </w:pPr>
      <w:r>
        <w:rPr>
          <w:rFonts w:ascii="Calibri" w:hAnsi="Calibri"/>
          <w:color w:val="182230"/>
        </w:rPr>
        <w:t>Set Environment to Production and keep Mock mode disabled.</w:t>
      </w:r>
    </w:p>
    <w:p>
      <w:pPr>
        <w:pStyle w:val="ListNumber"/>
      </w:pPr>
      <w:r>
        <w:rPr>
          <w:rFonts w:ascii="Calibri" w:hAnsi="Calibri"/>
          <w:color w:val="182230"/>
        </w:rPr>
        <w:t>Submit one authorized low-risk production invoice, then verify the FBR invoice number, stored response, PDF/QR output, and dashboard status.</w:t>
      </w:r>
    </w:p>
    <w:p>
      <w:pPr>
        <w:pStyle w:val="ListNumber"/>
      </w:pPr>
      <w:r>
        <w:rPr>
          <w:rFonts w:ascii="Calibri" w:hAnsi="Calibri"/>
          <w:color w:val="182230"/>
        </w:rPr>
        <w:t>Record the go-live time, approver, first FBR invoice number, and any follow-up action in the onboarding notes/activity record.</w:t>
      </w:r>
    </w:p>
    <w:p>
      <w:pPr>
        <w:pStyle w:val="Heading1"/>
      </w:pPr>
      <w:r>
        <w:t>11. Daily Operating Procedure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vAlign w:val="center"/>
            <w:tcMar>
              <w:top w:w="80" w:type="dxa"/>
              <w:start w:w="120" w:type="dxa"/>
              <w:bottom w:w="80" w:type="dxa"/>
              <w:end w:w="120" w:type="dxa"/>
            </w:tcMar>
          </w:tcPr>
          <w:p>
            <w:pPr>
              <w:spacing w:after="0"/>
              <w:jc w:val="left"/>
            </w:pPr>
            <w:r>
              <w:rPr>
                <w:rFonts w:ascii="Calibri" w:hAnsi="Calibri"/>
                <w:b/>
                <w:color w:val="0B2545"/>
                <w:sz w:val="19"/>
              </w:rPr>
              <w:t>When</w:t>
            </w:r>
          </w:p>
        </w:tc>
        <w:tc>
          <w:tcPr>
            <w:tcW w:type="dxa" w:w="7460"/>
            <w:shd w:fill="E8EEF5"/>
            <w:vAlign w:val="center"/>
            <w:tcMar>
              <w:top w:w="80" w:type="dxa"/>
              <w:start w:w="120" w:type="dxa"/>
              <w:bottom w:w="80" w:type="dxa"/>
              <w:end w:w="120" w:type="dxa"/>
            </w:tcMar>
          </w:tcPr>
          <w:p>
            <w:pPr>
              <w:spacing w:after="0"/>
              <w:jc w:val="left"/>
            </w:pPr>
            <w:r>
              <w:rPr>
                <w:rFonts w:ascii="Calibri" w:hAnsi="Calibri"/>
                <w:b/>
                <w:color w:val="0B2545"/>
                <w:sz w:val="19"/>
              </w:rPr>
              <w:t>Operator action</w:t>
            </w:r>
          </w:p>
        </w:tc>
      </w:tr>
      <w:tr>
        <w:tc>
          <w:tcPr>
            <w:tcW w:type="dxa" w:w="1900"/>
            <w:vAlign w:val="center"/>
            <w:tcMar>
              <w:top w:w="80" w:type="dxa"/>
              <w:start w:w="120" w:type="dxa"/>
              <w:bottom w:w="80" w:type="dxa"/>
              <w:end w:w="120" w:type="dxa"/>
            </w:tcMar>
          </w:tcPr>
          <w:p>
            <w:pPr>
              <w:spacing w:after="0"/>
            </w:pPr>
            <w:r>
              <w:rPr>
                <w:rFonts w:ascii="Calibri" w:hAnsi="Calibri"/>
                <w:color w:val="182230"/>
                <w:sz w:val="19"/>
              </w:rPr>
              <w:t>Start of day</w:t>
            </w:r>
          </w:p>
        </w:tc>
        <w:tc>
          <w:tcPr>
            <w:tcW w:type="dxa" w:w="7460"/>
            <w:vAlign w:val="center"/>
            <w:tcMar>
              <w:top w:w="80" w:type="dxa"/>
              <w:start w:w="120" w:type="dxa"/>
              <w:bottom w:w="80" w:type="dxa"/>
              <w:end w:w="120" w:type="dxa"/>
            </w:tcMar>
          </w:tcPr>
          <w:p>
            <w:pPr>
              <w:spacing w:after="0"/>
            </w:pPr>
            <w:r>
              <w:rPr>
                <w:rFonts w:ascii="Calibri" w:hAnsi="Calibri"/>
                <w:color w:val="182230"/>
                <w:sz w:val="19"/>
              </w:rPr>
              <w:t>Sign in, confirm active company/environment, review token/queue readiness, and check failed invoices.</w:t>
            </w:r>
          </w:p>
        </w:tc>
      </w:tr>
      <w:tr>
        <w:tc>
          <w:tcPr>
            <w:tcW w:type="dxa" w:w="1900"/>
            <w:vAlign w:val="center"/>
            <w:tcMar>
              <w:top w:w="80" w:type="dxa"/>
              <w:start w:w="120" w:type="dxa"/>
              <w:bottom w:w="80" w:type="dxa"/>
              <w:end w:w="120" w:type="dxa"/>
            </w:tcMar>
          </w:tcPr>
          <w:p>
            <w:pPr>
              <w:spacing w:after="0"/>
            </w:pPr>
            <w:r>
              <w:rPr>
                <w:rFonts w:ascii="Calibri" w:hAnsi="Calibri"/>
                <w:color w:val="182230"/>
                <w:sz w:val="19"/>
              </w:rPr>
              <w:t>Before each invoice</w:t>
            </w:r>
          </w:p>
        </w:tc>
        <w:tc>
          <w:tcPr>
            <w:tcW w:type="dxa" w:w="7460"/>
            <w:vAlign w:val="center"/>
            <w:tcMar>
              <w:top w:w="80" w:type="dxa"/>
              <w:start w:w="120" w:type="dxa"/>
              <w:bottom w:w="80" w:type="dxa"/>
              <w:end w:w="120" w:type="dxa"/>
            </w:tcMar>
          </w:tcPr>
          <w:p>
            <w:pPr>
              <w:spacing w:after="0"/>
            </w:pPr>
            <w:r>
              <w:rPr>
                <w:rFonts w:ascii="Calibri" w:hAnsi="Calibri"/>
                <w:color w:val="182230"/>
                <w:sz w:val="19"/>
              </w:rPr>
              <w:t>Confirm buyer, product mapping, quantities, values, tax treatment, and reference invoice when applicable.</w:t>
            </w:r>
          </w:p>
        </w:tc>
      </w:tr>
      <w:tr>
        <w:tc>
          <w:tcPr>
            <w:tcW w:type="dxa" w:w="1900"/>
            <w:vAlign w:val="center"/>
            <w:tcMar>
              <w:top w:w="80" w:type="dxa"/>
              <w:start w:w="120" w:type="dxa"/>
              <w:bottom w:w="80" w:type="dxa"/>
              <w:end w:w="120" w:type="dxa"/>
            </w:tcMar>
          </w:tcPr>
          <w:p>
            <w:pPr>
              <w:spacing w:after="0"/>
            </w:pPr>
            <w:r>
              <w:rPr>
                <w:rFonts w:ascii="Calibri" w:hAnsi="Calibri"/>
                <w:color w:val="182230"/>
                <w:sz w:val="19"/>
              </w:rPr>
              <w:t>After submission</w:t>
            </w:r>
          </w:p>
        </w:tc>
        <w:tc>
          <w:tcPr>
            <w:tcW w:type="dxa" w:w="7460"/>
            <w:vAlign w:val="center"/>
            <w:tcMar>
              <w:top w:w="80" w:type="dxa"/>
              <w:start w:w="120" w:type="dxa"/>
              <w:bottom w:w="80" w:type="dxa"/>
              <w:end w:w="120" w:type="dxa"/>
            </w:tcMar>
          </w:tcPr>
          <w:p>
            <w:pPr>
              <w:spacing w:after="0"/>
            </w:pPr>
            <w:r>
              <w:rPr>
                <w:rFonts w:ascii="Calibri" w:hAnsi="Calibri"/>
                <w:color w:val="182230"/>
                <w:sz w:val="19"/>
              </w:rPr>
              <w:t>Verify the FBR invoice number and status; generate the invoice/QR output.</w:t>
            </w:r>
          </w:p>
        </w:tc>
      </w:tr>
      <w:tr>
        <w:tc>
          <w:tcPr>
            <w:tcW w:type="dxa" w:w="1900"/>
            <w:vAlign w:val="center"/>
            <w:tcMar>
              <w:top w:w="80" w:type="dxa"/>
              <w:start w:w="120" w:type="dxa"/>
              <w:bottom w:w="80" w:type="dxa"/>
              <w:end w:w="120" w:type="dxa"/>
            </w:tcMar>
          </w:tcPr>
          <w:p>
            <w:pPr>
              <w:spacing w:after="0"/>
            </w:pPr>
            <w:r>
              <w:rPr>
                <w:rFonts w:ascii="Calibri" w:hAnsi="Calibri"/>
                <w:color w:val="182230"/>
                <w:sz w:val="19"/>
              </w:rPr>
              <w:t>On failure</w:t>
            </w:r>
          </w:p>
        </w:tc>
        <w:tc>
          <w:tcPr>
            <w:tcW w:type="dxa" w:w="7460"/>
            <w:vAlign w:val="center"/>
            <w:tcMar>
              <w:top w:w="80" w:type="dxa"/>
              <w:start w:w="120" w:type="dxa"/>
              <w:bottom w:w="80" w:type="dxa"/>
              <w:end w:w="120" w:type="dxa"/>
            </w:tcMar>
          </w:tcPr>
          <w:p>
            <w:pPr>
              <w:spacing w:after="0"/>
            </w:pPr>
            <w:r>
              <w:rPr>
                <w:rFonts w:ascii="Calibri" w:hAnsi="Calibri"/>
                <w:color w:val="182230"/>
                <w:sz w:val="19"/>
              </w:rPr>
              <w:t>Read mapped errors, correct the source data, revalidate, and retry once.</w:t>
            </w:r>
          </w:p>
        </w:tc>
      </w:tr>
      <w:tr>
        <w:tc>
          <w:tcPr>
            <w:tcW w:type="dxa" w:w="1900"/>
            <w:vAlign w:val="center"/>
            <w:tcMar>
              <w:top w:w="80" w:type="dxa"/>
              <w:start w:w="120" w:type="dxa"/>
              <w:bottom w:w="80" w:type="dxa"/>
              <w:end w:w="120" w:type="dxa"/>
            </w:tcMar>
          </w:tcPr>
          <w:p>
            <w:pPr>
              <w:spacing w:after="0"/>
            </w:pPr>
            <w:r>
              <w:rPr>
                <w:rFonts w:ascii="Calibri" w:hAnsi="Calibri"/>
                <w:color w:val="182230"/>
                <w:sz w:val="19"/>
              </w:rPr>
              <w:t>During outage</w:t>
            </w:r>
          </w:p>
        </w:tc>
        <w:tc>
          <w:tcPr>
            <w:tcW w:type="dxa" w:w="7460"/>
            <w:vAlign w:val="center"/>
            <w:tcMar>
              <w:top w:w="80" w:type="dxa"/>
              <w:start w:w="120" w:type="dxa"/>
              <w:bottom w:w="80" w:type="dxa"/>
              <w:end w:w="120" w:type="dxa"/>
            </w:tcMar>
          </w:tcPr>
          <w:p>
            <w:pPr>
              <w:spacing w:after="0"/>
            </w:pPr>
            <w:r>
              <w:rPr>
                <w:rFonts w:ascii="Calibri" w:hAnsi="Calibri"/>
                <w:color w:val="182230"/>
                <w:sz w:val="19"/>
              </w:rPr>
              <w:t>Use the offline queue, avoid duplicates, and monitor until submission completes.</w:t>
            </w:r>
          </w:p>
        </w:tc>
      </w:tr>
      <w:tr>
        <w:tc>
          <w:tcPr>
            <w:tcW w:type="dxa" w:w="1900"/>
            <w:vAlign w:val="center"/>
            <w:tcMar>
              <w:top w:w="80" w:type="dxa"/>
              <w:start w:w="120" w:type="dxa"/>
              <w:bottom w:w="80" w:type="dxa"/>
              <w:end w:w="120" w:type="dxa"/>
            </w:tcMar>
          </w:tcPr>
          <w:p>
            <w:pPr>
              <w:spacing w:after="0"/>
            </w:pPr>
            <w:r>
              <w:rPr>
                <w:rFonts w:ascii="Calibri" w:hAnsi="Calibri"/>
                <w:color w:val="182230"/>
                <w:sz w:val="19"/>
              </w:rPr>
              <w:t>End of day</w:t>
            </w:r>
          </w:p>
        </w:tc>
        <w:tc>
          <w:tcPr>
            <w:tcW w:type="dxa" w:w="7460"/>
            <w:vAlign w:val="center"/>
            <w:tcMar>
              <w:top w:w="80" w:type="dxa"/>
              <w:start w:w="120" w:type="dxa"/>
              <w:bottom w:w="80" w:type="dxa"/>
              <w:end w:w="120" w:type="dxa"/>
            </w:tcMar>
          </w:tcPr>
          <w:p>
            <w:pPr>
              <w:spacing w:after="0"/>
            </w:pPr>
            <w:r>
              <w:rPr>
                <w:rFonts w:ascii="Calibri" w:hAnsi="Calibri"/>
                <w:color w:val="182230"/>
                <w:sz w:val="19"/>
              </w:rPr>
              <w:t>Reconcile commercial invoices against FBR-accepted records, clear unresolved failures, and retain support evidence.</w:t>
            </w:r>
          </w:p>
        </w:tc>
      </w:tr>
    </w:tbl>
    <w:p>
      <w:pPr>
        <w:spacing w:after="40"/>
      </w:pPr>
    </w:p>
    <w:p>
      <w:pPr>
        <w:pStyle w:val="Heading1"/>
      </w:pPr>
      <w:r>
        <w:t>12. Troubleshooting and Support</w:t>
      </w:r>
    </w:p>
    <w:tbl>
      <w:tblPr>
        <w:tblStyle w:val="TableGrid"/>
        <w:tblW w:type="dxa" w:w="9360"/>
        <w:jc w:val="left"/>
        <w:tblLayout w:type="fixed"/>
        <w:tblLook w:firstColumn="1" w:firstRow="1" w:lastColumn="0" w:lastRow="0" w:noHBand="0" w:noVBand="1" w:val="04A0"/>
        <w:tblInd w:w="120" w:type="dxa"/>
      </w:tblPr>
      <w:tblGrid>
        <w:gridCol w:w="2100"/>
        <w:gridCol w:w="2900"/>
        <w:gridCol w:w="4360"/>
      </w:tblGrid>
      <w:tr>
        <w:trPr>
          <w:tblHeader w:val="true"/>
        </w:trPr>
        <w:tc>
          <w:tcPr>
            <w:tcW w:type="dxa" w:w="2100"/>
            <w:shd w:fill="E8EEF5"/>
            <w:vAlign w:val="center"/>
            <w:tcMar>
              <w:top w:w="80" w:type="dxa"/>
              <w:start w:w="120" w:type="dxa"/>
              <w:bottom w:w="80" w:type="dxa"/>
              <w:end w:w="120" w:type="dxa"/>
            </w:tcMar>
          </w:tcPr>
          <w:p>
            <w:pPr>
              <w:spacing w:after="0"/>
              <w:jc w:val="left"/>
            </w:pPr>
            <w:r>
              <w:rPr>
                <w:rFonts w:ascii="Calibri" w:hAnsi="Calibri"/>
                <w:b/>
                <w:color w:val="0B2545"/>
                <w:sz w:val="18"/>
              </w:rPr>
              <w:t>Symptom</w:t>
            </w:r>
          </w:p>
        </w:tc>
        <w:tc>
          <w:tcPr>
            <w:tcW w:type="dxa" w:w="2900"/>
            <w:shd w:fill="E8EEF5"/>
            <w:vAlign w:val="center"/>
            <w:tcMar>
              <w:top w:w="80" w:type="dxa"/>
              <w:start w:w="120" w:type="dxa"/>
              <w:bottom w:w="80" w:type="dxa"/>
              <w:end w:w="120" w:type="dxa"/>
            </w:tcMar>
          </w:tcPr>
          <w:p>
            <w:pPr>
              <w:spacing w:after="0"/>
              <w:jc w:val="left"/>
            </w:pPr>
            <w:r>
              <w:rPr>
                <w:rFonts w:ascii="Calibri" w:hAnsi="Calibri"/>
                <w:b/>
                <w:color w:val="0B2545"/>
                <w:sz w:val="18"/>
              </w:rPr>
              <w:t>Likely cause</w:t>
            </w:r>
          </w:p>
        </w:tc>
        <w:tc>
          <w:tcPr>
            <w:tcW w:type="dxa" w:w="4360"/>
            <w:shd w:fill="E8EEF5"/>
            <w:vAlign w:val="center"/>
            <w:tcMar>
              <w:top w:w="80" w:type="dxa"/>
              <w:start w:w="120" w:type="dxa"/>
              <w:bottom w:w="80" w:type="dxa"/>
              <w:end w:w="120" w:type="dxa"/>
            </w:tcMar>
          </w:tcPr>
          <w:p>
            <w:pPr>
              <w:spacing w:after="0"/>
              <w:jc w:val="left"/>
            </w:pPr>
            <w:r>
              <w:rPr>
                <w:rFonts w:ascii="Calibri" w:hAnsi="Calibri"/>
                <w:b/>
                <w:color w:val="0B2545"/>
                <w:sz w:val="18"/>
              </w:rPr>
              <w:t>Action</w:t>
            </w:r>
          </w:p>
        </w:tc>
      </w:tr>
      <w:tr>
        <w:tc>
          <w:tcPr>
            <w:tcW w:type="dxa" w:w="2100"/>
            <w:vAlign w:val="center"/>
            <w:tcMar>
              <w:top w:w="80" w:type="dxa"/>
              <w:start w:w="120" w:type="dxa"/>
              <w:bottom w:w="80" w:type="dxa"/>
              <w:end w:w="120" w:type="dxa"/>
            </w:tcMar>
          </w:tcPr>
          <w:p>
            <w:pPr>
              <w:spacing w:after="0"/>
            </w:pPr>
            <w:r>
              <w:rPr>
                <w:rFonts w:ascii="Calibri" w:hAnsi="Calibri"/>
                <w:color w:val="182230"/>
                <w:sz w:val="18"/>
              </w:rPr>
              <w:t>Live Run disabled</w:t>
            </w:r>
          </w:p>
        </w:tc>
        <w:tc>
          <w:tcPr>
            <w:tcW w:type="dxa" w:w="2900"/>
            <w:vAlign w:val="center"/>
            <w:tcMar>
              <w:top w:w="80" w:type="dxa"/>
              <w:start w:w="120" w:type="dxa"/>
              <w:bottom w:w="80" w:type="dxa"/>
              <w:end w:w="120" w:type="dxa"/>
            </w:tcMar>
          </w:tcPr>
          <w:p>
            <w:pPr>
              <w:spacing w:after="0"/>
            </w:pPr>
            <w:r>
              <w:rPr>
                <w:rFonts w:ascii="Calibri" w:hAnsi="Calibri"/>
                <w:color w:val="182230"/>
                <w:sz w:val="18"/>
              </w:rPr>
              <w:t>A blocking preflight check failed</w:t>
            </w:r>
          </w:p>
        </w:tc>
        <w:tc>
          <w:tcPr>
            <w:tcW w:type="dxa" w:w="4360"/>
            <w:vAlign w:val="center"/>
            <w:tcMar>
              <w:top w:w="80" w:type="dxa"/>
              <w:start w:w="120" w:type="dxa"/>
              <w:bottom w:w="80" w:type="dxa"/>
              <w:end w:w="120" w:type="dxa"/>
            </w:tcMar>
          </w:tcPr>
          <w:p>
            <w:pPr>
              <w:spacing w:after="0"/>
            </w:pPr>
            <w:r>
              <w:rPr>
                <w:rFonts w:ascii="Calibri" w:hAnsi="Calibri"/>
                <w:color w:val="182230"/>
                <w:sz w:val="18"/>
              </w:rPr>
              <w:t>Open Sandbox Preflight and complete token, environment, mock-mode, IP, profile, or scenario requirements.</w:t>
            </w:r>
          </w:p>
        </w:tc>
      </w:tr>
      <w:tr>
        <w:tc>
          <w:tcPr>
            <w:tcW w:type="dxa" w:w="2100"/>
            <w:vAlign w:val="center"/>
            <w:tcMar>
              <w:top w:w="80" w:type="dxa"/>
              <w:start w:w="120" w:type="dxa"/>
              <w:bottom w:w="80" w:type="dxa"/>
              <w:end w:w="120" w:type="dxa"/>
            </w:tcMar>
          </w:tcPr>
          <w:p>
            <w:pPr>
              <w:spacing w:after="0"/>
            </w:pPr>
            <w:r>
              <w:rPr>
                <w:rFonts w:ascii="Calibri" w:hAnsi="Calibri"/>
                <w:color w:val="182230"/>
                <w:sz w:val="18"/>
              </w:rPr>
              <w:t>401/invalid token</w:t>
            </w:r>
          </w:p>
        </w:tc>
        <w:tc>
          <w:tcPr>
            <w:tcW w:type="dxa" w:w="2900"/>
            <w:vAlign w:val="center"/>
            <w:tcMar>
              <w:top w:w="80" w:type="dxa"/>
              <w:start w:w="120" w:type="dxa"/>
              <w:bottom w:w="80" w:type="dxa"/>
              <w:end w:w="120" w:type="dxa"/>
            </w:tcMar>
          </w:tcPr>
          <w:p>
            <w:pPr>
              <w:spacing w:after="0"/>
            </w:pPr>
            <w:r>
              <w:rPr>
                <w:rFonts w:ascii="Calibri" w:hAnsi="Calibri"/>
                <w:color w:val="182230"/>
                <w:sz w:val="18"/>
              </w:rPr>
              <w:t>Missing, expired, wrong-company, or wrong-environment token</w:t>
            </w:r>
          </w:p>
        </w:tc>
        <w:tc>
          <w:tcPr>
            <w:tcW w:type="dxa" w:w="4360"/>
            <w:vAlign w:val="center"/>
            <w:tcMar>
              <w:top w:w="80" w:type="dxa"/>
              <w:start w:w="120" w:type="dxa"/>
              <w:bottom w:w="80" w:type="dxa"/>
              <w:end w:w="120" w:type="dxa"/>
            </w:tcMar>
          </w:tcPr>
          <w:p>
            <w:pPr>
              <w:spacing w:after="0"/>
            </w:pPr>
            <w:r>
              <w:rPr>
                <w:rFonts w:ascii="Calibri" w:hAnsi="Calibri"/>
                <w:color w:val="182230"/>
                <w:sz w:val="18"/>
              </w:rPr>
              <w:t>Re-enter the correct token in Settings and retry after verifying the environment.</w:t>
            </w:r>
          </w:p>
        </w:tc>
      </w:tr>
      <w:tr>
        <w:tc>
          <w:tcPr>
            <w:tcW w:type="dxa" w:w="2100"/>
            <w:vAlign w:val="center"/>
            <w:tcMar>
              <w:top w:w="80" w:type="dxa"/>
              <w:start w:w="120" w:type="dxa"/>
              <w:bottom w:w="80" w:type="dxa"/>
              <w:end w:w="120" w:type="dxa"/>
            </w:tcMar>
          </w:tcPr>
          <w:p>
            <w:pPr>
              <w:spacing w:after="0"/>
            </w:pPr>
            <w:r>
              <w:rPr>
                <w:rFonts w:ascii="Calibri" w:hAnsi="Calibri"/>
                <w:color w:val="182230"/>
                <w:sz w:val="18"/>
              </w:rPr>
              <w:t>Timeout/connection error</w:t>
            </w:r>
          </w:p>
        </w:tc>
        <w:tc>
          <w:tcPr>
            <w:tcW w:type="dxa" w:w="2900"/>
            <w:vAlign w:val="center"/>
            <w:tcMar>
              <w:top w:w="80" w:type="dxa"/>
              <w:start w:w="120" w:type="dxa"/>
              <w:bottom w:w="80" w:type="dxa"/>
              <w:end w:w="120" w:type="dxa"/>
            </w:tcMar>
          </w:tcPr>
          <w:p>
            <w:pPr>
              <w:spacing w:after="0"/>
            </w:pPr>
            <w:r>
              <w:rPr>
                <w:rFonts w:ascii="Calibri" w:hAnsi="Calibri"/>
                <w:color w:val="182230"/>
                <w:sz w:val="18"/>
              </w:rPr>
              <w:t>FBR unavailable, network route blocked, or IP not whitelisted</w:t>
            </w:r>
          </w:p>
        </w:tc>
        <w:tc>
          <w:tcPr>
            <w:tcW w:type="dxa" w:w="4360"/>
            <w:vAlign w:val="center"/>
            <w:tcMar>
              <w:top w:w="80" w:type="dxa"/>
              <w:start w:w="120" w:type="dxa"/>
              <w:bottom w:w="80" w:type="dxa"/>
              <w:end w:w="120" w:type="dxa"/>
            </w:tcMar>
          </w:tcPr>
          <w:p>
            <w:pPr>
              <w:spacing w:after="0"/>
            </w:pPr>
            <w:r>
              <w:rPr>
                <w:rFonts w:ascii="Calibri" w:hAnsi="Calibri"/>
                <w:color w:val="182230"/>
                <w:sz w:val="18"/>
              </w:rPr>
              <w:t>Confirm outbound IP and PRAL approval; retry after connectivity is restored.</w:t>
            </w:r>
          </w:p>
        </w:tc>
      </w:tr>
      <w:tr>
        <w:tc>
          <w:tcPr>
            <w:tcW w:type="dxa" w:w="2100"/>
            <w:vAlign w:val="center"/>
            <w:tcMar>
              <w:top w:w="80" w:type="dxa"/>
              <w:start w:w="120" w:type="dxa"/>
              <w:bottom w:w="80" w:type="dxa"/>
              <w:end w:w="120" w:type="dxa"/>
            </w:tcMar>
          </w:tcPr>
          <w:p>
            <w:pPr>
              <w:spacing w:after="0"/>
            </w:pPr>
            <w:r>
              <w:rPr>
                <w:rFonts w:ascii="Calibri" w:hAnsi="Calibri"/>
                <w:color w:val="182230"/>
                <w:sz w:val="18"/>
              </w:rPr>
              <w:t>Seller registration error</w:t>
            </w:r>
          </w:p>
        </w:tc>
        <w:tc>
          <w:tcPr>
            <w:tcW w:type="dxa" w:w="2900"/>
            <w:vAlign w:val="center"/>
            <w:tcMar>
              <w:top w:w="80" w:type="dxa"/>
              <w:start w:w="120" w:type="dxa"/>
              <w:bottom w:w="80" w:type="dxa"/>
              <w:end w:w="120" w:type="dxa"/>
            </w:tcMar>
          </w:tcPr>
          <w:p>
            <w:pPr>
              <w:spacing w:after="0"/>
            </w:pPr>
            <w:r>
              <w:rPr>
                <w:rFonts w:ascii="Calibri" w:hAnsi="Calibri"/>
                <w:color w:val="182230"/>
                <w:sz w:val="18"/>
              </w:rPr>
              <w:t>Profile does not match FBR</w:t>
            </w:r>
          </w:p>
        </w:tc>
        <w:tc>
          <w:tcPr>
            <w:tcW w:type="dxa" w:w="4360"/>
            <w:vAlign w:val="center"/>
            <w:tcMar>
              <w:top w:w="80" w:type="dxa"/>
              <w:start w:w="120" w:type="dxa"/>
              <w:bottom w:w="80" w:type="dxa"/>
              <w:end w:w="120" w:type="dxa"/>
            </w:tcMar>
          </w:tcPr>
          <w:p>
            <w:pPr>
              <w:spacing w:after="0"/>
            </w:pPr>
            <w:r>
              <w:rPr>
                <w:rFonts w:ascii="Calibri" w:hAnsi="Calibri"/>
                <w:color w:val="182230"/>
                <w:sz w:val="18"/>
              </w:rPr>
              <w:t>Correct company legal name/NTN/province/address and revalidate.</w:t>
            </w:r>
          </w:p>
        </w:tc>
      </w:tr>
      <w:tr>
        <w:tc>
          <w:tcPr>
            <w:tcW w:type="dxa" w:w="2100"/>
            <w:vAlign w:val="center"/>
            <w:tcMar>
              <w:top w:w="80" w:type="dxa"/>
              <w:start w:w="120" w:type="dxa"/>
              <w:bottom w:w="80" w:type="dxa"/>
              <w:end w:w="120" w:type="dxa"/>
            </w:tcMar>
          </w:tcPr>
          <w:p>
            <w:pPr>
              <w:spacing w:after="0"/>
            </w:pPr>
            <w:r>
              <w:rPr>
                <w:rFonts w:ascii="Calibri" w:hAnsi="Calibri"/>
                <w:color w:val="182230"/>
                <w:sz w:val="18"/>
              </w:rPr>
              <w:t>Buyer error</w:t>
            </w:r>
          </w:p>
        </w:tc>
        <w:tc>
          <w:tcPr>
            <w:tcW w:type="dxa" w:w="2900"/>
            <w:vAlign w:val="center"/>
            <w:tcMar>
              <w:top w:w="80" w:type="dxa"/>
              <w:start w:w="120" w:type="dxa"/>
              <w:bottom w:w="80" w:type="dxa"/>
              <w:end w:w="120" w:type="dxa"/>
            </w:tcMar>
          </w:tcPr>
          <w:p>
            <w:pPr>
              <w:spacing w:after="0"/>
            </w:pPr>
            <w:r>
              <w:rPr>
                <w:rFonts w:ascii="Calibri" w:hAnsi="Calibri"/>
                <w:color w:val="182230"/>
                <w:sz w:val="18"/>
              </w:rPr>
              <w:t>Invalid registration number/type or missing identity</w:t>
            </w:r>
          </w:p>
        </w:tc>
        <w:tc>
          <w:tcPr>
            <w:tcW w:type="dxa" w:w="4360"/>
            <w:vAlign w:val="center"/>
            <w:tcMar>
              <w:top w:w="80" w:type="dxa"/>
              <w:start w:w="120" w:type="dxa"/>
              <w:bottom w:w="80" w:type="dxa"/>
              <w:end w:w="120" w:type="dxa"/>
            </w:tcMar>
          </w:tcPr>
          <w:p>
            <w:pPr>
              <w:spacing w:after="0"/>
            </w:pPr>
            <w:r>
              <w:rPr>
                <w:rFonts w:ascii="Calibri" w:hAnsi="Calibri"/>
                <w:color w:val="182230"/>
                <w:sz w:val="18"/>
              </w:rPr>
              <w:t>Verify buyer NTN/CNIC, registration type, province, and address.</w:t>
            </w:r>
          </w:p>
        </w:tc>
      </w:tr>
      <w:tr>
        <w:tc>
          <w:tcPr>
            <w:tcW w:type="dxa" w:w="2100"/>
            <w:vAlign w:val="center"/>
            <w:tcMar>
              <w:top w:w="80" w:type="dxa"/>
              <w:start w:w="120" w:type="dxa"/>
              <w:bottom w:w="80" w:type="dxa"/>
              <w:end w:w="120" w:type="dxa"/>
            </w:tcMar>
          </w:tcPr>
          <w:p>
            <w:pPr>
              <w:spacing w:after="0"/>
            </w:pPr>
            <w:r>
              <w:rPr>
                <w:rFonts w:ascii="Calibri" w:hAnsi="Calibri"/>
                <w:color w:val="182230"/>
                <w:sz w:val="18"/>
              </w:rPr>
              <w:t>HS/UOM/rate error</w:t>
            </w:r>
          </w:p>
        </w:tc>
        <w:tc>
          <w:tcPr>
            <w:tcW w:type="dxa" w:w="2900"/>
            <w:vAlign w:val="center"/>
            <w:tcMar>
              <w:top w:w="80" w:type="dxa"/>
              <w:start w:w="120" w:type="dxa"/>
              <w:bottom w:w="80" w:type="dxa"/>
              <w:end w:w="120" w:type="dxa"/>
            </w:tcMar>
          </w:tcPr>
          <w:p>
            <w:pPr>
              <w:spacing w:after="0"/>
            </w:pPr>
            <w:r>
              <w:rPr>
                <w:rFonts w:ascii="Calibri" w:hAnsi="Calibri"/>
                <w:color w:val="182230"/>
                <w:sz w:val="18"/>
              </w:rPr>
              <w:t>Product tax mapping does not match sale type/scenario</w:t>
            </w:r>
          </w:p>
        </w:tc>
        <w:tc>
          <w:tcPr>
            <w:tcW w:type="dxa" w:w="4360"/>
            <w:vAlign w:val="center"/>
            <w:tcMar>
              <w:top w:w="80" w:type="dxa"/>
              <w:start w:w="120" w:type="dxa"/>
              <w:bottom w:w="80" w:type="dxa"/>
              <w:end w:w="120" w:type="dxa"/>
            </w:tcMar>
          </w:tcPr>
          <w:p>
            <w:pPr>
              <w:spacing w:after="0"/>
            </w:pPr>
            <w:r>
              <w:rPr>
                <w:rFonts w:ascii="Calibri" w:hAnsi="Calibri"/>
                <w:color w:val="182230"/>
                <w:sz w:val="18"/>
              </w:rPr>
              <w:t>Correct the product mapping using current FBR reference data.</w:t>
            </w:r>
          </w:p>
        </w:tc>
      </w:tr>
      <w:tr>
        <w:tc>
          <w:tcPr>
            <w:tcW w:type="dxa" w:w="2100"/>
            <w:vAlign w:val="center"/>
            <w:tcMar>
              <w:top w:w="80" w:type="dxa"/>
              <w:start w:w="120" w:type="dxa"/>
              <w:bottom w:w="80" w:type="dxa"/>
              <w:end w:w="120" w:type="dxa"/>
            </w:tcMar>
          </w:tcPr>
          <w:p>
            <w:pPr>
              <w:spacing w:after="0"/>
            </w:pPr>
            <w:r>
              <w:rPr>
                <w:rFonts w:ascii="Calibri" w:hAnsi="Calibri"/>
                <w:color w:val="182230"/>
                <w:sz w:val="18"/>
              </w:rPr>
              <w:t>Duplicate risk</w:t>
            </w:r>
          </w:p>
        </w:tc>
        <w:tc>
          <w:tcPr>
            <w:tcW w:type="dxa" w:w="2900"/>
            <w:vAlign w:val="center"/>
            <w:tcMar>
              <w:top w:w="80" w:type="dxa"/>
              <w:start w:w="120" w:type="dxa"/>
              <w:bottom w:w="80" w:type="dxa"/>
              <w:end w:w="120" w:type="dxa"/>
            </w:tcMar>
          </w:tcPr>
          <w:p>
            <w:pPr>
              <w:spacing w:after="0"/>
            </w:pPr>
            <w:r>
              <w:rPr>
                <w:rFonts w:ascii="Calibri" w:hAnsi="Calibri"/>
                <w:color w:val="182230"/>
                <w:sz w:val="18"/>
              </w:rPr>
              <w:t>Invoice was retried while earlier request/queue state was unresolved</w:t>
            </w:r>
          </w:p>
        </w:tc>
        <w:tc>
          <w:tcPr>
            <w:tcW w:type="dxa" w:w="4360"/>
            <w:vAlign w:val="center"/>
            <w:tcMar>
              <w:top w:w="80" w:type="dxa"/>
              <w:start w:w="120" w:type="dxa"/>
              <w:bottom w:w="80" w:type="dxa"/>
              <w:end w:w="120" w:type="dxa"/>
            </w:tcMar>
          </w:tcPr>
          <w:p>
            <w:pPr>
              <w:spacing w:after="0"/>
            </w:pPr>
            <w:r>
              <w:rPr>
                <w:rFonts w:ascii="Calibri" w:hAnsi="Calibri"/>
                <w:color w:val="182230"/>
                <w:sz w:val="18"/>
              </w:rPr>
              <w:t>Stop retries, inspect invoice history and queue, then reconcile by reference/FBR invoice number.</w:t>
            </w:r>
          </w:p>
        </w:tc>
      </w:tr>
      <w:tr>
        <w:tc>
          <w:tcPr>
            <w:tcW w:type="dxa" w:w="2100"/>
            <w:vAlign w:val="center"/>
            <w:tcMar>
              <w:top w:w="80" w:type="dxa"/>
              <w:start w:w="120" w:type="dxa"/>
              <w:bottom w:w="80" w:type="dxa"/>
              <w:end w:w="120" w:type="dxa"/>
            </w:tcMar>
          </w:tcPr>
          <w:p>
            <w:pPr>
              <w:spacing w:after="0"/>
            </w:pPr>
            <w:r>
              <w:rPr>
                <w:rFonts w:ascii="Calibri" w:hAnsi="Calibri"/>
                <w:color w:val="182230"/>
                <w:sz w:val="18"/>
              </w:rPr>
              <w:t>Invitation not received</w:t>
            </w:r>
          </w:p>
        </w:tc>
        <w:tc>
          <w:tcPr>
            <w:tcW w:type="dxa" w:w="2900"/>
            <w:vAlign w:val="center"/>
            <w:tcMar>
              <w:top w:w="80" w:type="dxa"/>
              <w:start w:w="120" w:type="dxa"/>
              <w:bottom w:w="80" w:type="dxa"/>
              <w:end w:w="120" w:type="dxa"/>
            </w:tcMar>
          </w:tcPr>
          <w:p>
            <w:pPr>
              <w:spacing w:after="0"/>
            </w:pPr>
            <w:r>
              <w:rPr>
                <w:rFonts w:ascii="Calibri" w:hAnsi="Calibri"/>
                <w:color w:val="182230"/>
                <w:sz w:val="18"/>
              </w:rPr>
              <w:t>Email delivery failed or message was filtered</w:t>
            </w:r>
          </w:p>
        </w:tc>
        <w:tc>
          <w:tcPr>
            <w:tcW w:type="dxa" w:w="4360"/>
            <w:vAlign w:val="center"/>
            <w:tcMar>
              <w:top w:w="80" w:type="dxa"/>
              <w:start w:w="120" w:type="dxa"/>
              <w:bottom w:w="80" w:type="dxa"/>
              <w:end w:w="120" w:type="dxa"/>
            </w:tcMar>
          </w:tcPr>
          <w:p>
            <w:pPr>
              <w:spacing w:after="0"/>
            </w:pPr>
            <w:r>
              <w:rPr>
                <w:rFonts w:ascii="Calibri" w:hAnsi="Calibri"/>
                <w:color w:val="182230"/>
                <w:sz w:val="18"/>
              </w:rPr>
              <w:t>Review invitation delivery state, verify email, resend/revoke as needed, and check spam.</w:t>
            </w:r>
          </w:p>
        </w:tc>
      </w:tr>
    </w:tbl>
    <w:p>
      <w:pPr>
        <w:spacing w:after="40"/>
      </w:pPr>
    </w:p>
    <w:p>
      <w:pPr>
        <w:pStyle w:val="Heading2"/>
      </w:pPr>
      <w:r>
        <w:t>Support evidence to collect</w:t>
      </w:r>
    </w:p>
    <w:p>
      <w:pPr>
        <w:pStyle w:val="ListBullet"/>
      </w:pPr>
      <w:r>
        <w:rPr>
          <w:rFonts w:ascii="Calibri" w:hAnsi="Calibri"/>
          <w:color w:val="182230"/>
        </w:rPr>
        <w:t>Company name and active environment (never include the full token).</w:t>
      </w:r>
    </w:p>
    <w:p>
      <w:pPr>
        <w:pStyle w:val="ListBullet"/>
      </w:pPr>
      <w:r>
        <w:rPr>
          <w:rFonts w:ascii="Calibri" w:hAnsi="Calibri"/>
          <w:color w:val="182230"/>
        </w:rPr>
        <w:t>Invoice reference, scenario ID, operation, date/time, and returned status code.</w:t>
      </w:r>
    </w:p>
    <w:p>
      <w:pPr>
        <w:pStyle w:val="ListBullet"/>
      </w:pPr>
      <w:r>
        <w:rPr>
          <w:rFonts w:ascii="Calibri" w:hAnsi="Calibri"/>
          <w:color w:val="182230"/>
        </w:rPr>
        <w:t>Mapped error code/message and masked payload/response from the result panel.</w:t>
      </w:r>
    </w:p>
    <w:p>
      <w:pPr>
        <w:pStyle w:val="ListBullet"/>
      </w:pPr>
      <w:r>
        <w:rPr>
          <w:rFonts w:ascii="Calibri" w:hAnsi="Calibri"/>
          <w:color w:val="182230"/>
        </w:rPr>
        <w:t>Confirmation of outbound IP and whitelist status for connectivity cases.</w:t>
      </w:r>
    </w:p>
    <w:p>
      <w:pPr>
        <w:pStyle w:val="ListBullet"/>
      </w:pPr>
      <w:r>
        <w:rPr>
          <w:rFonts w:ascii="Calibri" w:hAnsi="Calibri"/>
          <w:color w:val="182230"/>
        </w:rPr>
        <w:t>Steps already attempted and whether the issue occurs in Mock, Sandbox, or Production.</w:t>
      </w:r>
    </w:p>
    <w:p>
      <w:r>
        <w:rPr>
          <w:rFonts w:ascii="Calibri" w:hAnsi="Calibri"/>
          <w:b/>
          <w:color w:val="182230"/>
        </w:rPr>
        <w:t>PRAL DI CRM:</w:t>
      </w:r>
      <w:r>
        <w:rPr>
          <w:rFonts w:ascii="Calibri" w:hAnsi="Calibri"/>
          <w:i w:val="0"/>
          <w:color w:val="182230"/>
        </w:rPr>
        <w:t xml:space="preserve"> https://dicrm.pral.com.pk</w:t>
      </w:r>
    </w:p>
    <w:p>
      <w:pPr>
        <w:pStyle w:val="Heading1"/>
      </w:pPr>
      <w:r>
        <w:t>13. Security, Audit, and Handover</w:t>
      </w:r>
    </w:p>
    <w:p>
      <w:pPr>
        <w:pStyle w:val="ListBullet"/>
      </w:pPr>
      <w:r>
        <w:rPr>
          <w:rFonts w:ascii="Calibri" w:hAnsi="Calibri"/>
          <w:color w:val="182230"/>
        </w:rPr>
        <w:t>Use individual accounts; do not share passwords between operators.</w:t>
      </w:r>
    </w:p>
    <w:p>
      <w:pPr>
        <w:pStyle w:val="ListBullet"/>
      </w:pPr>
      <w:r>
        <w:rPr>
          <w:rFonts w:ascii="Calibri" w:hAnsi="Calibri"/>
          <w:color w:val="182230"/>
        </w:rPr>
        <w:t>Assign the lowest role needed and remove access immediately when staff leave.</w:t>
      </w:r>
    </w:p>
    <w:p>
      <w:pPr>
        <w:pStyle w:val="ListBullet"/>
      </w:pPr>
      <w:r>
        <w:rPr>
          <w:rFonts w:ascii="Calibri" w:hAnsi="Calibri"/>
          <w:color w:val="182230"/>
        </w:rPr>
        <w:t>Keep IRIS credentials under client control. Techionik should assist through screen sharing rather than retain the password.</w:t>
      </w:r>
    </w:p>
    <w:p>
      <w:pPr>
        <w:pStyle w:val="ListBullet"/>
      </w:pPr>
      <w:r>
        <w:rPr>
          <w:rFonts w:ascii="Calibri" w:hAnsi="Calibri"/>
          <w:color w:val="182230"/>
        </w:rPr>
        <w:t>Store sandbox and production tokens only in the platform's company-specific Settings flow.</w:t>
      </w:r>
    </w:p>
    <w:p>
      <w:pPr>
        <w:pStyle w:val="ListBullet"/>
      </w:pPr>
      <w:r>
        <w:rPr>
          <w:rFonts w:ascii="Calibri" w:hAnsi="Calibri"/>
          <w:color w:val="182230"/>
        </w:rPr>
        <w:t>Review the onboarding activity log for membership and status changes.</w:t>
      </w:r>
    </w:p>
    <w:p>
      <w:pPr>
        <w:pStyle w:val="ListBullet"/>
      </w:pPr>
      <w:r>
        <w:rPr>
          <w:rFonts w:ascii="Calibri" w:hAnsi="Calibri"/>
          <w:color w:val="182230"/>
        </w:rPr>
        <w:t>Treat FBR responses, invoice data, buyer identifiers, and tokens as confidential business/tax data.</w:t>
      </w:r>
    </w:p>
    <w:p>
      <w:pPr>
        <w:pStyle w:val="ListBullet"/>
      </w:pPr>
      <w:r>
        <w:rPr>
          <w:rFonts w:ascii="Calibri" w:hAnsi="Calibri"/>
          <w:color w:val="182230"/>
        </w:rPr>
        <w:t>Before handover, document the production environment, approved outbound IP, token owner, business owner, support contact, and recovery procedure.</w:t>
      </w:r>
    </w:p>
    <w:p>
      <w:pPr>
        <w:pStyle w:val="Heading1"/>
      </w:pPr>
      <w:r>
        <w:t>14. Glossary and Source References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E8EEF5"/>
            <w:vAlign w:val="center"/>
            <w:tcMar>
              <w:top w:w="80" w:type="dxa"/>
              <w:start w:w="120" w:type="dxa"/>
              <w:bottom w:w="80" w:type="dxa"/>
              <w:end w:w="120" w:type="dxa"/>
            </w:tcMar>
          </w:tcPr>
          <w:p>
            <w:pPr>
              <w:spacing w:after="0"/>
              <w:jc w:val="left"/>
            </w:pPr>
            <w:r>
              <w:rPr>
                <w:rFonts w:ascii="Calibri" w:hAnsi="Calibri"/>
                <w:b/>
                <w:color w:val="0B2545"/>
                <w:sz w:val="19"/>
              </w:rPr>
              <w:t>Term</w:t>
            </w:r>
          </w:p>
        </w:tc>
        <w:tc>
          <w:tcPr>
            <w:tcW w:type="dxa" w:w="7260"/>
            <w:shd w:fill="E8EEF5"/>
            <w:vAlign w:val="center"/>
            <w:tcMar>
              <w:top w:w="80" w:type="dxa"/>
              <w:start w:w="120" w:type="dxa"/>
              <w:bottom w:w="80" w:type="dxa"/>
              <w:end w:w="120" w:type="dxa"/>
            </w:tcMar>
          </w:tcPr>
          <w:p>
            <w:pPr>
              <w:spacing w:after="0"/>
              <w:jc w:val="left"/>
            </w:pPr>
            <w:r>
              <w:rPr>
                <w:rFonts w:ascii="Calibri" w:hAnsi="Calibri"/>
                <w:b/>
                <w:color w:val="0B2545"/>
                <w:sz w:val="19"/>
              </w:rPr>
              <w:t>Meaning</w:t>
            </w:r>
          </w:p>
        </w:tc>
      </w:tr>
      <w:tr>
        <w:tc>
          <w:tcPr>
            <w:tcW w:type="dxa" w:w="2100"/>
            <w:vAlign w:val="center"/>
            <w:tcMar>
              <w:top w:w="80" w:type="dxa"/>
              <w:start w:w="120" w:type="dxa"/>
              <w:bottom w:w="80" w:type="dxa"/>
              <w:end w:w="120" w:type="dxa"/>
            </w:tcMar>
          </w:tcPr>
          <w:p>
            <w:pPr>
              <w:spacing w:after="0"/>
            </w:pPr>
            <w:r>
              <w:rPr>
                <w:rFonts w:ascii="Calibri" w:hAnsi="Calibri"/>
                <w:color w:val="182230"/>
                <w:sz w:val="19"/>
              </w:rPr>
              <w:t>FBR</w:t>
            </w:r>
          </w:p>
        </w:tc>
        <w:tc>
          <w:tcPr>
            <w:tcW w:type="dxa" w:w="7260"/>
            <w:vAlign w:val="center"/>
            <w:tcMar>
              <w:top w:w="80" w:type="dxa"/>
              <w:start w:w="120" w:type="dxa"/>
              <w:bottom w:w="80" w:type="dxa"/>
              <w:end w:w="120" w:type="dxa"/>
            </w:tcMar>
          </w:tcPr>
          <w:p>
            <w:pPr>
              <w:spacing w:after="0"/>
            </w:pPr>
            <w:r>
              <w:rPr>
                <w:rFonts w:ascii="Calibri" w:hAnsi="Calibri"/>
                <w:color w:val="182230"/>
                <w:sz w:val="19"/>
              </w:rPr>
              <w:t>Federal Board of Revenue.</w:t>
            </w:r>
          </w:p>
        </w:tc>
      </w:tr>
      <w:tr>
        <w:tc>
          <w:tcPr>
            <w:tcW w:type="dxa" w:w="2100"/>
            <w:vAlign w:val="center"/>
            <w:tcMar>
              <w:top w:w="80" w:type="dxa"/>
              <w:start w:w="120" w:type="dxa"/>
              <w:bottom w:w="80" w:type="dxa"/>
              <w:end w:w="120" w:type="dxa"/>
            </w:tcMar>
          </w:tcPr>
          <w:p>
            <w:pPr>
              <w:spacing w:after="0"/>
            </w:pPr>
            <w:r>
              <w:rPr>
                <w:rFonts w:ascii="Calibri" w:hAnsi="Calibri"/>
                <w:color w:val="182230"/>
                <w:sz w:val="19"/>
              </w:rPr>
              <w:t>PRAL</w:t>
            </w:r>
          </w:p>
        </w:tc>
        <w:tc>
          <w:tcPr>
            <w:tcW w:type="dxa" w:w="7260"/>
            <w:vAlign w:val="center"/>
            <w:tcMar>
              <w:top w:w="80" w:type="dxa"/>
              <w:start w:w="120" w:type="dxa"/>
              <w:bottom w:w="80" w:type="dxa"/>
              <w:end w:w="120" w:type="dxa"/>
            </w:tcMar>
          </w:tcPr>
          <w:p>
            <w:pPr>
              <w:spacing w:after="0"/>
            </w:pPr>
            <w:r>
              <w:rPr>
                <w:rFonts w:ascii="Calibri" w:hAnsi="Calibri"/>
                <w:color w:val="182230"/>
                <w:sz w:val="19"/>
              </w:rPr>
              <w:t>Pakistan Revenue Automation Limited, operator/support provider for the digital invoicing integration flow.</w:t>
            </w:r>
          </w:p>
        </w:tc>
      </w:tr>
      <w:tr>
        <w:tc>
          <w:tcPr>
            <w:tcW w:type="dxa" w:w="2100"/>
            <w:vAlign w:val="center"/>
            <w:tcMar>
              <w:top w:w="80" w:type="dxa"/>
              <w:start w:w="120" w:type="dxa"/>
              <w:bottom w:w="80" w:type="dxa"/>
              <w:end w:w="120" w:type="dxa"/>
            </w:tcMar>
          </w:tcPr>
          <w:p>
            <w:pPr>
              <w:spacing w:after="0"/>
            </w:pPr>
            <w:r>
              <w:rPr>
                <w:rFonts w:ascii="Calibri" w:hAnsi="Calibri"/>
                <w:color w:val="182230"/>
                <w:sz w:val="19"/>
              </w:rPr>
              <w:t>IRIS</w:t>
            </w:r>
          </w:p>
        </w:tc>
        <w:tc>
          <w:tcPr>
            <w:tcW w:type="dxa" w:w="7260"/>
            <w:vAlign w:val="center"/>
            <w:tcMar>
              <w:top w:w="80" w:type="dxa"/>
              <w:start w:w="120" w:type="dxa"/>
              <w:bottom w:w="80" w:type="dxa"/>
              <w:end w:w="120" w:type="dxa"/>
            </w:tcMar>
          </w:tcPr>
          <w:p>
            <w:pPr>
              <w:spacing w:after="0"/>
            </w:pPr>
            <w:r>
              <w:rPr>
                <w:rFonts w:ascii="Calibri" w:hAnsi="Calibri"/>
                <w:color w:val="182230"/>
                <w:sz w:val="19"/>
              </w:rPr>
              <w:t>FBR portal used by taxpayers for registration and digital invoicing setup.</w:t>
            </w:r>
          </w:p>
        </w:tc>
      </w:tr>
      <w:tr>
        <w:tc>
          <w:tcPr>
            <w:tcW w:type="dxa" w:w="2100"/>
            <w:vAlign w:val="center"/>
            <w:tcMar>
              <w:top w:w="80" w:type="dxa"/>
              <w:start w:w="120" w:type="dxa"/>
              <w:bottom w:w="80" w:type="dxa"/>
              <w:end w:w="120" w:type="dxa"/>
            </w:tcMar>
          </w:tcPr>
          <w:p>
            <w:pPr>
              <w:spacing w:after="0"/>
            </w:pPr>
            <w:r>
              <w:rPr>
                <w:rFonts w:ascii="Calibri" w:hAnsi="Calibri"/>
                <w:color w:val="182230"/>
                <w:sz w:val="19"/>
              </w:rPr>
              <w:t>Tenant/company</w:t>
            </w:r>
          </w:p>
        </w:tc>
        <w:tc>
          <w:tcPr>
            <w:tcW w:type="dxa" w:w="7260"/>
            <w:vAlign w:val="center"/>
            <w:tcMar>
              <w:top w:w="80" w:type="dxa"/>
              <w:start w:w="120" w:type="dxa"/>
              <w:bottom w:w="80" w:type="dxa"/>
              <w:end w:w="120" w:type="dxa"/>
            </w:tcMar>
          </w:tcPr>
          <w:p>
            <w:pPr>
              <w:spacing w:after="0"/>
            </w:pPr>
            <w:r>
              <w:rPr>
                <w:rFonts w:ascii="Calibri" w:hAnsi="Calibri"/>
                <w:color w:val="182230"/>
                <w:sz w:val="19"/>
              </w:rPr>
              <w:t>A private business workspace inside the Techionik platform.</w:t>
            </w:r>
          </w:p>
        </w:tc>
      </w:tr>
      <w:tr>
        <w:tc>
          <w:tcPr>
            <w:tcW w:type="dxa" w:w="2100"/>
            <w:vAlign w:val="center"/>
            <w:tcMar>
              <w:top w:w="80" w:type="dxa"/>
              <w:start w:w="120" w:type="dxa"/>
              <w:bottom w:w="80" w:type="dxa"/>
              <w:end w:w="120" w:type="dxa"/>
            </w:tcMar>
          </w:tcPr>
          <w:p>
            <w:pPr>
              <w:spacing w:after="0"/>
            </w:pPr>
            <w:r>
              <w:rPr>
                <w:rFonts w:ascii="Calibri" w:hAnsi="Calibri"/>
                <w:color w:val="182230"/>
                <w:sz w:val="19"/>
              </w:rPr>
              <w:t>Outbound IP</w:t>
            </w:r>
          </w:p>
        </w:tc>
        <w:tc>
          <w:tcPr>
            <w:tcW w:type="dxa" w:w="7260"/>
            <w:vAlign w:val="center"/>
            <w:tcMar>
              <w:top w:w="80" w:type="dxa"/>
              <w:start w:w="120" w:type="dxa"/>
              <w:bottom w:w="80" w:type="dxa"/>
              <w:end w:w="120" w:type="dxa"/>
            </w:tcMar>
          </w:tcPr>
          <w:p>
            <w:pPr>
              <w:spacing w:after="0"/>
            </w:pPr>
            <w:r>
              <w:rPr>
                <w:rFonts w:ascii="Calibri" w:hAnsi="Calibri"/>
                <w:color w:val="182230"/>
                <w:sz w:val="19"/>
              </w:rPr>
              <w:t>Public source IP used by the deployed server when calling FBR/PRAL.</w:t>
            </w:r>
          </w:p>
        </w:tc>
      </w:tr>
      <w:tr>
        <w:tc>
          <w:tcPr>
            <w:tcW w:type="dxa" w:w="2100"/>
            <w:vAlign w:val="center"/>
            <w:tcMar>
              <w:top w:w="80" w:type="dxa"/>
              <w:start w:w="120" w:type="dxa"/>
              <w:bottom w:w="80" w:type="dxa"/>
              <w:end w:w="120" w:type="dxa"/>
            </w:tcMar>
          </w:tcPr>
          <w:p>
            <w:pPr>
              <w:spacing w:after="0"/>
            </w:pPr>
            <w:r>
              <w:rPr>
                <w:rFonts w:ascii="Calibri" w:hAnsi="Calibri"/>
                <w:color w:val="182230"/>
                <w:sz w:val="19"/>
              </w:rPr>
              <w:t>Sandbox token</w:t>
            </w:r>
          </w:p>
        </w:tc>
        <w:tc>
          <w:tcPr>
            <w:tcW w:type="dxa" w:w="7260"/>
            <w:vAlign w:val="center"/>
            <w:tcMar>
              <w:top w:w="80" w:type="dxa"/>
              <w:start w:w="120" w:type="dxa"/>
              <w:bottom w:w="80" w:type="dxa"/>
              <w:end w:w="120" w:type="dxa"/>
            </w:tcMar>
          </w:tcPr>
          <w:p>
            <w:pPr>
              <w:spacing w:after="0"/>
            </w:pPr>
            <w:r>
              <w:rPr>
                <w:rFonts w:ascii="Calibri" w:hAnsi="Calibri"/>
                <w:color w:val="182230"/>
                <w:sz w:val="19"/>
              </w:rPr>
              <w:t>Credential used for PRAL test submissions.</w:t>
            </w:r>
          </w:p>
        </w:tc>
      </w:tr>
      <w:tr>
        <w:tc>
          <w:tcPr>
            <w:tcW w:type="dxa" w:w="2100"/>
            <w:vAlign w:val="center"/>
            <w:tcMar>
              <w:top w:w="80" w:type="dxa"/>
              <w:start w:w="120" w:type="dxa"/>
              <w:bottom w:w="80" w:type="dxa"/>
              <w:end w:w="120" w:type="dxa"/>
            </w:tcMar>
          </w:tcPr>
          <w:p>
            <w:pPr>
              <w:spacing w:after="0"/>
            </w:pPr>
            <w:r>
              <w:rPr>
                <w:rFonts w:ascii="Calibri" w:hAnsi="Calibri"/>
                <w:color w:val="182230"/>
                <w:sz w:val="19"/>
              </w:rPr>
              <w:t>Production token</w:t>
            </w:r>
          </w:p>
        </w:tc>
        <w:tc>
          <w:tcPr>
            <w:tcW w:type="dxa" w:w="7260"/>
            <w:vAlign w:val="center"/>
            <w:tcMar>
              <w:top w:w="80" w:type="dxa"/>
              <w:start w:w="120" w:type="dxa"/>
              <w:bottom w:w="80" w:type="dxa"/>
              <w:end w:w="120" w:type="dxa"/>
            </w:tcMar>
          </w:tcPr>
          <w:p>
            <w:pPr>
              <w:spacing w:after="0"/>
            </w:pPr>
            <w:r>
              <w:rPr>
                <w:rFonts w:ascii="Calibri" w:hAnsi="Calibri"/>
                <w:color w:val="182230"/>
                <w:sz w:val="19"/>
              </w:rPr>
              <w:t>Credential used for real FBR submissions.</w:t>
            </w:r>
          </w:p>
        </w:tc>
      </w:tr>
      <w:tr>
        <w:tc>
          <w:tcPr>
            <w:tcW w:type="dxa" w:w="2100"/>
            <w:vAlign w:val="center"/>
            <w:tcMar>
              <w:top w:w="80" w:type="dxa"/>
              <w:start w:w="120" w:type="dxa"/>
              <w:bottom w:w="80" w:type="dxa"/>
              <w:end w:w="120" w:type="dxa"/>
            </w:tcMar>
          </w:tcPr>
          <w:p>
            <w:pPr>
              <w:spacing w:after="0"/>
            </w:pPr>
            <w:r>
              <w:rPr>
                <w:rFonts w:ascii="Calibri" w:hAnsi="Calibri"/>
                <w:color w:val="182230"/>
                <w:sz w:val="19"/>
              </w:rPr>
              <w:t>Scenario</w:t>
            </w:r>
          </w:p>
        </w:tc>
        <w:tc>
          <w:tcPr>
            <w:tcW w:type="dxa" w:w="7260"/>
            <w:vAlign w:val="center"/>
            <w:tcMar>
              <w:top w:w="80" w:type="dxa"/>
              <w:start w:w="120" w:type="dxa"/>
              <w:bottom w:w="80" w:type="dxa"/>
              <w:end w:w="120" w:type="dxa"/>
            </w:tcMar>
          </w:tcPr>
          <w:p>
            <w:pPr>
              <w:spacing w:after="0"/>
            </w:pPr>
            <w:r>
              <w:rPr>
                <w:rFonts w:ascii="Calibri" w:hAnsi="Calibri"/>
                <w:color w:val="182230"/>
                <w:sz w:val="19"/>
              </w:rPr>
              <w:t>PRAL-defined test invoice pattern, such as SN001.</w:t>
            </w:r>
          </w:p>
        </w:tc>
      </w:tr>
      <w:tr>
        <w:tc>
          <w:tcPr>
            <w:tcW w:type="dxa" w:w="2100"/>
            <w:vAlign w:val="center"/>
            <w:tcMar>
              <w:top w:w="80" w:type="dxa"/>
              <w:start w:w="120" w:type="dxa"/>
              <w:bottom w:w="80" w:type="dxa"/>
              <w:end w:w="120" w:type="dxa"/>
            </w:tcMar>
          </w:tcPr>
          <w:p>
            <w:pPr>
              <w:spacing w:after="0"/>
            </w:pPr>
            <w:r>
              <w:rPr>
                <w:rFonts w:ascii="Calibri" w:hAnsi="Calibri"/>
                <w:color w:val="182230"/>
                <w:sz w:val="19"/>
              </w:rPr>
              <w:t>Mock</w:t>
            </w:r>
          </w:p>
        </w:tc>
        <w:tc>
          <w:tcPr>
            <w:tcW w:type="dxa" w:w="7260"/>
            <w:vAlign w:val="center"/>
            <w:tcMar>
              <w:top w:w="80" w:type="dxa"/>
              <w:start w:w="120" w:type="dxa"/>
              <w:bottom w:w="80" w:type="dxa"/>
              <w:end w:w="120" w:type="dxa"/>
            </w:tcMar>
          </w:tcPr>
          <w:p>
            <w:pPr>
              <w:spacing w:after="0"/>
            </w:pPr>
            <w:r>
              <w:rPr>
                <w:rFonts w:ascii="Calibri" w:hAnsi="Calibri"/>
                <w:color w:val="182230"/>
                <w:sz w:val="19"/>
              </w:rPr>
              <w:t>Local simulated result that does not reach FBR.</w:t>
            </w:r>
          </w:p>
        </w:tc>
      </w:tr>
      <w:tr>
        <w:tc>
          <w:tcPr>
            <w:tcW w:type="dxa" w:w="2100"/>
            <w:vAlign w:val="center"/>
            <w:tcMar>
              <w:top w:w="80" w:type="dxa"/>
              <w:start w:w="120" w:type="dxa"/>
              <w:bottom w:w="80" w:type="dxa"/>
              <w:end w:w="120" w:type="dxa"/>
            </w:tcMar>
          </w:tcPr>
          <w:p>
            <w:pPr>
              <w:spacing w:after="0"/>
            </w:pPr>
            <w:r>
              <w:rPr>
                <w:rFonts w:ascii="Calibri" w:hAnsi="Calibri"/>
                <w:color w:val="182230"/>
                <w:sz w:val="19"/>
              </w:rPr>
              <w:t>Offline queue</w:t>
            </w:r>
          </w:p>
        </w:tc>
        <w:tc>
          <w:tcPr>
            <w:tcW w:type="dxa" w:w="7260"/>
            <w:vAlign w:val="center"/>
            <w:tcMar>
              <w:top w:w="80" w:type="dxa"/>
              <w:start w:w="120" w:type="dxa"/>
              <w:bottom w:w="80" w:type="dxa"/>
              <w:end w:w="120" w:type="dxa"/>
            </w:tcMar>
          </w:tcPr>
          <w:p>
            <w:pPr>
              <w:spacing w:after="0"/>
            </w:pPr>
            <w:r>
              <w:rPr>
                <w:rFonts w:ascii="Calibri" w:hAnsi="Calibri"/>
                <w:color w:val="182230"/>
                <w:sz w:val="19"/>
              </w:rPr>
              <w:t>Company-scoped storage for invoices awaiting upload/retry.</w:t>
            </w:r>
          </w:p>
        </w:tc>
      </w:tr>
    </w:tbl>
    <w:p>
      <w:pPr>
        <w:spacing w:after="40"/>
      </w:pPr>
    </w:p>
    <w:p>
      <w:pPr>
        <w:pStyle w:val="Heading2"/>
      </w:pPr>
      <w:r>
        <w:t>Source references</w:t>
      </w:r>
    </w:p>
    <w:p>
      <w:pPr>
        <w:pStyle w:val="ListBullet"/>
      </w:pPr>
      <w:r>
        <w:rPr>
          <w:rFonts w:ascii="Calibri" w:hAnsi="Calibri"/>
          <w:color w:val="182230"/>
        </w:rPr>
        <w:t>FBR/PRAL Digital Invoicing User Manual, Document 1.0, June 2025 (local file: 20256251162757102DIUserManualV1.4.pdf).</w:t>
      </w:r>
    </w:p>
    <w:p>
      <w:pPr>
        <w:pStyle w:val="ListBullet"/>
      </w:pPr>
      <w:r>
        <w:rPr>
          <w:rFonts w:ascii="Calibri" w:hAnsi="Calibri"/>
          <w:color w:val="182230"/>
        </w:rPr>
        <w:t>FBR/PRAL DI API Technical Specification, Document Version 1.0, June 2025 (local file: 20256201364855300TechnicalDocumentationforDIAPI (1).pdf).</w:t>
      </w:r>
    </w:p>
    <w:p>
      <w:pPr>
        <w:pStyle w:val="ListBullet"/>
      </w:pPr>
      <w:r>
        <w:rPr>
          <w:rFonts w:ascii="Calibri" w:hAnsi="Calibri"/>
          <w:color w:val="182230"/>
        </w:rPr>
        <w:t>Techionik FBR Client Onboarding Guide (provided by the project owner).</w:t>
      </w:r>
    </w:p>
    <w:p>
      <w:pPr>
        <w:pStyle w:val="ListBullet"/>
      </w:pPr>
      <w:r>
        <w:rPr>
          <w:rFonts w:ascii="Calibri" w:hAnsi="Calibri"/>
          <w:color w:val="182230"/>
        </w:rPr>
        <w:t>Current Techionik application routes, screens, API services, and database behavior as of 19 June 2026.</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FF4CC"/>
          </w:tcPr>
          <w:p>
            <w:pPr>
              <w:spacing w:after="40"/>
            </w:pPr>
            <w:r>
              <w:rPr>
                <w:rFonts w:ascii="Calibri" w:hAnsi="Calibri"/>
                <w:b/>
                <w:color w:val="7A5A00"/>
              </w:rPr>
              <w:t xml:space="preserve">Document control: </w:t>
            </w:r>
            <w:r>
              <w:rPr>
                <w:rFonts w:ascii="Calibri" w:hAnsi="Calibri"/>
                <w:color w:val="7A5A00"/>
              </w:rPr>
              <w:t>FBR/PRAL procedures, endpoints, fields, and scenario matrices can change. Reconfirm the current IRIS screens and latest official documentation before each client go-live.</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7085"/>
        <w:sz w:val="18"/>
      </w:rPr>
      <w:t xml:space="preserve">Techionik Digital Invoicing | Page </w:t>
    </w:r>
    <w:r>
      <w:rPr>
        <w:rFonts w:ascii="Calibri" w:hAnsi="Calibri"/>
        <w:color w:val="66708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Calibri" w:hAnsi="Calibri"/>
        <w:b/>
        <w:color w:val="667085"/>
        <w:sz w:val="18"/>
      </w:rPr>
      <w:t>End-to-End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822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End-to-End User Manual</dc:title>
  <dc:subject>Complete operating guide for Techionik FBR Digital Invoicing</dc:subject>
  <dc:creator>Techionik</dc:creator>
  <cp:keywords>FBR, PRAL, digital invoicing, sandbox, user manual</cp:keywords>
  <dc:description>generated by python-docx</dc:description>
  <cp:lastModifiedBy/>
  <cp:revision>1</cp:revision>
  <dcterms:created xsi:type="dcterms:W3CDTF">2013-12-23T23:15:00Z</dcterms:created>
  <dcterms:modified xsi:type="dcterms:W3CDTF">2013-12-23T23:15:00Z</dcterms:modified>
  <cp:category/>
</cp:coreProperties>
</file>