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fbr-digital-invoicing-project"/>
    <w:p>
      <w:pPr>
        <w:pStyle w:val="Heading1"/>
      </w:pPr>
      <w:r>
        <w:t xml:space="preserve">FBR Digital Invoicing Project</w:t>
      </w:r>
    </w:p>
    <w:bookmarkStart w:id="20" w:name="X5101fd316cb2f652af13e5a28eb8b47d1504b74"/>
    <w:p>
      <w:pPr>
        <w:pStyle w:val="Heading2"/>
      </w:pPr>
      <w:r>
        <w:t xml:space="preserve">Raees Responsibility Document — Backend / API / FBR Logic</w:t>
      </w:r>
    </w:p>
    <w:p>
      <w:pPr>
        <w:pStyle w:val="FirstParagraph"/>
      </w:pPr>
      <w:r>
        <w:rPr>
          <w:b/>
          <w:bCs/>
        </w:rPr>
        <w:t xml:space="preserve">Owner:</w:t>
      </w:r>
      <w:r>
        <w:t xml:space="preserve"> </w:t>
      </w:r>
      <w:r>
        <w:t xml:space="preserve">Raees</w:t>
      </w:r>
      <w:r>
        <w:br/>
      </w:r>
      <w:r>
        <w:rPr>
          <w:b/>
          <w:bCs/>
        </w:rPr>
        <w:t xml:space="preserve">Main Role:</w:t>
      </w:r>
      <w:r>
        <w:t xml:space="preserve"> </w:t>
      </w:r>
      <w:r>
        <w:t xml:space="preserve">Backend integration, FBR API logic, reference APIs, validation/submission, error handling, offline queue, and data storage.</w:t>
      </w:r>
      <w:r>
        <w:br/>
      </w:r>
      <w:r>
        <w:rPr>
          <w:b/>
          <w:bCs/>
        </w:rPr>
        <w:t xml:space="preserve">Goal:</w:t>
      </w:r>
      <w:r>
        <w:t xml:space="preserve"> </w:t>
      </w:r>
      <w:r>
        <w:t xml:space="preserve">Build a reliable backend layer that prepares invoice JSON, validates/submits invoices to FBR, handles tokens, stores responses, and supports the frontend.</w:t>
      </w:r>
      <w:r>
        <w:br/>
      </w:r>
      <w:r>
        <w:rPr>
          <w:b/>
          <w:bCs/>
        </w:rPr>
        <w:t xml:space="preserve">Depends On:</w:t>
      </w:r>
      <w:r>
        <w:t xml:space="preserve"> </w:t>
      </w:r>
      <w:r>
        <w:t xml:space="preserve">FBR sandbox/production token, server IP whitelisting, client business nature/sector, product catalog, and IRIS/PRAL setup.</w:t>
      </w:r>
    </w:p>
    <w:bookmarkEnd w:id="20"/>
    <w:bookmarkStart w:id="21" w:name="scope-summary"/>
    <w:p>
      <w:pPr>
        <w:pStyle w:val="Heading2"/>
      </w:pPr>
      <w:r>
        <w:t xml:space="preserve">Scope Summary</w:t>
      </w:r>
    </w:p>
    <w:p>
      <w:pPr>
        <w:pStyle w:val="FirstParagraph"/>
      </w:pPr>
      <w:r>
        <w:t xml:space="preserve">Raees will handle the complete backend and FBR integration side of the project. The backend must communicate with FBR Digital Invoicing APIs, manage authentication, prepare correct JSON payloads, validate invoices, submit invoices, manage FBR responses, and support frontend screens created by Ehitsham.</w:t>
      </w:r>
    </w:p>
    <w:bookmarkEnd w:id="21"/>
    <w:bookmarkStart w:id="34" w:name="step-by-step-work-plan"/>
    <w:p>
      <w:pPr>
        <w:pStyle w:val="Heading2"/>
      </w:pPr>
      <w:r>
        <w:t xml:space="preserve">Step-by-Step Work Plan</w:t>
      </w:r>
    </w:p>
    <w:bookmarkStart w:id="22" w:name="api-documentation-review"/>
    <w:p>
      <w:pPr>
        <w:pStyle w:val="Heading3"/>
      </w:pPr>
      <w:r>
        <w:t xml:space="preserve">1. API Documentation Review</w:t>
      </w:r>
    </w:p>
    <w:p>
      <w:pPr>
        <w:pStyle w:val="FirstParagraph"/>
      </w:pPr>
      <w:r>
        <w:t xml:space="preserve">Study the DI API Technical Specification and identify:</w:t>
      </w:r>
    </w:p>
    <w:p>
      <w:pPr>
        <w:pStyle w:val="Compact"/>
        <w:numPr>
          <w:ilvl w:val="0"/>
          <w:numId w:val="1001"/>
        </w:numPr>
      </w:pPr>
      <w:r>
        <w:t xml:space="preserve">Required API URLs</w:t>
      </w:r>
    </w:p>
    <w:p>
      <w:pPr>
        <w:pStyle w:val="Compact"/>
        <w:numPr>
          <w:ilvl w:val="0"/>
          <w:numId w:val="1001"/>
        </w:numPr>
      </w:pPr>
      <w:r>
        <w:t xml:space="preserve">Bearer token authentication</w:t>
      </w:r>
    </w:p>
    <w:p>
      <w:pPr>
        <w:pStyle w:val="Compact"/>
        <w:numPr>
          <w:ilvl w:val="0"/>
          <w:numId w:val="1001"/>
        </w:numPr>
      </w:pPr>
      <w:r>
        <w:t xml:space="preserve">Sandbox and production flow</w:t>
      </w:r>
    </w:p>
    <w:p>
      <w:pPr>
        <w:pStyle w:val="Compact"/>
        <w:numPr>
          <w:ilvl w:val="0"/>
          <w:numId w:val="1001"/>
        </w:numPr>
      </w:pPr>
      <w:r>
        <w:t xml:space="preserve">Required invoice JSON fields</w:t>
      </w:r>
    </w:p>
    <w:p>
      <w:pPr>
        <w:pStyle w:val="Compact"/>
        <w:numPr>
          <w:ilvl w:val="0"/>
          <w:numId w:val="1001"/>
        </w:numPr>
      </w:pPr>
      <w:r>
        <w:t xml:space="preserve">Validation response format</w:t>
      </w:r>
    </w:p>
    <w:p>
      <w:pPr>
        <w:pStyle w:val="Compact"/>
        <w:numPr>
          <w:ilvl w:val="0"/>
          <w:numId w:val="1001"/>
        </w:numPr>
      </w:pPr>
      <w:r>
        <w:t xml:space="preserve">Submission response format</w:t>
      </w:r>
    </w:p>
    <w:p>
      <w:pPr>
        <w:pStyle w:val="Compact"/>
        <w:numPr>
          <w:ilvl w:val="0"/>
          <w:numId w:val="1001"/>
        </w:numPr>
      </w:pPr>
      <w:r>
        <w:t xml:space="preserve">Error codes</w:t>
      </w:r>
    </w:p>
    <w:p>
      <w:pPr>
        <w:pStyle w:val="Compact"/>
        <w:numPr>
          <w:ilvl w:val="0"/>
          <w:numId w:val="1001"/>
        </w:numPr>
      </w:pPr>
      <w:r>
        <w:t xml:space="preserve">Reference APIs</w:t>
      </w:r>
    </w:p>
    <w:p>
      <w:pPr>
        <w:pStyle w:val="FirstParagraph"/>
      </w:pPr>
      <w:r>
        <w:rPr>
          <w:b/>
          <w:bCs/>
        </w:rPr>
        <w:t xml:space="preserve">Output:</w:t>
      </w:r>
      <w:r>
        <w:t xml:space="preserve"> </w:t>
      </w:r>
      <w:r>
        <w:t xml:space="preserve">Clear backend API plan and payload structure.</w:t>
      </w:r>
    </w:p>
    <w:bookmarkEnd w:id="22"/>
    <w:bookmarkStart w:id="23" w:name="backend-project-setup"/>
    <w:p>
      <w:pPr>
        <w:pStyle w:val="Heading3"/>
      </w:pPr>
      <w:r>
        <w:t xml:space="preserve">2. Backend Project Setup</w:t>
      </w:r>
    </w:p>
    <w:p>
      <w:pPr>
        <w:pStyle w:val="FirstParagraph"/>
      </w:pPr>
      <w:r>
        <w:t xml:space="preserve">Set up backend structure with:</w:t>
      </w:r>
    </w:p>
    <w:p>
      <w:pPr>
        <w:pStyle w:val="Compact"/>
        <w:numPr>
          <w:ilvl w:val="0"/>
          <w:numId w:val="1002"/>
        </w:numPr>
      </w:pPr>
      <w:r>
        <w:t xml:space="preserve">Environment variables</w:t>
      </w:r>
    </w:p>
    <w:p>
      <w:pPr>
        <w:pStyle w:val="Compact"/>
        <w:numPr>
          <w:ilvl w:val="0"/>
          <w:numId w:val="1002"/>
        </w:numPr>
      </w:pPr>
      <w:r>
        <w:t xml:space="preserve">Token configuration</w:t>
      </w:r>
    </w:p>
    <w:p>
      <w:pPr>
        <w:pStyle w:val="Compact"/>
        <w:numPr>
          <w:ilvl w:val="0"/>
          <w:numId w:val="1002"/>
        </w:numPr>
      </w:pPr>
      <w:r>
        <w:t xml:space="preserve">API client</w:t>
      </w:r>
    </w:p>
    <w:p>
      <w:pPr>
        <w:pStyle w:val="Compact"/>
        <w:numPr>
          <w:ilvl w:val="0"/>
          <w:numId w:val="1002"/>
        </w:numPr>
      </w:pPr>
      <w:r>
        <w:t xml:space="preserve">Logging</w:t>
      </w:r>
    </w:p>
    <w:p>
      <w:pPr>
        <w:pStyle w:val="Compact"/>
        <w:numPr>
          <w:ilvl w:val="0"/>
          <w:numId w:val="1002"/>
        </w:numPr>
      </w:pPr>
      <w:r>
        <w:t xml:space="preserve">Error handler</w:t>
      </w:r>
    </w:p>
    <w:p>
      <w:pPr>
        <w:pStyle w:val="Compact"/>
        <w:numPr>
          <w:ilvl w:val="0"/>
          <w:numId w:val="1002"/>
        </w:numPr>
      </w:pPr>
      <w:r>
        <w:t xml:space="preserve">Basic routes for frontend</w:t>
      </w:r>
    </w:p>
    <w:p>
      <w:pPr>
        <w:pStyle w:val="FirstParagraph"/>
      </w:pPr>
      <w:r>
        <w:rPr>
          <w:b/>
          <w:bCs/>
        </w:rPr>
        <w:t xml:space="preserve">Output:</w:t>
      </w:r>
      <w:r>
        <w:t xml:space="preserve"> </w:t>
      </w:r>
      <w:r>
        <w:t xml:space="preserve">Backend is ready for FBR API development.</w:t>
      </w:r>
    </w:p>
    <w:bookmarkEnd w:id="23"/>
    <w:bookmarkStart w:id="24" w:name="reference-api-layer"/>
    <w:p>
      <w:pPr>
        <w:pStyle w:val="Heading3"/>
      </w:pPr>
      <w:r>
        <w:t xml:space="preserve">3. Reference API Layer</w:t>
      </w:r>
    </w:p>
    <w:p>
      <w:pPr>
        <w:pStyle w:val="FirstParagraph"/>
      </w:pPr>
      <w:r>
        <w:t xml:space="preserve">Build backend functions/wrapper APIs for:</w:t>
      </w:r>
    </w:p>
    <w:p>
      <w:pPr>
        <w:pStyle w:val="Compact"/>
        <w:numPr>
          <w:ilvl w:val="0"/>
          <w:numId w:val="1003"/>
        </w:numPr>
      </w:pPr>
      <w:r>
        <w:t xml:space="preserve">Provinces</w:t>
      </w:r>
    </w:p>
    <w:p>
      <w:pPr>
        <w:pStyle w:val="Compact"/>
        <w:numPr>
          <w:ilvl w:val="0"/>
          <w:numId w:val="1003"/>
        </w:numPr>
      </w:pPr>
      <w:r>
        <w:t xml:space="preserve">Document types</w:t>
      </w:r>
    </w:p>
    <w:p>
      <w:pPr>
        <w:pStyle w:val="Compact"/>
        <w:numPr>
          <w:ilvl w:val="0"/>
          <w:numId w:val="1003"/>
        </w:numPr>
      </w:pPr>
      <w:r>
        <w:t xml:space="preserve">HS codes</w:t>
      </w:r>
    </w:p>
    <w:p>
      <w:pPr>
        <w:pStyle w:val="Compact"/>
        <w:numPr>
          <w:ilvl w:val="0"/>
          <w:numId w:val="1003"/>
        </w:numPr>
      </w:pPr>
      <w:r>
        <w:t xml:space="preserve">UOM</w:t>
      </w:r>
    </w:p>
    <w:p>
      <w:pPr>
        <w:pStyle w:val="Compact"/>
        <w:numPr>
          <w:ilvl w:val="0"/>
          <w:numId w:val="1003"/>
        </w:numPr>
      </w:pPr>
      <w:r>
        <w:t xml:space="preserve">SRO schedules</w:t>
      </w:r>
    </w:p>
    <w:p>
      <w:pPr>
        <w:pStyle w:val="Compact"/>
        <w:numPr>
          <w:ilvl w:val="0"/>
          <w:numId w:val="1003"/>
        </w:numPr>
      </w:pPr>
      <w:r>
        <w:t xml:space="preserve">Sale types</w:t>
      </w:r>
    </w:p>
    <w:p>
      <w:pPr>
        <w:pStyle w:val="Compact"/>
        <w:numPr>
          <w:ilvl w:val="0"/>
          <w:numId w:val="1003"/>
        </w:numPr>
      </w:pPr>
      <w:r>
        <w:t xml:space="preserve">Tax rates</w:t>
      </w:r>
    </w:p>
    <w:p>
      <w:pPr>
        <w:pStyle w:val="Compact"/>
        <w:numPr>
          <w:ilvl w:val="0"/>
          <w:numId w:val="1003"/>
        </w:numPr>
      </w:pPr>
      <w:r>
        <w:t xml:space="preserve">ATL status</w:t>
      </w:r>
    </w:p>
    <w:p>
      <w:pPr>
        <w:pStyle w:val="Compact"/>
        <w:numPr>
          <w:ilvl w:val="0"/>
          <w:numId w:val="1003"/>
        </w:numPr>
      </w:pPr>
      <w:r>
        <w:t xml:space="preserve">Buyer registration type</w:t>
      </w:r>
    </w:p>
    <w:p>
      <w:pPr>
        <w:pStyle w:val="FirstParagraph"/>
      </w:pPr>
      <w:r>
        <w:rPr>
          <w:b/>
          <w:bCs/>
        </w:rPr>
        <w:t xml:space="preserve">Output:</w:t>
      </w:r>
      <w:r>
        <w:t xml:space="preserve"> </w:t>
      </w:r>
      <w:r>
        <w:t xml:space="preserve">Frontend can fetch clean dropdown/reference data.</w:t>
      </w:r>
    </w:p>
    <w:bookmarkEnd w:id="24"/>
    <w:bookmarkStart w:id="25" w:name="caching-layer"/>
    <w:p>
      <w:pPr>
        <w:pStyle w:val="Heading3"/>
      </w:pPr>
      <w:r>
        <w:t xml:space="preserve">4. Caching Layer</w:t>
      </w:r>
    </w:p>
    <w:p>
      <w:pPr>
        <w:pStyle w:val="FirstParagraph"/>
      </w:pPr>
      <w:r>
        <w:t xml:space="preserve">Reference data should not be fetched from FBR on every page load. Add caching and refresh it daily or when manually requested.</w:t>
      </w:r>
    </w:p>
    <w:p>
      <w:pPr>
        <w:pStyle w:val="BodyText"/>
      </w:pPr>
      <w:r>
        <w:rPr>
          <w:b/>
          <w:bCs/>
        </w:rPr>
        <w:t xml:space="preserve">Output:</w:t>
      </w:r>
      <w:r>
        <w:t xml:space="preserve"> </w:t>
      </w:r>
      <w:r>
        <w:t xml:space="preserve">Reference data loads faster and reduces unnecessary API calls.</w:t>
      </w:r>
    </w:p>
    <w:bookmarkEnd w:id="25"/>
    <w:bookmarkStart w:id="26" w:name="invoice-json-builder"/>
    <w:p>
      <w:pPr>
        <w:pStyle w:val="Heading3"/>
      </w:pPr>
      <w:r>
        <w:t xml:space="preserve">5. Invoice JSON Builder</w:t>
      </w:r>
    </w:p>
    <w:p>
      <w:pPr>
        <w:pStyle w:val="FirstParagraph"/>
      </w:pPr>
      <w:r>
        <w:t xml:space="preserve">Create a backend function that converts frontend invoice data into the exact FBR JSON payload. It should handle both sandbox and production differences.</w:t>
      </w:r>
    </w:p>
    <w:p>
      <w:pPr>
        <w:pStyle w:val="BodyText"/>
      </w:pPr>
      <w:r>
        <w:rPr>
          <w:b/>
          <w:bCs/>
        </w:rPr>
        <w:t xml:space="preserve">Output:</w:t>
      </w:r>
      <w:r>
        <w:t xml:space="preserve"> </w:t>
      </w:r>
      <w:r>
        <w:t xml:space="preserve">Invoice JSON is always formatted correctly before validation or submission.</w:t>
      </w:r>
    </w:p>
    <w:bookmarkEnd w:id="26"/>
    <w:bookmarkStart w:id="27" w:name="validate-invoice-api"/>
    <w:p>
      <w:pPr>
        <w:pStyle w:val="Heading3"/>
      </w:pPr>
      <w:r>
        <w:t xml:space="preserve">6. Validate Invoice API</w:t>
      </w:r>
    </w:p>
    <w:p>
      <w:pPr>
        <w:pStyle w:val="FirstParagraph"/>
      </w:pPr>
      <w:r>
        <w:t xml:space="preserve">Build the invoice validation endpoint. This should send invoice data to FBR validation API and return a clean response to the frontend.</w:t>
      </w:r>
    </w:p>
    <w:p>
      <w:pPr>
        <w:pStyle w:val="BodyText"/>
      </w:pPr>
      <w:r>
        <w:rPr>
          <w:b/>
          <w:bCs/>
        </w:rPr>
        <w:t xml:space="preserve">Output:</w:t>
      </w:r>
      <w:r>
        <w:t xml:space="preserve"> </w:t>
      </w:r>
      <w:r>
        <w:t xml:space="preserve">Frontend can validate invoice before final submission.</w:t>
      </w:r>
    </w:p>
    <w:bookmarkEnd w:id="27"/>
    <w:bookmarkStart w:id="28" w:name="submit-invoice-api"/>
    <w:p>
      <w:pPr>
        <w:pStyle w:val="Heading3"/>
      </w:pPr>
      <w:r>
        <w:t xml:space="preserve">7. Submit Invoice API</w:t>
      </w:r>
    </w:p>
    <w:p>
      <w:pPr>
        <w:pStyle w:val="FirstParagraph"/>
      </w:pPr>
      <w:r>
        <w:t xml:space="preserve">Build the invoice submission endpoint using FBR</w:t>
      </w:r>
      <w:r>
        <w:t xml:space="preserve"> </w:t>
      </w:r>
      <w:r>
        <w:rPr>
          <w:rStyle w:val="VerbatimChar"/>
        </w:rPr>
        <w:t xml:space="preserve">postinvoicedata</w:t>
      </w:r>
      <w:r>
        <w:t xml:space="preserve">. It should submit the invoice in real time and save the returned FBR invoice number.</w:t>
      </w:r>
    </w:p>
    <w:p>
      <w:pPr>
        <w:pStyle w:val="BodyText"/>
      </w:pPr>
      <w:r>
        <w:rPr>
          <w:b/>
          <w:bCs/>
        </w:rPr>
        <w:t xml:space="preserve">Output:</w:t>
      </w:r>
      <w:r>
        <w:t xml:space="preserve"> </w:t>
      </w:r>
      <w:r>
        <w:t xml:space="preserve">Invoice is submitted successfully and FBR response is stored.</w:t>
      </w:r>
    </w:p>
    <w:bookmarkEnd w:id="28"/>
    <w:bookmarkStart w:id="29" w:name="error-handling-layer"/>
    <w:p>
      <w:pPr>
        <w:pStyle w:val="Heading3"/>
      </w:pPr>
      <w:r>
        <w:t xml:space="preserve">8. Error Handling Layer</w:t>
      </w:r>
    </w:p>
    <w:p>
      <w:pPr>
        <w:pStyle w:val="FirstParagraph"/>
      </w:pPr>
      <w:r>
        <w:t xml:space="preserve">Map FBR error codes into user-friendly messages. The frontend should receive clean messages instead of raw technical errors.</w:t>
      </w:r>
    </w:p>
    <w:p>
      <w:pPr>
        <w:pStyle w:val="BodyText"/>
      </w:pPr>
      <w:r>
        <w:rPr>
          <w:b/>
          <w:bCs/>
        </w:rPr>
        <w:t xml:space="preserve">Output:</w:t>
      </w:r>
      <w:r>
        <w:t xml:space="preserve"> </w:t>
      </w:r>
      <w:r>
        <w:t xml:space="preserve">Users can understand what went wrong and how to fix it.</w:t>
      </w:r>
    </w:p>
    <w:bookmarkEnd w:id="29"/>
    <w:bookmarkStart w:id="30" w:name="offline-queue-logic"/>
    <w:p>
      <w:pPr>
        <w:pStyle w:val="Heading3"/>
      </w:pPr>
      <w:r>
        <w:t xml:space="preserve">9. Offline Queue Logic</w:t>
      </w:r>
    </w:p>
    <w:p>
      <w:pPr>
        <w:pStyle w:val="FirstParagraph"/>
      </w:pPr>
      <w:r>
        <w:t xml:space="preserve">If internet or FBR API is unavailable, the invoice should be stored with an offline/pending status and retried later.</w:t>
      </w:r>
    </w:p>
    <w:p>
      <w:pPr>
        <w:pStyle w:val="BodyText"/>
      </w:pPr>
      <w:r>
        <w:rPr>
          <w:b/>
          <w:bCs/>
        </w:rPr>
        <w:t xml:space="preserve">Output:</w:t>
      </w:r>
      <w:r>
        <w:t xml:space="preserve"> </w:t>
      </w:r>
      <w:r>
        <w:t xml:space="preserve">Invoices are not lost during internet or API failure.</w:t>
      </w:r>
    </w:p>
    <w:bookmarkEnd w:id="30"/>
    <w:bookmarkStart w:id="31" w:name="dashboard-data-apis"/>
    <w:p>
      <w:pPr>
        <w:pStyle w:val="Heading3"/>
      </w:pPr>
      <w:r>
        <w:t xml:space="preserve">10. Dashboard Data APIs</w:t>
      </w:r>
    </w:p>
    <w:p>
      <w:pPr>
        <w:pStyle w:val="FirstParagraph"/>
      </w:pPr>
      <w:r>
        <w:t xml:space="preserve">Create backend APIs for dashboard data:</w:t>
      </w:r>
    </w:p>
    <w:p>
      <w:pPr>
        <w:pStyle w:val="Compact"/>
        <w:numPr>
          <w:ilvl w:val="0"/>
          <w:numId w:val="1004"/>
        </w:numPr>
      </w:pPr>
      <w:r>
        <w:t xml:space="preserve">Total invoices</w:t>
      </w:r>
    </w:p>
    <w:p>
      <w:pPr>
        <w:pStyle w:val="Compact"/>
        <w:numPr>
          <w:ilvl w:val="0"/>
          <w:numId w:val="1004"/>
        </w:numPr>
      </w:pPr>
      <w:r>
        <w:t xml:space="preserve">Submitted invoices</w:t>
      </w:r>
    </w:p>
    <w:p>
      <w:pPr>
        <w:pStyle w:val="Compact"/>
        <w:numPr>
          <w:ilvl w:val="0"/>
          <w:numId w:val="1004"/>
        </w:numPr>
      </w:pPr>
      <w:r>
        <w:t xml:space="preserve">Failed invoices</w:t>
      </w:r>
    </w:p>
    <w:p>
      <w:pPr>
        <w:pStyle w:val="Compact"/>
        <w:numPr>
          <w:ilvl w:val="0"/>
          <w:numId w:val="1004"/>
        </w:numPr>
      </w:pPr>
      <w:r>
        <w:t xml:space="preserve">Offline/pending invoices</w:t>
      </w:r>
    </w:p>
    <w:p>
      <w:pPr>
        <w:pStyle w:val="Compact"/>
        <w:numPr>
          <w:ilvl w:val="0"/>
          <w:numId w:val="1004"/>
        </w:numPr>
      </w:pPr>
      <w:r>
        <w:t xml:space="preserve">Search by invoice number</w:t>
      </w:r>
    </w:p>
    <w:p>
      <w:pPr>
        <w:pStyle w:val="Compact"/>
        <w:numPr>
          <w:ilvl w:val="0"/>
          <w:numId w:val="1004"/>
        </w:numPr>
      </w:pPr>
      <w:r>
        <w:t xml:space="preserve">Filter by date and invoice type</w:t>
      </w:r>
    </w:p>
    <w:p>
      <w:pPr>
        <w:pStyle w:val="Compact"/>
        <w:numPr>
          <w:ilvl w:val="0"/>
          <w:numId w:val="1004"/>
        </w:numPr>
      </w:pPr>
      <w:r>
        <w:t xml:space="preserve">PDF export data</w:t>
      </w:r>
    </w:p>
    <w:p>
      <w:pPr>
        <w:pStyle w:val="FirstParagraph"/>
      </w:pPr>
      <w:r>
        <w:rPr>
          <w:b/>
          <w:bCs/>
        </w:rPr>
        <w:t xml:space="preserve">Output:</w:t>
      </w:r>
      <w:r>
        <w:t xml:space="preserve"> </w:t>
      </w:r>
      <w:r>
        <w:t xml:space="preserve">Ehitsham can connect dashboard UI with real backend data.</w:t>
      </w:r>
    </w:p>
    <w:bookmarkEnd w:id="31"/>
    <w:bookmarkStart w:id="32" w:name="sandbox-testing"/>
    <w:p>
      <w:pPr>
        <w:pStyle w:val="Heading3"/>
      </w:pPr>
      <w:r>
        <w:t xml:space="preserve">11. Sandbox Testing</w:t>
      </w:r>
    </w:p>
    <w:p>
      <w:pPr>
        <w:pStyle w:val="FirstParagraph"/>
      </w:pPr>
      <w:r>
        <w:t xml:space="preserve">After sandbox token is available, test all applicable scenarios based on the client’s business nature and sector.</w:t>
      </w:r>
    </w:p>
    <w:p>
      <w:pPr>
        <w:pStyle w:val="BodyText"/>
      </w:pPr>
      <w:r>
        <w:rPr>
          <w:b/>
          <w:bCs/>
        </w:rPr>
        <w:t xml:space="preserve">Output:</w:t>
      </w:r>
      <w:r>
        <w:t xml:space="preserve"> </w:t>
      </w:r>
      <w:r>
        <w:t xml:space="preserve">Required sandbox scenarios pass successfully.</w:t>
      </w:r>
    </w:p>
    <w:bookmarkEnd w:id="32"/>
    <w:bookmarkStart w:id="33" w:name="production-readiness"/>
    <w:p>
      <w:pPr>
        <w:pStyle w:val="Heading3"/>
      </w:pPr>
      <w:r>
        <w:t xml:space="preserve">12. Production Readiness</w:t>
      </w:r>
    </w:p>
    <w:p>
      <w:pPr>
        <w:pStyle w:val="FirstParagraph"/>
      </w:pPr>
      <w:r>
        <w:t xml:space="preserve">After sandbox testing is complete and production token is issued, configure production environment and prepare final go-live support.</w:t>
      </w:r>
    </w:p>
    <w:p>
      <w:pPr>
        <w:pStyle w:val="BodyText"/>
      </w:pPr>
      <w:r>
        <w:rPr>
          <w:b/>
          <w:bCs/>
        </w:rPr>
        <w:t xml:space="preserve">Output:</w:t>
      </w:r>
      <w:r>
        <w:t xml:space="preserve"> </w:t>
      </w:r>
      <w:r>
        <w:t xml:space="preserve">System is ready for real FBR invoice submission.</w:t>
      </w:r>
    </w:p>
    <w:bookmarkEnd w:id="33"/>
    <w:bookmarkEnd w:id="34"/>
    <w:bookmarkStart w:id="35" w:name="immediate-tasks-for-raees"/>
    <w:p>
      <w:pPr>
        <w:pStyle w:val="Heading2"/>
      </w:pPr>
      <w:r>
        <w:t xml:space="preserve">Immediate Tasks for Raees</w:t>
      </w:r>
    </w:p>
    <w:p>
      <w:pPr>
        <w:pStyle w:val="Compact"/>
        <w:numPr>
          <w:ilvl w:val="0"/>
          <w:numId w:val="1005"/>
        </w:numPr>
      </w:pPr>
      <w:r>
        <w:t xml:space="preserve">Read the DI API Technical Specification.</w:t>
      </w:r>
    </w:p>
    <w:p>
      <w:pPr>
        <w:pStyle w:val="Compact"/>
        <w:numPr>
          <w:ilvl w:val="0"/>
          <w:numId w:val="1005"/>
        </w:numPr>
      </w:pPr>
      <w:r>
        <w:t xml:space="preserve">Prepare backend API client with Bearer token support.</w:t>
      </w:r>
    </w:p>
    <w:p>
      <w:pPr>
        <w:pStyle w:val="Compact"/>
        <w:numPr>
          <w:ilvl w:val="0"/>
          <w:numId w:val="1005"/>
        </w:numPr>
      </w:pPr>
      <w:r>
        <w:t xml:space="preserve">Create mocked reference API responses while waiting for token.</w:t>
      </w:r>
    </w:p>
    <w:p>
      <w:pPr>
        <w:pStyle w:val="Compact"/>
        <w:numPr>
          <w:ilvl w:val="0"/>
          <w:numId w:val="1005"/>
        </w:numPr>
      </w:pPr>
      <w:r>
        <w:t xml:space="preserve">Build invoice JSON builder using FBR sample payload.</w:t>
      </w:r>
    </w:p>
    <w:p>
      <w:pPr>
        <w:pStyle w:val="Compact"/>
        <w:numPr>
          <w:ilvl w:val="0"/>
          <w:numId w:val="1005"/>
        </w:numPr>
      </w:pPr>
      <w:r>
        <w:t xml:space="preserve">Prepare validation and submission endpoints.</w:t>
      </w:r>
    </w:p>
    <w:p>
      <w:pPr>
        <w:pStyle w:val="Compact"/>
        <w:numPr>
          <w:ilvl w:val="0"/>
          <w:numId w:val="1005"/>
        </w:numPr>
      </w:pPr>
      <w:r>
        <w:t xml:space="preserve">Start mapping FBR error codes into simple user messages.</w:t>
      </w:r>
    </w:p>
    <w:bookmarkEnd w:id="35"/>
    <w:bookmarkStart w:id="36" w:name="handoff-needed-from-ehitsham"/>
    <w:p>
      <w:pPr>
        <w:pStyle w:val="Heading2"/>
      </w:pPr>
      <w:r>
        <w:t xml:space="preserve">Handoff Needed from Ehitsham</w:t>
      </w:r>
    </w:p>
    <w:p>
      <w:pPr>
        <w:pStyle w:val="Compact"/>
        <w:numPr>
          <w:ilvl w:val="0"/>
          <w:numId w:val="1006"/>
        </w:numPr>
      </w:pPr>
      <w:r>
        <w:t xml:space="preserve">Frontend invoice form payload structure</w:t>
      </w:r>
    </w:p>
    <w:p>
      <w:pPr>
        <w:pStyle w:val="Compact"/>
        <w:numPr>
          <w:ilvl w:val="0"/>
          <w:numId w:val="1006"/>
        </w:numPr>
      </w:pPr>
      <w:r>
        <w:t xml:space="preserve">Required dropdown data format</w:t>
      </w:r>
    </w:p>
    <w:p>
      <w:pPr>
        <w:pStyle w:val="Compact"/>
        <w:numPr>
          <w:ilvl w:val="0"/>
          <w:numId w:val="1006"/>
        </w:numPr>
      </w:pPr>
      <w:r>
        <w:t xml:space="preserve">Validation display requirements</w:t>
      </w:r>
    </w:p>
    <w:p>
      <w:pPr>
        <w:pStyle w:val="Compact"/>
        <w:numPr>
          <w:ilvl w:val="0"/>
          <w:numId w:val="1006"/>
        </w:numPr>
      </w:pPr>
      <w:r>
        <w:t xml:space="preserve">Dashboard data format requirements</w:t>
      </w:r>
    </w:p>
    <w:p>
      <w:pPr>
        <w:pStyle w:val="Compact"/>
        <w:numPr>
          <w:ilvl w:val="0"/>
          <w:numId w:val="1006"/>
        </w:numPr>
      </w:pPr>
      <w:r>
        <w:t xml:space="preserve">PDF/print template data requirements</w:t>
      </w:r>
    </w:p>
    <w:bookmarkEnd w:id="36"/>
    <w:bookmarkStart w:id="37" w:name="client-side-blockers-to-track"/>
    <w:p>
      <w:pPr>
        <w:pStyle w:val="Heading2"/>
      </w:pPr>
      <w:r>
        <w:t xml:space="preserve">Client-Side Blockers to Track</w:t>
      </w:r>
    </w:p>
    <w:p>
      <w:pPr>
        <w:pStyle w:val="Compact"/>
        <w:numPr>
          <w:ilvl w:val="0"/>
          <w:numId w:val="1007"/>
        </w:numPr>
      </w:pPr>
      <w:r>
        <w:t xml:space="preserve">IRIS login access</w:t>
      </w:r>
    </w:p>
    <w:p>
      <w:pPr>
        <w:pStyle w:val="Compact"/>
        <w:numPr>
          <w:ilvl w:val="0"/>
          <w:numId w:val="1007"/>
        </w:numPr>
      </w:pPr>
      <w:r>
        <w:t xml:space="preserve">PRAL Licensed Integrator selection</w:t>
      </w:r>
    </w:p>
    <w:p>
      <w:pPr>
        <w:pStyle w:val="Compact"/>
        <w:numPr>
          <w:ilvl w:val="0"/>
          <w:numId w:val="1007"/>
        </w:numPr>
      </w:pPr>
      <w:r>
        <w:t xml:space="preserve">Server IP address for whitelisting</w:t>
      </w:r>
    </w:p>
    <w:p>
      <w:pPr>
        <w:pStyle w:val="Compact"/>
        <w:numPr>
          <w:ilvl w:val="0"/>
          <w:numId w:val="1007"/>
        </w:numPr>
      </w:pPr>
      <w:r>
        <w:t xml:space="preserve">Sandbox token</w:t>
      </w:r>
    </w:p>
    <w:p>
      <w:pPr>
        <w:pStyle w:val="Compact"/>
        <w:numPr>
          <w:ilvl w:val="0"/>
          <w:numId w:val="1007"/>
        </w:numPr>
      </w:pPr>
      <w:r>
        <w:t xml:space="preserve">Production token</w:t>
      </w:r>
    </w:p>
    <w:p>
      <w:pPr>
        <w:pStyle w:val="Compact"/>
        <w:numPr>
          <w:ilvl w:val="0"/>
          <w:numId w:val="1007"/>
        </w:numPr>
      </w:pPr>
      <w:r>
        <w:t xml:space="preserve">Business nature and sector</w:t>
      </w:r>
    </w:p>
    <w:p>
      <w:pPr>
        <w:pStyle w:val="Compact"/>
        <w:numPr>
          <w:ilvl w:val="0"/>
          <w:numId w:val="1007"/>
        </w:numPr>
      </w:pPr>
      <w:r>
        <w:t xml:space="preserve">Product catalog for HS mapping</w:t>
      </w:r>
    </w:p>
    <w:p>
      <w:pPr>
        <w:pStyle w:val="Compact"/>
        <w:numPr>
          <w:ilvl w:val="0"/>
          <w:numId w:val="1007"/>
        </w:numPr>
      </w:pPr>
      <w:r>
        <w:t xml:space="preserve">CRM user ID and password for PRAL support</w:t>
      </w:r>
    </w:p>
    <w:bookmarkEnd w:id="37"/>
    <w:bookmarkStart w:id="38" w:name="final-responsibility-summary"/>
    <w:p>
      <w:pPr>
        <w:pStyle w:val="Heading2"/>
      </w:pPr>
      <w:r>
        <w:t xml:space="preserve">Final Responsibility Summary</w:t>
      </w:r>
    </w:p>
    <w:p>
      <w:pPr>
        <w:pStyle w:val="FirstParagraph"/>
      </w:pPr>
      <w:r>
        <w:t xml:space="preserve">Raees is responsible for making the system technically connected and compliant with FBR. His main focus is backend, API calls, invoice JSON, validation, submission, error handling, offline queue, dashboard APIs, and sandbox/production integration.</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2026-04-29T11:31:37Z</dcterms:created>
  <dcterms:modified xsi:type="dcterms:W3CDTF">2026-04-29T11:31:37Z</dcterms:modified>
</cp:coreProperties>
</file>

<file path=docProps/custom.xml><?xml version="1.0" encoding="utf-8"?>
<Properties xmlns="http://schemas.openxmlformats.org/officeDocument/2006/custom-properties" xmlns:vt="http://schemas.openxmlformats.org/officeDocument/2006/docPropsVTypes"/>
</file>