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32700">
      <w:pPr>
        <w:jc w:val="center"/>
      </w:pPr>
      <w:r>
        <w:rPr>
          <w:rFonts w:ascii="Arial" w:hAnsi="Arial" w:eastAsia="Arial"/>
          <w:b/>
          <w:color w:val="14416E"/>
          <w:sz w:val="40"/>
        </w:rPr>
        <w:t>Daily Project Progress Report</w:t>
      </w:r>
    </w:p>
    <w:p w14:paraId="30E89935">
      <w:pPr>
        <w:jc w:val="center"/>
      </w:pPr>
      <w:r>
        <w:rPr>
          <w:rFonts w:ascii="Arial" w:hAnsi="Arial" w:eastAsia="Arial"/>
          <w:color w:val="555555"/>
          <w:sz w:val="20"/>
        </w:rPr>
        <w:t>Internal Team Report | Confidential</w:t>
      </w:r>
    </w:p>
    <w:p w14:paraId="563DFC6E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Project Information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0923B12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EAF2F8"/>
          </w:tcPr>
          <w:p w14:paraId="043AC72D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Project Name</w:t>
            </w:r>
          </w:p>
        </w:tc>
        <w:tc>
          <w:tcPr>
            <w:tcW w:w="4464" w:type="dxa"/>
          </w:tcPr>
          <w:p w14:paraId="499F51F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FBR Z - E-Invoicing Portal</w:t>
            </w:r>
          </w:p>
        </w:tc>
        <w:tc>
          <w:tcPr>
            <w:tcW w:w="1944" w:type="dxa"/>
            <w:shd w:val="clear" w:color="auto" w:fill="EAF2F8"/>
          </w:tcPr>
          <w:p w14:paraId="21E543BC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Report Date</w:t>
            </w:r>
          </w:p>
        </w:tc>
        <w:tc>
          <w:tcPr>
            <w:tcW w:w="2880" w:type="dxa"/>
          </w:tcPr>
          <w:p w14:paraId="262F5DD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08/05/2026</w:t>
            </w:r>
          </w:p>
        </w:tc>
      </w:tr>
      <w:tr w14:paraId="26CB473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EAF2F8"/>
          </w:tcPr>
          <w:p w14:paraId="4E15496B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Client</w:t>
            </w:r>
          </w:p>
        </w:tc>
        <w:tc>
          <w:tcPr>
            <w:tcW w:w="4464" w:type="dxa"/>
          </w:tcPr>
          <w:p w14:paraId="3A229B8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FBR / PRAL</w:t>
            </w:r>
          </w:p>
        </w:tc>
        <w:tc>
          <w:tcPr>
            <w:tcW w:w="1944" w:type="dxa"/>
            <w:shd w:val="clear" w:color="auto" w:fill="EAF2F8"/>
          </w:tcPr>
          <w:p w14:paraId="62B76195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Reporting Period</w:t>
            </w:r>
          </w:p>
        </w:tc>
        <w:tc>
          <w:tcPr>
            <w:tcW w:w="2880" w:type="dxa"/>
          </w:tcPr>
          <w:p w14:paraId="0252DD6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Day 3</w:t>
            </w:r>
          </w:p>
        </w:tc>
      </w:tr>
      <w:tr w14:paraId="7E296CD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EAF2F8"/>
          </w:tcPr>
          <w:p w14:paraId="4A910D36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Project Manager</w:t>
            </w:r>
          </w:p>
        </w:tc>
        <w:tc>
          <w:tcPr>
            <w:tcW w:w="4464" w:type="dxa"/>
          </w:tcPr>
          <w:p w14:paraId="0A412CD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Dawood Arqam</w:t>
            </w:r>
          </w:p>
        </w:tc>
        <w:tc>
          <w:tcPr>
            <w:tcW w:w="1944" w:type="dxa"/>
            <w:shd w:val="clear" w:color="auto" w:fill="EAF2F8"/>
          </w:tcPr>
          <w:p w14:paraId="18F489D8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Overall Status</w:t>
            </w:r>
          </w:p>
        </w:tc>
        <w:tc>
          <w:tcPr>
            <w:tcW w:w="2880" w:type="dxa"/>
          </w:tcPr>
          <w:p w14:paraId="5638DDE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On Track</w:t>
            </w:r>
          </w:p>
        </w:tc>
      </w:tr>
      <w:tr w14:paraId="0B514C4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EAF2F8"/>
          </w:tcPr>
          <w:p w14:paraId="64BCCFE3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Technology Stack</w:t>
            </w:r>
          </w:p>
        </w:tc>
        <w:tc>
          <w:tcPr>
            <w:tcW w:w="4464" w:type="dxa"/>
          </w:tcPr>
          <w:p w14:paraId="29C20DB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React, TypeScript/Express, Prisma, PostgreSQL</w:t>
            </w:r>
          </w:p>
        </w:tc>
        <w:tc>
          <w:tcPr>
            <w:tcW w:w="1944" w:type="dxa"/>
            <w:shd w:val="clear" w:color="auto" w:fill="EAF2F8"/>
          </w:tcPr>
          <w:p w14:paraId="4839B116">
            <w:pPr>
              <w:spacing w:after="0" w:line="252" w:lineRule="auto"/>
            </w:pPr>
            <w:r>
              <w:rPr>
                <w:rFonts w:ascii="Arial" w:hAnsi="Arial" w:eastAsia="Arial"/>
                <w:b/>
                <w:sz w:val="17"/>
              </w:rPr>
              <w:t>Environment</w:t>
            </w:r>
          </w:p>
        </w:tc>
        <w:tc>
          <w:tcPr>
            <w:tcW w:w="2880" w:type="dxa"/>
          </w:tcPr>
          <w:p w14:paraId="64813D1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7"/>
              </w:rPr>
              <w:t>Local + Mocked FBR APIs</w:t>
            </w:r>
          </w:p>
        </w:tc>
      </w:tr>
    </w:tbl>
    <w:p w14:paraId="362A61AC"/>
    <w:p w14:paraId="30C82474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Progress Summary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5D49787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36" w:type="dxa"/>
            <w:shd w:val="clear" w:color="auto" w:fill="164A7A"/>
            <w:vAlign w:val="center"/>
          </w:tcPr>
          <w:p w14:paraId="14454F5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Total Deliverables</w:t>
            </w:r>
          </w:p>
        </w:tc>
        <w:tc>
          <w:tcPr>
            <w:tcW w:w="2592" w:type="dxa"/>
            <w:shd w:val="clear" w:color="auto" w:fill="164A7A"/>
            <w:vAlign w:val="center"/>
          </w:tcPr>
          <w:p w14:paraId="6C2A28E5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Completed</w:t>
            </w:r>
          </w:p>
        </w:tc>
        <w:tc>
          <w:tcPr>
            <w:tcW w:w="2592" w:type="dxa"/>
            <w:shd w:val="clear" w:color="auto" w:fill="164A7A"/>
            <w:vAlign w:val="center"/>
          </w:tcPr>
          <w:p w14:paraId="31E73433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In Progress</w:t>
            </w:r>
          </w:p>
        </w:tc>
        <w:tc>
          <w:tcPr>
            <w:tcW w:w="3168" w:type="dxa"/>
            <w:shd w:val="clear" w:color="auto" w:fill="164A7A"/>
            <w:vAlign w:val="center"/>
          </w:tcPr>
          <w:p w14:paraId="09657DF4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Pending / Blocked</w:t>
            </w:r>
          </w:p>
        </w:tc>
      </w:tr>
      <w:tr w14:paraId="5836037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12E7707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w="2592" w:type="dxa"/>
            <w:vAlign w:val="center"/>
          </w:tcPr>
          <w:p w14:paraId="7CF182B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72EB007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w="3168" w:type="dxa"/>
            <w:vAlign w:val="center"/>
          </w:tcPr>
          <w:p w14:paraId="1B3CB9F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</w:tbl>
    <w:p w14:paraId="72CCC030">
      <w:pPr>
        <w:spacing w:after="40"/>
      </w:pPr>
    </w:p>
    <w:p w14:paraId="4D8D93B0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Client Deliverables</w:t>
      </w:r>
    </w:p>
    <w:p w14:paraId="6BD0538A">
      <w:pPr>
        <w:spacing w:after="100"/>
      </w:pPr>
      <w:r>
        <w:rPr>
          <w:rFonts w:ascii="Arial" w:hAnsi="Arial" w:eastAsia="Arial"/>
          <w:color w:val="505050"/>
          <w:sz w:val="18"/>
        </w:rPr>
        <w:t>Deliverables tracked against the FBR DI guide, backend logic document, and team proposal.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5EC445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3" w:type="dxa"/>
            <w:shd w:val="clear" w:color="auto" w:fill="164A7A"/>
            <w:vAlign w:val="center"/>
          </w:tcPr>
          <w:p w14:paraId="7650D5B5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w="2376" w:type="dxa"/>
            <w:shd w:val="clear" w:color="auto" w:fill="164A7A"/>
            <w:vAlign w:val="center"/>
          </w:tcPr>
          <w:p w14:paraId="65AB479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Deliverable</w:t>
            </w:r>
          </w:p>
        </w:tc>
        <w:tc>
          <w:tcPr>
            <w:tcW w:w="5760" w:type="dxa"/>
            <w:shd w:val="clear" w:color="auto" w:fill="164A7A"/>
            <w:vAlign w:val="center"/>
          </w:tcPr>
          <w:p w14:paraId="01370EA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Description / Client Requirement</w:t>
            </w:r>
          </w:p>
        </w:tc>
        <w:tc>
          <w:tcPr>
            <w:tcW w:w="1440" w:type="dxa"/>
            <w:shd w:val="clear" w:color="auto" w:fill="164A7A"/>
            <w:vAlign w:val="center"/>
          </w:tcPr>
          <w:p w14:paraId="7AD7869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w="1080" w:type="dxa"/>
            <w:shd w:val="clear" w:color="auto" w:fill="164A7A"/>
            <w:vAlign w:val="center"/>
          </w:tcPr>
          <w:p w14:paraId="086068E7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Priority</w:t>
            </w:r>
          </w:p>
        </w:tc>
      </w:tr>
      <w:tr w14:paraId="4F01E31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629BA0F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w="2376" w:type="dxa"/>
            <w:vAlign w:val="center"/>
          </w:tcPr>
          <w:p w14:paraId="3A5F865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Database &amp; Infrastructure</w:t>
            </w:r>
          </w:p>
        </w:tc>
        <w:tc>
          <w:tcPr>
            <w:tcW w:w="5760" w:type="dxa"/>
            <w:vAlign w:val="center"/>
          </w:tcPr>
          <w:p w14:paraId="6DD55D9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Prisma + PostgreSQL schema, database sync, core models and cleanup</w:t>
            </w:r>
          </w:p>
        </w:tc>
        <w:tc>
          <w:tcPr>
            <w:tcW w:w="1440" w:type="dxa"/>
            <w:vAlign w:val="center"/>
          </w:tcPr>
          <w:p w14:paraId="733A183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vAlign w:val="center"/>
          </w:tcPr>
          <w:p w14:paraId="0CF3B32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1C7832A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1FB0276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4497C86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Token Management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49DEBD1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Token save/status flow through /api/token with secure backend storage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380862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6D243B3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4D89F37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5F7D91B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w="2376" w:type="dxa"/>
            <w:vAlign w:val="center"/>
          </w:tcPr>
          <w:p w14:paraId="7D2EEA6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Guide-Compatible APIs</w:t>
            </w:r>
          </w:p>
        </w:tc>
        <w:tc>
          <w:tcPr>
            <w:tcW w:w="5760" w:type="dxa"/>
            <w:vAlign w:val="center"/>
          </w:tcPr>
          <w:p w14:paraId="3C7D25E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Route aliases for token, ref, invoice, products, queue, sandbox, dashboard</w:t>
            </w:r>
          </w:p>
        </w:tc>
        <w:tc>
          <w:tcPr>
            <w:tcW w:w="1440" w:type="dxa"/>
            <w:vAlign w:val="center"/>
          </w:tcPr>
          <w:p w14:paraId="36AF1F3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vAlign w:val="center"/>
          </w:tcPr>
          <w:p w14:paraId="6F3B326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5067375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014E3DF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3B70C66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Invoice Submission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56FEFB1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New Invoice/InvoiceItem flow with failed submission logging and mapped errors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FA5485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79CA0CD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2A5D9F8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667FFF3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w="2376" w:type="dxa"/>
            <w:vAlign w:val="center"/>
          </w:tcPr>
          <w:p w14:paraId="53FFA7C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Offline Queue</w:t>
            </w:r>
          </w:p>
        </w:tc>
        <w:tc>
          <w:tcPr>
            <w:tcW w:w="5760" w:type="dxa"/>
            <w:vAlign w:val="center"/>
          </w:tcPr>
          <w:p w14:paraId="04D2A04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Auto processing, retry endpoints, failed state, 20-hour warning and 24-hour deadline</w:t>
            </w:r>
          </w:p>
        </w:tc>
        <w:tc>
          <w:tcPr>
            <w:tcW w:w="1440" w:type="dxa"/>
            <w:vAlign w:val="center"/>
          </w:tcPr>
          <w:p w14:paraId="52A1B40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vAlign w:val="center"/>
          </w:tcPr>
          <w:p w14:paraId="1AD900C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6C99B1D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01AC3E8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02EB7DA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Sandbox Certification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50ACDAD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Required scenarios, results/summary/status, mock run coverage and eligibility flag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37A6CD9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428DE4D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4E37A39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4455513C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w="2376" w:type="dxa"/>
            <w:vAlign w:val="center"/>
          </w:tcPr>
          <w:p w14:paraId="592CD73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Reference Data</w:t>
            </w:r>
          </w:p>
        </w:tc>
        <w:tc>
          <w:tcPr>
            <w:tcW w:w="5760" w:type="dxa"/>
            <w:vAlign w:val="center"/>
          </w:tcPr>
          <w:p w14:paraId="2E6CCA2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Guide-compatible /api/ref routes and required query parameter aliases</w:t>
            </w:r>
          </w:p>
        </w:tc>
        <w:tc>
          <w:tcPr>
            <w:tcW w:w="1440" w:type="dxa"/>
            <w:vAlign w:val="center"/>
          </w:tcPr>
          <w:p w14:paraId="379B2F0C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vAlign w:val="center"/>
          </w:tcPr>
          <w:p w14:paraId="3747FE4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</w:tr>
      <w:tr w14:paraId="71EC691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1779E39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3F75B55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Rule 150R Print/PDF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7F72295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QR v2 at 1 inch, required invoice fields, watermark and FBR DI logo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6F2E73F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0886A18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  <w:tr w14:paraId="03B3446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5A503FE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w="2376" w:type="dxa"/>
            <w:vAlign w:val="center"/>
          </w:tcPr>
          <w:p w14:paraId="37DA264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Frontend Error Display</w:t>
            </w:r>
          </w:p>
        </w:tc>
        <w:tc>
          <w:tcPr>
            <w:tcW w:w="5760" w:type="dxa"/>
            <w:vAlign w:val="center"/>
          </w:tcPr>
          <w:p w14:paraId="5A5AD2E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Structured backend/FBR errors shown near affected invoice fields/items</w:t>
            </w:r>
          </w:p>
        </w:tc>
        <w:tc>
          <w:tcPr>
            <w:tcW w:w="1440" w:type="dxa"/>
            <w:vAlign w:val="center"/>
          </w:tcPr>
          <w:p w14:paraId="77786BC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vAlign w:val="center"/>
          </w:tcPr>
          <w:p w14:paraId="7E53A2F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</w:tr>
      <w:tr w14:paraId="73C60A7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122FF45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1B38851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Company Profile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470A890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Company profile saved in DB and seller details pre-filled on invoice form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18D586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098647C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</w:tr>
      <w:tr w14:paraId="59AA165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3F5EEE2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w="2376" w:type="dxa"/>
            <w:vAlign w:val="center"/>
          </w:tcPr>
          <w:p w14:paraId="5B3D44B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 Chart</w:t>
            </w:r>
          </w:p>
        </w:tc>
        <w:tc>
          <w:tcPr>
            <w:tcW w:w="5760" w:type="dxa"/>
            <w:vAlign w:val="center"/>
          </w:tcPr>
          <w:p w14:paraId="4DD25CD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Chart API function and frontend wiring started; final UI/testing pending</w:t>
            </w:r>
          </w:p>
        </w:tc>
        <w:tc>
          <w:tcPr>
            <w:tcW w:w="1440" w:type="dxa"/>
            <w:vAlign w:val="center"/>
          </w:tcPr>
          <w:p w14:paraId="675F93B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In Progress</w:t>
            </w:r>
          </w:p>
        </w:tc>
        <w:tc>
          <w:tcPr>
            <w:tcW w:w="1080" w:type="dxa"/>
            <w:vAlign w:val="center"/>
          </w:tcPr>
          <w:p w14:paraId="7CAD6E7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</w:tr>
      <w:tr w14:paraId="221C873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3AF8E79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4D1B966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Frontend Filters</w:t>
            </w:r>
          </w:p>
        </w:tc>
        <w:tc>
          <w:tcPr>
            <w:tcW w:w="5760" w:type="dxa"/>
            <w:shd w:val="clear" w:color="auto" w:fill="F7FAFC"/>
            <w:vAlign w:val="center"/>
          </w:tcPr>
          <w:p w14:paraId="3901919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 and invoice list date/status/type filters still pending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7291A6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Pending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667BF3C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</w:tr>
      <w:tr w14:paraId="4A41FB2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1E70DF9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w="2376" w:type="dxa"/>
            <w:vAlign w:val="center"/>
          </w:tcPr>
          <w:p w14:paraId="78D3C4E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Live FBR Testing</w:t>
            </w:r>
          </w:p>
        </w:tc>
        <w:tc>
          <w:tcPr>
            <w:tcW w:w="5760" w:type="dxa"/>
            <w:vAlign w:val="center"/>
          </w:tcPr>
          <w:p w14:paraId="0DF8C8B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Sandbox/live validation pending PRAL sandbox token</w:t>
            </w:r>
          </w:p>
        </w:tc>
        <w:tc>
          <w:tcPr>
            <w:tcW w:w="1440" w:type="dxa"/>
            <w:vAlign w:val="center"/>
          </w:tcPr>
          <w:p w14:paraId="4F0F2EF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Blocked</w:t>
            </w:r>
          </w:p>
        </w:tc>
        <w:tc>
          <w:tcPr>
            <w:tcW w:w="1080" w:type="dxa"/>
            <w:vAlign w:val="center"/>
          </w:tcPr>
          <w:p w14:paraId="7E34D4A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</w:tr>
    </w:tbl>
    <w:p w14:paraId="7FB6DFAF">
      <w:pPr>
        <w:spacing w:after="40"/>
      </w:pPr>
    </w:p>
    <w:p w14:paraId="0E114FC9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Work Completed Today</w:t>
      </w:r>
    </w:p>
    <w:p w14:paraId="00CF8DA4">
      <w:pPr>
        <w:spacing w:after="100"/>
      </w:pPr>
      <w:r>
        <w:rPr>
          <w:rFonts w:ascii="Arial" w:hAnsi="Arial" w:eastAsia="Arial"/>
          <w:color w:val="505050"/>
          <w:sz w:val="18"/>
        </w:rPr>
        <w:t>Tasks completed or progressed during today's local implementation session.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98FA2A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3" w:type="dxa"/>
            <w:shd w:val="clear" w:color="auto" w:fill="164A7A"/>
            <w:vAlign w:val="center"/>
          </w:tcPr>
          <w:p w14:paraId="09B6A94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w="2232" w:type="dxa"/>
            <w:shd w:val="clear" w:color="auto" w:fill="164A7A"/>
            <w:vAlign w:val="center"/>
          </w:tcPr>
          <w:p w14:paraId="133FF3D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w="6552" w:type="dxa"/>
            <w:shd w:val="clear" w:color="auto" w:fill="164A7A"/>
            <w:vAlign w:val="center"/>
          </w:tcPr>
          <w:p w14:paraId="270C7FDB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Task / Activity Completed</w:t>
            </w:r>
          </w:p>
        </w:tc>
        <w:tc>
          <w:tcPr>
            <w:tcW w:w="1296" w:type="dxa"/>
            <w:shd w:val="clear" w:color="auto" w:fill="164A7A"/>
            <w:vAlign w:val="center"/>
          </w:tcPr>
          <w:p w14:paraId="6FF710A2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w="1007" w:type="dxa"/>
            <w:shd w:val="clear" w:color="auto" w:fill="164A7A"/>
            <w:vAlign w:val="center"/>
          </w:tcPr>
          <w:p w14:paraId="5010DD8C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% Done</w:t>
            </w:r>
          </w:p>
        </w:tc>
      </w:tr>
      <w:tr w14:paraId="45211A2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5D6AC37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w="2232" w:type="dxa"/>
            <w:vAlign w:val="center"/>
          </w:tcPr>
          <w:p w14:paraId="5CD384B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Backend Route Aliases</w:t>
            </w:r>
          </w:p>
        </w:tc>
        <w:tc>
          <w:tcPr>
            <w:tcW w:w="6552" w:type="dxa"/>
            <w:vAlign w:val="center"/>
          </w:tcPr>
          <w:p w14:paraId="14C1700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Confirmed/fixed guide-compatible backend aliases for /api/token, /api/ref, /api/invoice, /api/invoices, /api/products, /api/queue, /api/sandbox and /api/dashboard.</w:t>
            </w:r>
          </w:p>
        </w:tc>
        <w:tc>
          <w:tcPr>
            <w:tcW w:w="1296" w:type="dxa"/>
            <w:vAlign w:val="center"/>
          </w:tcPr>
          <w:p w14:paraId="7FD2379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188F31C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69DED39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24F5976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308E68B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Reference API Tightening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40EA495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Verified /api/ref/* names and query parameter aliases against documentation, including HS codes, UOM, SRO, rates and registration type routes.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760A859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47BAD37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4D51250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3FC44D0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w="2232" w:type="dxa"/>
            <w:vAlign w:val="center"/>
          </w:tcPr>
          <w:p w14:paraId="3D0D582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Failed Invoice Logging</w:t>
            </w:r>
          </w:p>
        </w:tc>
        <w:tc>
          <w:tcPr>
            <w:tcW w:w="6552" w:type="dxa"/>
            <w:vAlign w:val="center"/>
          </w:tcPr>
          <w:p w14:paraId="4D52BD0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Improved failed FBR submission persistence with FAILED status, raw FBR response, mapped error code, timestamp and invoice snapshot.</w:t>
            </w:r>
          </w:p>
        </w:tc>
        <w:tc>
          <w:tcPr>
            <w:tcW w:w="1296" w:type="dxa"/>
            <w:vAlign w:val="center"/>
          </w:tcPr>
          <w:p w14:paraId="2FC1265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21E5545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4C6448A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5B67D55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2E14382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Frontend Error Display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6C53F8A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Updated structured FBR error display so mapped backend errors appear clearly beside affected invoice fields and line items.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59FB307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5E35207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6209AB5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6DE1CBA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w="2232" w:type="dxa"/>
            <w:vAlign w:val="center"/>
          </w:tcPr>
          <w:p w14:paraId="13409A3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Mocked Invoice Flow Test</w:t>
            </w:r>
          </w:p>
        </w:tc>
        <w:tc>
          <w:tcPr>
            <w:tcW w:w="6552" w:type="dxa"/>
            <w:vAlign w:val="center"/>
          </w:tcPr>
          <w:p w14:paraId="7B40C81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Added/verified local mocked end-to-end invoice flow coverage for submit failure, mapped error saving and frontend display.</w:t>
            </w:r>
          </w:p>
        </w:tc>
        <w:tc>
          <w:tcPr>
            <w:tcW w:w="1296" w:type="dxa"/>
            <w:vAlign w:val="center"/>
          </w:tcPr>
          <w:p w14:paraId="0287DCCC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2317E07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6F0C558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13A7F8F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13570E9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Offline Queue Flow Test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0E76173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Added/verified mocked offline queue flow for add, process, retry, failed state, uploaded state and 20/24-hour timing flags.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56F3CB2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4B723B9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5378FF3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326CCF6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w="2232" w:type="dxa"/>
            <w:vAlign w:val="center"/>
          </w:tcPr>
          <w:p w14:paraId="760D343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AddInvoice Auto-Enqueue</w:t>
            </w:r>
          </w:p>
        </w:tc>
        <w:tc>
          <w:tcPr>
            <w:tcW w:w="6552" w:type="dxa"/>
            <w:vAlign w:val="center"/>
          </w:tcPr>
          <w:p w14:paraId="658EBB9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Verified and wired offline/network-failure invoice creation to enqueue automatically instead of losing invoice data.</w:t>
            </w:r>
          </w:p>
        </w:tc>
        <w:tc>
          <w:tcPr>
            <w:tcW w:w="1296" w:type="dxa"/>
            <w:vAlign w:val="center"/>
          </w:tcPr>
          <w:p w14:paraId="0613DF2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5D23C03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244159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61C40C8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1E806E6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Rule 150R Print/QR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72DD2BE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Verified/tightened PDF print/download flow: QR version 2, 72pt/1 inch size, item tax/SRO fields, offline watermark and shared print/download generator.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33EFCD0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21B37C8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55358E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665651B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w="2232" w:type="dxa"/>
            <w:vAlign w:val="center"/>
          </w:tcPr>
          <w:p w14:paraId="4B8DD49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DashboardSlice URL Fix</w:t>
            </w:r>
          </w:p>
        </w:tc>
        <w:tc>
          <w:tcPr>
            <w:tcW w:w="6552" w:type="dxa"/>
            <w:vAlign w:val="center"/>
          </w:tcPr>
          <w:p w14:paraId="44FA48B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Removed hardcoded fbrdashboard.techionik.com API URLs and switched the Redux slice to local backend base URL.</w:t>
            </w:r>
          </w:p>
        </w:tc>
        <w:tc>
          <w:tcPr>
            <w:tcW w:w="1296" w:type="dxa"/>
            <w:vAlign w:val="center"/>
          </w:tcPr>
          <w:p w14:paraId="1F7A288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7AC07FF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6B6B38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30B931E8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52623B7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Sandbox Run Test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1E1AF6C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Added mocked sandbox run test for single scenario, all required scenarios, results, summary and eligibleForProduction flag.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519C4DA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1E970FE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7416EF6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5366D12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w="2232" w:type="dxa"/>
            <w:vAlign w:val="center"/>
          </w:tcPr>
          <w:p w14:paraId="19ECA14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Company Profile Prefill</w:t>
            </w:r>
          </w:p>
        </w:tc>
        <w:tc>
          <w:tcPr>
            <w:tcW w:w="6552" w:type="dxa"/>
            <w:vAlign w:val="center"/>
          </w:tcPr>
          <w:p w14:paraId="17E55F2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AddInvoice now loads company profile and pre-fills seller NTN/CNIC, business name, province and address.</w:t>
            </w:r>
          </w:p>
        </w:tc>
        <w:tc>
          <w:tcPr>
            <w:tcW w:w="1296" w:type="dxa"/>
            <w:vAlign w:val="center"/>
          </w:tcPr>
          <w:p w14:paraId="1FD4492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762BEF1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24D29F0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4A0B5A5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31D0B20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FBR DI Logo in PDF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278EE97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Converted/cropped the supplied FBR DI logo source and embedded the selected PNG in the invoice PDF header.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1E1C145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28E44AD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1F8EAC3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vAlign w:val="center"/>
          </w:tcPr>
          <w:p w14:paraId="0265D96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w="2232" w:type="dxa"/>
            <w:vAlign w:val="center"/>
          </w:tcPr>
          <w:p w14:paraId="5C271A6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Deprecated DB Cleanup</w:t>
            </w:r>
          </w:p>
        </w:tc>
        <w:tc>
          <w:tcPr>
            <w:tcW w:w="6552" w:type="dxa"/>
            <w:vAlign w:val="center"/>
          </w:tcPr>
          <w:p w14:paraId="0D4DD7F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Confirmed Prisma/PostgreSQL is required by docs, verified legacy InvoiceRecord rows were already migrated, dropped deprecated InvoiceRecord and OfflineInvoiceQueue models/tables, then regenerated Prisma client.</w:t>
            </w:r>
          </w:p>
        </w:tc>
        <w:tc>
          <w:tcPr>
            <w:tcW w:w="1296" w:type="dxa"/>
            <w:vAlign w:val="center"/>
          </w:tcPr>
          <w:p w14:paraId="7B73137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Done</w:t>
            </w:r>
          </w:p>
        </w:tc>
        <w:tc>
          <w:tcPr>
            <w:tcW w:w="1007" w:type="dxa"/>
            <w:vAlign w:val="center"/>
          </w:tcPr>
          <w:p w14:paraId="23695C8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100%</w:t>
            </w:r>
          </w:p>
        </w:tc>
      </w:tr>
      <w:tr w14:paraId="64ACB59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7FAFC"/>
            <w:vAlign w:val="center"/>
          </w:tcPr>
          <w:p w14:paraId="52F550F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035735E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 Chart</w:t>
            </w:r>
          </w:p>
        </w:tc>
        <w:tc>
          <w:tcPr>
            <w:tcW w:w="6552" w:type="dxa"/>
            <w:shd w:val="clear" w:color="auto" w:fill="F7FAFC"/>
            <w:vAlign w:val="center"/>
          </w:tcPr>
          <w:p w14:paraId="5437732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Installed Recharts and started frontend chart integration using /api/dashboard/charts; final rendering and verification still pending.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7F4309C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In Progress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3735F79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60%</w:t>
            </w:r>
          </w:p>
        </w:tc>
      </w:tr>
    </w:tbl>
    <w:p w14:paraId="6C11DAB1">
      <w:pPr>
        <w:spacing w:after="40"/>
      </w:pPr>
    </w:p>
    <w:p w14:paraId="53663D54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Blockers &amp; Issues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53A2CEE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shd w:val="clear" w:color="auto" w:fill="164A7A"/>
            <w:vAlign w:val="center"/>
          </w:tcPr>
          <w:p w14:paraId="41387519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Blocker / Issue</w:t>
            </w:r>
          </w:p>
        </w:tc>
        <w:tc>
          <w:tcPr>
            <w:tcW w:w="4320" w:type="dxa"/>
            <w:shd w:val="clear" w:color="auto" w:fill="164A7A"/>
            <w:vAlign w:val="center"/>
          </w:tcPr>
          <w:p w14:paraId="1B21E671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w="3240" w:type="dxa"/>
            <w:shd w:val="clear" w:color="auto" w:fill="164A7A"/>
            <w:vAlign w:val="center"/>
          </w:tcPr>
          <w:p w14:paraId="110EA3BB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Action / Owner</w:t>
            </w:r>
          </w:p>
        </w:tc>
        <w:tc>
          <w:tcPr>
            <w:tcW w:w="1440" w:type="dxa"/>
            <w:shd w:val="clear" w:color="auto" w:fill="164A7A"/>
            <w:vAlign w:val="center"/>
          </w:tcPr>
          <w:p w14:paraId="58FAE3E6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ETA to Resolve</w:t>
            </w:r>
          </w:p>
        </w:tc>
      </w:tr>
      <w:tr w14:paraId="5B24F0D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vAlign w:val="center"/>
          </w:tcPr>
          <w:p w14:paraId="238C761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PRAL/FBR sandbox token unavailable</w:t>
            </w:r>
          </w:p>
        </w:tc>
        <w:tc>
          <w:tcPr>
            <w:tcW w:w="4320" w:type="dxa"/>
            <w:vAlign w:val="center"/>
          </w:tcPr>
          <w:p w14:paraId="15F84A5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Live reference APIs, live invoice validation and official sandbox scenario execution cannot be completed yet.</w:t>
            </w:r>
          </w:p>
        </w:tc>
        <w:tc>
          <w:tcPr>
            <w:tcW w:w="3240" w:type="dxa"/>
            <w:vAlign w:val="center"/>
          </w:tcPr>
          <w:p w14:paraId="0AE7A20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Await token/credentials from FBR portal or PRAL.</w:t>
            </w:r>
          </w:p>
        </w:tc>
        <w:tc>
          <w:tcPr>
            <w:tcW w:w="1440" w:type="dxa"/>
            <w:vAlign w:val="center"/>
          </w:tcPr>
          <w:p w14:paraId="04F184F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External dependency</w:t>
            </w:r>
          </w:p>
        </w:tc>
      </w:tr>
      <w:tr w14:paraId="0FC0108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7FAFC"/>
            <w:vAlign w:val="center"/>
          </w:tcPr>
          <w:p w14:paraId="31DA5FE6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Dashboard chart not fully verified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17ADC442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Chart implementation was started but final UI placement, build verification and browser testing are still pending.</w:t>
            </w:r>
          </w:p>
        </w:tc>
        <w:tc>
          <w:tcPr>
            <w:tcW w:w="3240" w:type="dxa"/>
            <w:shd w:val="clear" w:color="auto" w:fill="F7FAFC"/>
            <w:vAlign w:val="center"/>
          </w:tcPr>
          <w:p w14:paraId="6003CCE5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Complete chart section and run frontend build/tests next session.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68C9FA9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Next session</w:t>
            </w:r>
          </w:p>
        </w:tc>
      </w:tr>
    </w:tbl>
    <w:p w14:paraId="705F00D6">
      <w:pPr>
        <w:spacing w:after="40"/>
      </w:pPr>
    </w:p>
    <w:p w14:paraId="47C4E2CC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Next Steps &amp; Plan</w:t>
      </w:r>
    </w:p>
    <w:tbl>
      <w:tblPr>
        <w:tblStyle w:val="12"/>
        <w:tblW w:w="0" w:type="auto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63FD1F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shd w:val="clear" w:color="auto" w:fill="164A7A"/>
            <w:vAlign w:val="center"/>
          </w:tcPr>
          <w:p w14:paraId="3839644D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Planned Task</w:t>
            </w:r>
          </w:p>
        </w:tc>
        <w:tc>
          <w:tcPr>
            <w:tcW w:w="1944" w:type="dxa"/>
            <w:shd w:val="clear" w:color="auto" w:fill="164A7A"/>
            <w:vAlign w:val="center"/>
          </w:tcPr>
          <w:p w14:paraId="30635495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Assigned To</w:t>
            </w:r>
          </w:p>
        </w:tc>
        <w:tc>
          <w:tcPr>
            <w:tcW w:w="1584" w:type="dxa"/>
            <w:shd w:val="clear" w:color="auto" w:fill="164A7A"/>
            <w:vAlign w:val="center"/>
          </w:tcPr>
          <w:p w14:paraId="0C696A60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Target Date</w:t>
            </w:r>
          </w:p>
        </w:tc>
        <w:tc>
          <w:tcPr>
            <w:tcW w:w="4392" w:type="dxa"/>
            <w:shd w:val="clear" w:color="auto" w:fill="164A7A"/>
            <w:vAlign w:val="center"/>
          </w:tcPr>
          <w:p w14:paraId="788F7B11"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 w14:paraId="435DAE1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vAlign w:val="center"/>
          </w:tcPr>
          <w:p w14:paraId="1D0BC409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Finish dashboard chart UI</w:t>
            </w:r>
          </w:p>
        </w:tc>
        <w:tc>
          <w:tcPr>
            <w:tcW w:w="1944" w:type="dxa"/>
            <w:vAlign w:val="center"/>
          </w:tcPr>
          <w:p w14:paraId="436C13DE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Raees Tahir</w:t>
            </w:r>
          </w:p>
        </w:tc>
        <w:tc>
          <w:tcPr>
            <w:tcW w:w="1584" w:type="dxa"/>
            <w:vAlign w:val="center"/>
          </w:tcPr>
          <w:p w14:paraId="0E2EA59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09/05/2026</w:t>
            </w:r>
          </w:p>
        </w:tc>
        <w:tc>
          <w:tcPr>
            <w:tcW w:w="4392" w:type="dxa"/>
            <w:vAlign w:val="center"/>
          </w:tcPr>
          <w:p w14:paraId="2C2FF2A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Complete Recharts section and verify /api/dashboard/charts output in frontend.</w:t>
            </w:r>
          </w:p>
        </w:tc>
      </w:tr>
      <w:tr w14:paraId="194B71A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7FAFC"/>
            <w:vAlign w:val="center"/>
          </w:tcPr>
          <w:p w14:paraId="222A19D0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Add dashboard and invoice filters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40E9C3E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Raees Tahir</w:t>
            </w:r>
          </w:p>
        </w:tc>
        <w:tc>
          <w:tcPr>
            <w:tcW w:w="1584" w:type="dxa"/>
            <w:shd w:val="clear" w:color="auto" w:fill="F7FAFC"/>
            <w:vAlign w:val="center"/>
          </w:tcPr>
          <w:p w14:paraId="4110658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09/05/2026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3F95C09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Date range, status and invoice type filters per Dev Guide.</w:t>
            </w:r>
          </w:p>
        </w:tc>
      </w:tr>
      <w:tr w14:paraId="7437C48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vAlign w:val="center"/>
          </w:tcPr>
          <w:p w14:paraId="72130C1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Verify frontend build after chart/filter changes</w:t>
            </w:r>
          </w:p>
        </w:tc>
        <w:tc>
          <w:tcPr>
            <w:tcW w:w="1944" w:type="dxa"/>
            <w:vAlign w:val="center"/>
          </w:tcPr>
          <w:p w14:paraId="5C276D0D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Raees Tahir</w:t>
            </w:r>
          </w:p>
        </w:tc>
        <w:tc>
          <w:tcPr>
            <w:tcW w:w="1584" w:type="dxa"/>
            <w:vAlign w:val="center"/>
          </w:tcPr>
          <w:p w14:paraId="59A3B953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09/05/2026</w:t>
            </w:r>
          </w:p>
        </w:tc>
        <w:tc>
          <w:tcPr>
            <w:tcW w:w="4392" w:type="dxa"/>
            <w:vAlign w:val="center"/>
          </w:tcPr>
          <w:p w14:paraId="43D44B0F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Run targeted tests and npm build.</w:t>
            </w:r>
          </w:p>
        </w:tc>
      </w:tr>
      <w:tr w14:paraId="5AC8B9B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7FAFC"/>
            <w:vAlign w:val="center"/>
          </w:tcPr>
          <w:p w14:paraId="3192DDC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Prepare documentation updates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2231263C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Raees Tahir</w:t>
            </w:r>
          </w:p>
        </w:tc>
        <w:tc>
          <w:tcPr>
            <w:tcW w:w="1584" w:type="dxa"/>
            <w:shd w:val="clear" w:color="auto" w:fill="F7FAFC"/>
            <w:vAlign w:val="center"/>
          </w:tcPr>
          <w:p w14:paraId="48146E31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10/05/2026</w:t>
            </w:r>
          </w:p>
        </w:tc>
        <w:tc>
          <w:tcPr>
            <w:tcW w:w="4392" w:type="dxa"/>
            <w:shd w:val="clear" w:color="auto" w:fill="F7FAFC"/>
            <w:vAlign w:val="center"/>
          </w:tcPr>
          <w:p w14:paraId="560B39D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Local setup, environment variables, migrations and production checklist.</w:t>
            </w:r>
          </w:p>
        </w:tc>
      </w:tr>
      <w:tr w14:paraId="4E97CC3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vAlign w:val="center"/>
          </w:tcPr>
          <w:p w14:paraId="3DFDFBAB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Live sandbox testing</w:t>
            </w:r>
          </w:p>
        </w:tc>
        <w:tc>
          <w:tcPr>
            <w:tcW w:w="1944" w:type="dxa"/>
            <w:vAlign w:val="center"/>
          </w:tcPr>
          <w:p w14:paraId="7C5CF1DA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Raees Tahir</w:t>
            </w:r>
          </w:p>
        </w:tc>
        <w:tc>
          <w:tcPr>
            <w:tcW w:w="1584" w:type="dxa"/>
            <w:vAlign w:val="center"/>
          </w:tcPr>
          <w:p w14:paraId="07E11C84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Pending token</w:t>
            </w:r>
          </w:p>
        </w:tc>
        <w:tc>
          <w:tcPr>
            <w:tcW w:w="4392" w:type="dxa"/>
            <w:vAlign w:val="center"/>
          </w:tcPr>
          <w:p w14:paraId="4056D9A7"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sz w:val="16"/>
              </w:rPr>
              <w:t>Run PRAL/FBR scenarios once sandbox token is available.</w:t>
            </w:r>
          </w:p>
        </w:tc>
      </w:tr>
    </w:tbl>
    <w:p w14:paraId="5CB1C9C3">
      <w:pPr>
        <w:spacing w:after="40"/>
      </w:pPr>
    </w:p>
    <w:p w14:paraId="77F10467">
      <w:pPr>
        <w:pStyle w:val="2"/>
        <w:spacing w:before="200" w:after="100"/>
      </w:pPr>
      <w:r>
        <w:rPr>
          <w:rFonts w:ascii="Arial" w:hAnsi="Arial" w:eastAsia="Arial"/>
          <w:b/>
          <w:color w:val="14416E"/>
          <w:sz w:val="26"/>
        </w:rPr>
        <w:t>Additional Notes / Client Communication</w:t>
      </w:r>
    </w:p>
    <w:p w14:paraId="1A6A34DD">
      <w:pPr>
        <w:spacing w:after="80"/>
        <w:ind w:left="259" w:hanging="259"/>
      </w:pPr>
      <w:r>
        <w:rPr>
          <w:rFonts w:ascii="Arial" w:hAnsi="Arial" w:eastAsia="Arial"/>
          <w:sz w:val="18"/>
        </w:rPr>
        <w:t>- Implementation is being done locally with mocked FBR responses because sandbox API credentials are not available yet.</w:t>
      </w:r>
    </w:p>
    <w:p w14:paraId="54AD8FE6">
      <w:pPr>
        <w:spacing w:after="80"/>
        <w:ind w:left="259" w:hanging="259"/>
      </w:pPr>
      <w:r>
        <w:rPr>
          <w:rFonts w:ascii="Arial" w:hAnsi="Arial" w:eastAsia="Arial"/>
          <w:sz w:val="18"/>
        </w:rPr>
        <w:t>- The documentation was rechecked and Prisma + PostgreSQL is confirmed as the required backend data architecture.</w:t>
      </w:r>
    </w:p>
    <w:p w14:paraId="0C568487">
      <w:pPr>
        <w:spacing w:after="80"/>
        <w:ind w:left="259" w:hanging="259"/>
      </w:pPr>
      <w:r>
        <w:rPr>
          <w:rFonts w:ascii="Arial" w:hAnsi="Arial" w:eastAsia="Arial"/>
          <w:sz w:val="18"/>
        </w:rPr>
        <w:t>- Legacy database tables were removed only after confirming their data was already present in the new Invoice table.</w:t>
      </w:r>
    </w:p>
    <w:p w14:paraId="03BE0521">
      <w:pPr>
        <w:spacing w:before="240"/>
        <w:jc w:val="left"/>
      </w:pPr>
      <w:bookmarkStart w:id="0" w:name="_GoBack"/>
      <w:bookmarkEnd w:id="0"/>
      <w:r>
        <w:rPr>
          <w:rFonts w:ascii="Arial" w:hAnsi="Arial" w:eastAsia="Arial"/>
          <w:b/>
          <w:color w:val="374151"/>
          <w:sz w:val="18"/>
        </w:rPr>
        <w:t>Prepared by: Raees Tahir | AI Team | Date: 08/05/2026</w:t>
      </w:r>
    </w:p>
    <w:sectPr>
      <w:headerReference r:id="rId5" w:type="default"/>
      <w:footerReference r:id="rId6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EC5EF">
    <w:pPr>
      <w:pStyle w:val="18"/>
      <w:jc w:val="center"/>
    </w:pPr>
    <w:r>
      <w:rPr>
        <w:rFonts w:ascii="Arial" w:hAnsi="Arial"/>
        <w:color w:val="6E6E6E"/>
        <w:sz w:val="16"/>
      </w:rPr>
      <w:t>Prepared by Raees Tahir | AI Team | 08/05/2026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9254A">
    <w:pPr>
      <w:pStyle w:val="19"/>
      <w:jc w:val="right"/>
    </w:pPr>
    <w:r>
      <w:rPr>
        <w:rFonts w:ascii="Arial" w:hAnsi="Arial"/>
        <w:color w:val="6E6E6E"/>
        <w:sz w:val="16"/>
      </w:rPr>
      <w:t>FBR Z - Daily Project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AC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="Arial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5309</Characters>
  <Lines>0</Lines>
  <Paragraphs>0</Paragraphs>
  <TotalTime>0</TotalTime>
  <ScaleCrop>false</ScaleCrop>
  <LinksUpToDate>false</LinksUpToDate>
  <CharactersWithSpaces>5953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Tech</cp:lastModifiedBy>
  <dcterms:modified xsi:type="dcterms:W3CDTF">2026-05-08T16:40:45Z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eyJoZGlkIjoiNGU1NzE1NmM5OWE4MGZiMTg3ODRlOGE2MTliZDU3YjgifQ==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C59316F8AA1A49E896CEAC49790B43A6_12</vt:lpwstr>
  </property>
</Properties>
</file>