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0A24" w:rsidRPr="00230A24" w:rsidRDefault="00230A24" w:rsidP="00230A24">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230A24">
        <w:rPr>
          <w:rFonts w:ascii="Times New Roman" w:eastAsia="Times New Roman" w:hAnsi="Times New Roman" w:cs="Times New Roman"/>
          <w:b/>
          <w:bCs/>
          <w:kern w:val="36"/>
          <w:sz w:val="48"/>
          <w:szCs w:val="48"/>
        </w:rPr>
        <w:t>Data Collection and Processing Methodology</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1. Data Sources and Collection Strategy</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The data collection framework was designed to investigate five performance indicators relevant to pharmaceutical manufacturing and intelligent process management: AI model accuracy, batch failure rate, production cost reduction, regulatory compliance score, and system resilience score. The collection strategy prioritized traceable sources, reproducibility, and the distinction between directly observed measurements and derived indicators.</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 xml:space="preserve">Publicly available scientific and regulatory resources were identified as potential sources of relevant information. These included the pharmaceutical batch dataset described in </w:t>
      </w:r>
      <w:r w:rsidRPr="00230A24">
        <w:rPr>
          <w:rFonts w:ascii="Times New Roman" w:eastAsia="Times New Roman" w:hAnsi="Times New Roman" w:cs="Times New Roman"/>
          <w:i/>
          <w:iCs/>
          <w:sz w:val="24"/>
          <w:szCs w:val="24"/>
        </w:rPr>
        <w:t>Scientific Data</w:t>
      </w:r>
      <w:r w:rsidRPr="00230A24">
        <w:rPr>
          <w:rFonts w:ascii="Times New Roman" w:eastAsia="Times New Roman" w:hAnsi="Times New Roman" w:cs="Times New Roman"/>
          <w:sz w:val="24"/>
          <w:szCs w:val="24"/>
        </w:rPr>
        <w:t xml:space="preserve"> (</w:t>
      </w:r>
      <w:hyperlink r:id="rId5" w:history="1">
        <w:r w:rsidRPr="00230A24">
          <w:rPr>
            <w:rFonts w:ascii="Times New Roman" w:eastAsia="Times New Roman" w:hAnsi="Times New Roman" w:cs="Times New Roman"/>
            <w:color w:val="0000FF"/>
            <w:sz w:val="24"/>
            <w:szCs w:val="24"/>
            <w:u w:val="single"/>
          </w:rPr>
          <w:t>https://doi.org/10.1038/s41597-022-01203-x</w:t>
        </w:r>
      </w:hyperlink>
      <w:r w:rsidRPr="00230A24">
        <w:rPr>
          <w:rFonts w:ascii="Times New Roman" w:eastAsia="Times New Roman" w:hAnsi="Times New Roman" w:cs="Times New Roman"/>
          <w:sz w:val="24"/>
          <w:szCs w:val="24"/>
        </w:rPr>
        <w:t xml:space="preserve">), its associated </w:t>
      </w:r>
      <w:proofErr w:type="spellStart"/>
      <w:r w:rsidRPr="00230A24">
        <w:rPr>
          <w:rFonts w:ascii="Times New Roman" w:eastAsia="Times New Roman" w:hAnsi="Times New Roman" w:cs="Times New Roman"/>
          <w:sz w:val="24"/>
          <w:szCs w:val="24"/>
        </w:rPr>
        <w:t>Figshare</w:t>
      </w:r>
      <w:proofErr w:type="spellEnd"/>
      <w:r w:rsidRPr="00230A24">
        <w:rPr>
          <w:rFonts w:ascii="Times New Roman" w:eastAsia="Times New Roman" w:hAnsi="Times New Roman" w:cs="Times New Roman"/>
          <w:sz w:val="24"/>
          <w:szCs w:val="24"/>
        </w:rPr>
        <w:t xml:space="preserve"> collection (</w:t>
      </w:r>
      <w:hyperlink r:id="rId6" w:history="1">
        <w:r w:rsidRPr="00230A24">
          <w:rPr>
            <w:rFonts w:ascii="Times New Roman" w:eastAsia="Times New Roman" w:hAnsi="Times New Roman" w:cs="Times New Roman"/>
            <w:color w:val="0000FF"/>
            <w:sz w:val="24"/>
            <w:szCs w:val="24"/>
            <w:u w:val="single"/>
          </w:rPr>
          <w:t>https://doi.org/10.6084/m9.figshare.c.5645578.v1</w:t>
        </w:r>
      </w:hyperlink>
      <w:r w:rsidRPr="00230A24">
        <w:rPr>
          <w:rFonts w:ascii="Times New Roman" w:eastAsia="Times New Roman" w:hAnsi="Times New Roman" w:cs="Times New Roman"/>
          <w:sz w:val="24"/>
          <w:szCs w:val="24"/>
        </w:rPr>
        <w:t>), and the U.S. Food and Drug Administration's Data Dashboard (</w:t>
      </w:r>
      <w:hyperlink r:id="rId7" w:history="1">
        <w:r w:rsidRPr="00230A24">
          <w:rPr>
            <w:rFonts w:ascii="Times New Roman" w:eastAsia="Times New Roman" w:hAnsi="Times New Roman" w:cs="Times New Roman"/>
            <w:color w:val="0000FF"/>
            <w:sz w:val="24"/>
            <w:szCs w:val="24"/>
            <w:u w:val="single"/>
          </w:rPr>
          <w:t>https://datadashboard.fda.gov/</w:t>
        </w:r>
      </w:hyperlink>
      <w:r w:rsidRPr="00230A24">
        <w:rPr>
          <w:rFonts w:ascii="Times New Roman" w:eastAsia="Times New Roman" w:hAnsi="Times New Roman" w:cs="Times New Roman"/>
          <w:sz w:val="24"/>
          <w:szCs w:val="24"/>
        </w:rPr>
        <w:t>). These resources were considered according to their relevance to manufacturing processes, product quality, and regulatory oversight.</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Importantly, the availability of a public dataset does not establish that it contains all five target indicators. Each source must therefore be examined individually to identify its original variables, units, measurement procedures, observation periods, and data definitions. Variables were not treated as interchangeable merely because they were related to the same general research domain.</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2. Variable Identification and Operational Definitions</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Before data extraction, each indicator was required to have an explicit operational definition.</w:t>
      </w:r>
    </w:p>
    <w:p w:rsidR="00230A24" w:rsidRPr="00230A24" w:rsidRDefault="00230A24" w:rsidP="00230A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b/>
          <w:bCs/>
          <w:sz w:val="24"/>
          <w:szCs w:val="24"/>
        </w:rPr>
        <w:t>AI model accuracy (%):</w:t>
      </w:r>
      <w:r w:rsidRPr="00230A24">
        <w:rPr>
          <w:rFonts w:ascii="Times New Roman" w:eastAsia="Times New Roman" w:hAnsi="Times New Roman" w:cs="Times New Roman"/>
          <w:sz w:val="24"/>
          <w:szCs w:val="24"/>
        </w:rPr>
        <w:t xml:space="preserve"> The proportion of correctly classified observations among all evaluated observations, calculated using a documented evaluation dataset and classification protocol.</w:t>
      </w:r>
    </w:p>
    <w:p w:rsidR="00230A24" w:rsidRPr="00230A24" w:rsidRDefault="00230A24" w:rsidP="00230A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b/>
          <w:bCs/>
          <w:sz w:val="24"/>
          <w:szCs w:val="24"/>
        </w:rPr>
        <w:t>Batch failure rate (%):</w:t>
      </w:r>
      <w:r w:rsidRPr="00230A24">
        <w:rPr>
          <w:rFonts w:ascii="Times New Roman" w:eastAsia="Times New Roman" w:hAnsi="Times New Roman" w:cs="Times New Roman"/>
          <w:sz w:val="24"/>
          <w:szCs w:val="24"/>
        </w:rPr>
        <w:t xml:space="preserve"> The proportion of batches classified as failures among all eligible batches within a clearly defined observation period.</w:t>
      </w:r>
    </w:p>
    <w:p w:rsidR="00230A24" w:rsidRPr="00230A24" w:rsidRDefault="00230A24" w:rsidP="00230A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b/>
          <w:bCs/>
          <w:sz w:val="24"/>
          <w:szCs w:val="24"/>
        </w:rPr>
        <w:t>Production cost reduction (%):</w:t>
      </w:r>
      <w:r w:rsidRPr="00230A24">
        <w:rPr>
          <w:rFonts w:ascii="Times New Roman" w:eastAsia="Times New Roman" w:hAnsi="Times New Roman" w:cs="Times New Roman"/>
          <w:sz w:val="24"/>
          <w:szCs w:val="24"/>
        </w:rPr>
        <w:t xml:space="preserve"> The percentage change in production cost relative to a documented baseline, calculated using comparable cost definitions and production conditions.</w:t>
      </w:r>
    </w:p>
    <w:p w:rsidR="00230A24" w:rsidRPr="00230A24" w:rsidRDefault="00230A24" w:rsidP="00230A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b/>
          <w:bCs/>
          <w:sz w:val="24"/>
          <w:szCs w:val="24"/>
        </w:rPr>
        <w:t>Regulatory compliance score:</w:t>
      </w:r>
      <w:r w:rsidRPr="00230A24">
        <w:rPr>
          <w:rFonts w:ascii="Times New Roman" w:eastAsia="Times New Roman" w:hAnsi="Times New Roman" w:cs="Times New Roman"/>
          <w:sz w:val="24"/>
          <w:szCs w:val="24"/>
        </w:rPr>
        <w:t xml:space="preserve"> A numerical measure derived from explicitly defined regulatory or quality criteria. The scoring scale, assessment procedure, and direction of interpretation must be documented.</w:t>
      </w:r>
    </w:p>
    <w:p w:rsidR="00230A24" w:rsidRPr="00230A24" w:rsidRDefault="00230A24" w:rsidP="00230A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b/>
          <w:bCs/>
          <w:sz w:val="24"/>
          <w:szCs w:val="24"/>
        </w:rPr>
        <w:t>System resilience score:</w:t>
      </w:r>
      <w:r w:rsidRPr="00230A24">
        <w:rPr>
          <w:rFonts w:ascii="Times New Roman" w:eastAsia="Times New Roman" w:hAnsi="Times New Roman" w:cs="Times New Roman"/>
          <w:sz w:val="24"/>
          <w:szCs w:val="24"/>
        </w:rPr>
        <w:t xml:space="preserve"> A measure of the system's ability to maintain or recover operational performance under specified disturbances. The scoring method and reference scale must be defined before analysis.</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lastRenderedPageBreak/>
        <w:t>These definitions serve as operational requirements rather than evidence that the corresponding measurements were available in every identified source. In particular, compliance and resilience scores cannot be calculated reliably from unrelated regulatory records without a validated scoring framework.</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3. Data Extraction and Eligibility Assessment</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Candidate datasets were to be screened for relevance, provenance, accessibility, completeness, and compatibility with the operational definitions. For each eligible source, the original files and associated documentation were to be retained. Relevant metadata included the source title, publication or release date, data provider, download date, licensing conditions, variable descriptions, units, and any documented preprocessing procedures.</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Only observations with an interpretable relationship to the target variable were eligible for inclusion in the corresponding analysis. Records lacking essential definitions or sufficient information to interpret their measurements were to be flagged for review rather than silently converted into numerical values. Where multiple sources used different measurement scales, the original values and units were to be preserved, and any harmonization was to be documented explicitly.</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4. Data Cleaning and Quality Control</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 xml:space="preserve">The data-processing workflow used Python with pandas and </w:t>
      </w:r>
      <w:proofErr w:type="spellStart"/>
      <w:r w:rsidRPr="00230A24">
        <w:rPr>
          <w:rFonts w:ascii="Times New Roman" w:eastAsia="Times New Roman" w:hAnsi="Times New Roman" w:cs="Times New Roman"/>
          <w:sz w:val="24"/>
          <w:szCs w:val="24"/>
        </w:rPr>
        <w:t>NumPy</w:t>
      </w:r>
      <w:proofErr w:type="spellEnd"/>
      <w:r w:rsidRPr="00230A24">
        <w:rPr>
          <w:rFonts w:ascii="Times New Roman" w:eastAsia="Times New Roman" w:hAnsi="Times New Roman" w:cs="Times New Roman"/>
          <w:sz w:val="24"/>
          <w:szCs w:val="24"/>
        </w:rPr>
        <w:t xml:space="preserve"> for data handling, </w:t>
      </w:r>
      <w:proofErr w:type="spellStart"/>
      <w:r w:rsidRPr="00230A24">
        <w:rPr>
          <w:rFonts w:ascii="Times New Roman" w:eastAsia="Times New Roman" w:hAnsi="Times New Roman" w:cs="Times New Roman"/>
          <w:sz w:val="24"/>
          <w:szCs w:val="24"/>
        </w:rPr>
        <w:t>SciPy</w:t>
      </w:r>
      <w:proofErr w:type="spellEnd"/>
      <w:r w:rsidRPr="00230A24">
        <w:rPr>
          <w:rFonts w:ascii="Times New Roman" w:eastAsia="Times New Roman" w:hAnsi="Times New Roman" w:cs="Times New Roman"/>
          <w:sz w:val="24"/>
          <w:szCs w:val="24"/>
        </w:rPr>
        <w:t xml:space="preserve"> for statistical calculations, and </w:t>
      </w:r>
      <w:proofErr w:type="spellStart"/>
      <w:r w:rsidRPr="00230A24">
        <w:rPr>
          <w:rFonts w:ascii="Times New Roman" w:eastAsia="Times New Roman" w:hAnsi="Times New Roman" w:cs="Times New Roman"/>
          <w:sz w:val="24"/>
          <w:szCs w:val="24"/>
        </w:rPr>
        <w:t>openpyxl</w:t>
      </w:r>
      <w:proofErr w:type="spellEnd"/>
      <w:r w:rsidRPr="00230A24">
        <w:rPr>
          <w:rFonts w:ascii="Times New Roman" w:eastAsia="Times New Roman" w:hAnsi="Times New Roman" w:cs="Times New Roman"/>
          <w:sz w:val="24"/>
          <w:szCs w:val="24"/>
        </w:rPr>
        <w:t xml:space="preserve"> for Excel output. Numerical fields were checked for missing values, nonnumeric entries, duplicate records, and implausible values. Potentially invalid observations were flagged for investigation rather than automatically removed without justification.</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Percentage-based variables were checked against their permissible ranges when their definitions required values between 0% and 100%. Other indicators were evaluated against their documented scoring scales. No universal range was assumed for compliance or resilience scores in the absence of an established scale.</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The original source data were preserved separately from the analysis-ready data. Any exclusions, transformations, missing-data decisions, and changes in variable definitions were to be recorded in an audit log to support traceability and reproducibility.</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5. Dataset Construction and Statistical Analysis</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The intended analytical dataset was structured around the five predefined indicators. A target of 120 observations was used for the preliminary analysis workflow; however, the final sample size must be determined by the number of eligible observations actually available from verified sources. The target sample size alone does not establish that 120 independent real-world observations have been collected.</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lastRenderedPageBreak/>
        <w:t xml:space="preserve">For each variable, descriptive statistics included the number of valid observations, arithmetic mean, sample standard deviation, minimum, maximum, quartiles, and median. Where appropriate, 95% confidence intervals for the mean were calculated using the Student's </w:t>
      </w:r>
      <w:r w:rsidRPr="00230A24">
        <w:rPr>
          <w:rFonts w:ascii="Times New Roman" w:eastAsia="Times New Roman" w:hAnsi="Times New Roman" w:cs="Times New Roman"/>
          <w:i/>
          <w:iCs/>
          <w:sz w:val="24"/>
          <w:szCs w:val="24"/>
        </w:rPr>
        <w:t>t</w:t>
      </w:r>
      <w:r w:rsidRPr="00230A24">
        <w:rPr>
          <w:rFonts w:ascii="Times New Roman" w:eastAsia="Times New Roman" w:hAnsi="Times New Roman" w:cs="Times New Roman"/>
          <w:sz w:val="24"/>
          <w:szCs w:val="24"/>
        </w:rPr>
        <w:t>-distribution. The assumptions and limitations of these estimates were to be considered, particularly where observations were dependent, clustered by production facility, or collected over repeated periods.</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The analysis workflow also retained source identifiers and provenance information so that each reported result could be traced to its underlying records. Summary statistics were calculated from the available values rather than adjusted to achieve predetermined target means.</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6. Reproducibility and Data Provenance</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The computational workflow was implemented in a reproducible Python script. A fixed random seed was used whenever simulated data were generated for software testing. File-integrity checks based on SHA-256 hashing were included to help identify changes to input files. The resulting Excel workbook was designed to contain the analyzed data, descriptive statistics, validation results, source registry, and provenance metadata.</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A strict distinction was maintained between observed data, calculated indicators, and simulated values. Simulated observations were intended exclusively for testing computational procedures or conducting clearly identified sensitivity analyses. They were not treated as measurements collected from pharmaceutical manufacturing facilities.</w:t>
      </w:r>
    </w:p>
    <w:p w:rsidR="00230A24" w:rsidRPr="00230A24" w:rsidRDefault="00230A24" w:rsidP="00230A24">
      <w:pPr>
        <w:spacing w:before="100" w:beforeAutospacing="1" w:after="100" w:afterAutospacing="1" w:line="240" w:lineRule="auto"/>
        <w:outlineLvl w:val="1"/>
        <w:rPr>
          <w:rFonts w:ascii="Times New Roman" w:eastAsia="Times New Roman" w:hAnsi="Times New Roman" w:cs="Times New Roman"/>
          <w:b/>
          <w:bCs/>
          <w:sz w:val="36"/>
          <w:szCs w:val="36"/>
        </w:rPr>
      </w:pPr>
      <w:r w:rsidRPr="00230A24">
        <w:rPr>
          <w:rFonts w:ascii="Times New Roman" w:eastAsia="Times New Roman" w:hAnsi="Times New Roman" w:cs="Times New Roman"/>
          <w:b/>
          <w:bCs/>
          <w:sz w:val="36"/>
          <w:szCs w:val="36"/>
        </w:rPr>
        <w:t>7. Limitations of the Collection Procedure</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The identified public resources provide potential starting points for pharmaceutical manufacturing and regulatory data collection, but their documented variables do not automatically correspond to all five target indicators. Consequently, the availability of these resources alone cannot establish a complete, harmonized dataset containing 120 real observations for every indicator.</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A fully empirical analysis requires verification of the original downloadable files, confirmation that the variables meet the stated operational definitions, and documentation of the source of every reported measurement. Where a required variable is unavailable, it should be reported as unavailable or investigated using an additional appropriate source. It should not be replaced with an invented value or presented as a directly observed measurement.</w:t>
      </w:r>
    </w:p>
    <w:p w:rsidR="00230A24" w:rsidRPr="00230A24" w:rsidRDefault="00230A24" w:rsidP="00230A24">
      <w:pPr>
        <w:spacing w:before="100" w:beforeAutospacing="1" w:after="100" w:afterAutospacing="1" w:line="240" w:lineRule="auto"/>
        <w:rPr>
          <w:rFonts w:ascii="Times New Roman" w:eastAsia="Times New Roman" w:hAnsi="Times New Roman" w:cs="Times New Roman"/>
          <w:sz w:val="24"/>
          <w:szCs w:val="24"/>
        </w:rPr>
      </w:pPr>
      <w:r w:rsidRPr="00230A24">
        <w:rPr>
          <w:rFonts w:ascii="Times New Roman" w:eastAsia="Times New Roman" w:hAnsi="Times New Roman" w:cs="Times New Roman"/>
          <w:sz w:val="24"/>
          <w:szCs w:val="24"/>
        </w:rPr>
        <w:t>Accordingly, the methodology distinguishes the proposed collection framework from completed empirical data acquisition. Claims about the number of real observations, the use of specific datasets, and the resulting statistical estimates should be finalized only after the corresponding source files have been obtained and analyzed.</w:t>
      </w:r>
    </w:p>
    <w:p w:rsidR="00230A24" w:rsidRDefault="00230A24"/>
    <w:sectPr w:rsidR="00230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973BB3"/>
    <w:multiLevelType w:val="multilevel"/>
    <w:tmpl w:val="F48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A24"/>
    <w:rsid w:val="00230A24"/>
    <w:rsid w:val="00380AE5"/>
    <w:rsid w:val="00755A5D"/>
    <w:rsid w:val="00E60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E6FD"/>
  <w15:chartTrackingRefBased/>
  <w15:docId w15:val="{6DC7AD03-2153-49C4-BB7E-87D68029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0A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0A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A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0A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30A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30A24"/>
    <w:rPr>
      <w:i/>
      <w:iCs/>
    </w:rPr>
  </w:style>
  <w:style w:type="character" w:styleId="Hyperlink">
    <w:name w:val="Hyperlink"/>
    <w:basedOn w:val="DefaultParagraphFont"/>
    <w:uiPriority w:val="99"/>
    <w:semiHidden/>
    <w:unhideWhenUsed/>
    <w:rsid w:val="00230A24"/>
    <w:rPr>
      <w:color w:val="0000FF"/>
      <w:u w:val="single"/>
    </w:rPr>
  </w:style>
  <w:style w:type="character" w:styleId="Strong">
    <w:name w:val="Strong"/>
    <w:basedOn w:val="DefaultParagraphFont"/>
    <w:uiPriority w:val="22"/>
    <w:qFormat/>
    <w:rsid w:val="00230A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24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dashboard.fd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84/m9.figshare.c.5645578.v1" TargetMode="External"/><Relationship Id="rId5" Type="http://schemas.openxmlformats.org/officeDocument/2006/relationships/hyperlink" Target="https://doi.org/10.1038/s41597-022-01203-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2026-10-13T15:00:00Z</dcterms:created>
  <dcterms:modified xsi:type="dcterms:W3CDTF">2026-10-13T21:51:00Z</dcterms:modified>
</cp:coreProperties>
</file>