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EXEMPLAR ONLY. NOT FOR SUBMISSION.</w:t>
      </w:r>
    </w:p>
    <w:p>
      <w:pPr>
        <w:jc w:val="center"/>
      </w:pPr>
      <w:r>
        <w:rPr>
          <w:b/>
        </w:rPr>
        <w:t>[OFFICIAL TEAM NAME]</w:t>
      </w:r>
    </w:p>
    <w:p>
      <w:pPr>
        <w:jc w:val="center"/>
      </w:pPr>
      <w:r>
        <w:rPr>
          <w:b w:val="0"/>
        </w:rPr>
        <w:t>[First Name, L.]   [First Name, L.]   [First Name, L.]   [First Name, L.]   [First Name, L.]   [First Name, L.]</w:t>
      </w:r>
    </w:p>
    <w:p>
      <w:pPr>
        <w:jc w:val="center"/>
      </w:pPr>
      <w:r>
        <w:rPr>
          <w:b w:val="0"/>
        </w:rPr>
        <w:t>WInS Username: Caplet-10465936</w:t>
      </w:r>
      <w:r>
        <w:br w:type="page"/>
      </w:r>
    </w:p>
    <w:p>
      <w:r>
        <w:rPr>
          <w:b/>
        </w:rPr>
        <w:t>Investment Strategy Elevator Pitch</w:t>
      </w:r>
    </w:p>
    <w:p>
      <w:r>
        <w:rPr>
          <w:b w:val="0"/>
        </w:rPr>
        <w:t>Laura's ten $50,000 payments are commitments, so her first deposit buys Treasuries maturing before each one. Her second buys a Treasury repaying it in full by 2032, the facility floor, and invests the savings in global stocks. Co-sponsors hear a range whose low end she owns.</w:t>
      </w:r>
    </w:p>
    <w:p>
      <w:r>
        <w:rPr>
          <w:b/>
        </w:rPr>
        <w:t>Investment Policy Statement</w:t>
      </w:r>
    </w:p>
    <w:p>
      <w:r>
        <w:rPr>
          <w:b/>
        </w:rPr>
        <w:t xml:space="preserve">Objective. </w:t>
      </w:r>
      <w:r>
        <w:rPr>
          <w:b w:val="0"/>
        </w:rPr>
        <w:t>Laura Gao plans to open a creative residency in Taiwan in 2033. This portfolio alone must fund her ten $50,000 operating payments, due each January from 2033 to 2042, with a high degree of certainty, then support a responsible facility contribution. It receives $300,000 in January 2027 and $150,000 in January 2028. Laura takes thoughtful risks and asks for growth balanced against protecting the capital her goals require. We therefore take market risk only with money no commitment depends on.</w:t>
      </w:r>
    </w:p>
    <w:p>
      <w:r>
        <w:rPr>
          <w:b/>
        </w:rPr>
        <w:t xml:space="preserve">Principles. </w:t>
      </w:r>
      <w:r>
        <w:rPr>
          <w:b w:val="0"/>
        </w:rPr>
        <w:t>A high degree of certainty means every payment is owned before it is due: matched by a zero-coupon US Treasury maturing shortly before its date and held to maturity. Once bought, only a US government default could cause a miss. This is cash-flow matching, the method pension funds use for fixed obligations; we measure risk as shortfall against Laura's dates. A responsible contribution is one Laura already owns when she announces it. Money is applied in one order: payments, then the facility floor, then growth.</w:t>
      </w:r>
    </w:p>
    <w:p>
      <w:r>
        <w:rPr>
          <w:b/>
        </w:rPr>
        <w:t xml:space="preserve">Implementation. </w:t>
      </w:r>
      <w:r>
        <w:rPr>
          <w:b w:val="0"/>
        </w:rPr>
        <w:t>The January 2027 deposit buys the payments, latest first. At autumn 2026 yields all ten cost less than $300,000; at 2020 yields they would have cost about $460,000, more than both deposits. The 2028 deposit first buys any payment still missing. The rest buys a zero-coupon Treasury whose face value equals that remainder, maturing before 2033: her committed facility floor. The discount, with any 2027 remainder, goes into one global equity index fund held to 2033. Nothing is rebalanced or sold early. On 1 January 2033 the matched Treasuries form the operating reserve, valued at market that day; the floor is released only afterwards, and each Treasury matures into bills weeks before its payment. Our $300,000 WInS portfolio shows the plan after both deposits, scaled down, with dated Treasury funds and bonds standing in for zeros.</w:t>
      </w:r>
    </w:p>
    <w:p>
      <w:r>
        <w:rPr>
          <w:b/>
        </w:rPr>
        <w:t xml:space="preserve">Risk and review. </w:t>
      </w:r>
      <w:r>
        <w:rPr>
          <w:b w:val="0"/>
        </w:rPr>
        <w:t>Only a large fall in yields before both deposits are invested could leave a payment partly unbought. After that, a downturn moves only the facility contribution toward its floor, and Laura has no decision to make because the rules are set in advance. We estimate that each $25,000 moved from the floor into equities raises the median money available in 2033 by $2,000 to $3,000 and lowers the fifth-percentile amount by about $10,000. Equity returns affect only the facility contribution and flexibility; the Final Report projects them from published long-term assumptions. Inflation cannot change the payments, but it raises facility costs and erodes the floor's real value; the growth Laura keeps is her buffer. We review the plan at each deposit, in 2031 and in 2033.</w:t>
      </w:r>
    </w:p>
    <w:p>
      <w:r>
        <w:rPr>
          <w:b/>
        </w:rPr>
        <w:t xml:space="preserve">Co-sponsors. </w:t>
      </w:r>
      <w:r>
        <w:rPr>
          <w:b w:val="0"/>
        </w:rPr>
        <w:t>In 2031 Laura announces a range. Its low end is the floor she owns. Its high end adds one half of the equity fund's value that day: half the fund supports the facility, half preserves her flexibility. In 2033 she contributes the floor plus half the fund's value then, never above the announced top.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