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EXEMPLAR ONLY. NOT FOR SUBMISSION.</w:t>
      </w:r>
    </w:p>
    <w:p>
      <w:pPr>
        <w:jc w:val="center"/>
      </w:pPr>
      <w:r>
        <w:rPr>
          <w:b/>
        </w:rPr>
        <w:t>[OFFICIAL TEAM NAME]</w:t>
      </w:r>
    </w:p>
    <w:p>
      <w:pPr>
        <w:jc w:val="center"/>
      </w:pPr>
      <w:r>
        <w:rPr>
          <w:b w:val="0"/>
        </w:rPr>
        <w:t>[First Name, L.]   [First Name, L.]   [First Name, L.]   [First Name, L.]   [First Name, L.]   [First Name, L.]</w:t>
      </w:r>
    </w:p>
    <w:p>
      <w:pPr>
        <w:jc w:val="center"/>
      </w:pPr>
      <w:r>
        <w:rPr>
          <w:b w:val="0"/>
        </w:rPr>
        <w:t>WInS Username: Caplet-10465936</w:t>
      </w:r>
      <w:r>
        <w:br w:type="page"/>
      </w:r>
    </w:p>
    <w:p>
      <w:r>
        <w:rPr>
          <w:b/>
        </w:rPr>
        <w:t>Investment Strategy Elevator Pitch</w:t>
      </w:r>
    </w:p>
    <w:p>
      <w:r>
        <w:rPr>
          <w:b w:val="0"/>
        </w:rPr>
        <w:t>Laura's ten $50,000 payments are bought before anything goes into stocks. Her 2027 deposit buys Treasuries maturing before each payment. Her 2028 deposit buys Treasuries repaying it in 2032, her facility floor, and invests the rest in global stocks, which lift the top of her co-sponsor range.</w:t>
      </w:r>
    </w:p>
    <w:p>
      <w:r>
        <w:rPr>
          <w:b/>
        </w:rPr>
        <w:t>Investment Policy Statement</w:t>
      </w:r>
    </w:p>
    <w:p>
      <w:r>
        <w:rPr>
          <w:b/>
        </w:rPr>
        <w:t xml:space="preserve">Objective. </w:t>
      </w:r>
      <w:r>
        <w:rPr>
          <w:b w:val="0"/>
        </w:rPr>
        <w:t>Laura Gao plans to open a creative residency in Taiwan in 2033. This portfolio alone must make ten $50,000 operating payments, each January from 2033 to 2042, with a high degree of certainty, and support a responsible facility contribution. It receives $300,000 in January 2027 and $150,000 in January 2028. Laura has taken thoughtful risks in her career, and her business income can keep taking them. This portfolio holds her promises to artists and co-sponsors.</w:t>
      </w:r>
    </w:p>
    <w:p>
      <w:r>
        <w:rPr>
          <w:b/>
        </w:rPr>
        <w:t xml:space="preserve">Principles. </w:t>
      </w:r>
      <w:r>
        <w:rPr>
          <w:b w:val="0"/>
        </w:rPr>
        <w:t>We define a high degree of certainty as owning each payment, bought when the money arrives and held to maturity. Each payment is matched to dated Treasury funds or Treasury bonds maturing shortly before it, so once bought, only a US government default could cause a miss. This cash-flow matching, unlike duration matching, needs no rebalancing and carries almost no reinvestment risk. Her firm promises to co-sponsors cover only money she already holds. Money goes first to the payments, next to the facility floor, and last to equities.</w:t>
      </w:r>
    </w:p>
    <w:p>
      <w:r>
        <w:rPr>
          <w:b/>
        </w:rPr>
        <w:t xml:space="preserve">Implementation. </w:t>
      </w:r>
      <w:r>
        <w:rPr>
          <w:b w:val="0"/>
        </w:rPr>
        <w:t>The January 2027 deposit buys the payments, latest first. At autumn 2026 yields all ten cost under $300,000. At 2020 yields they would have cost about $460,000, more than both deposits. What remains of the 2028 deposit buys Treasuries repaying that amount in late 2032, her facility floor. The rest, about $32,000, and any 2027 remainder go into one global equity index fund held until 2033. On 1 January 2033 the payment bonds and bills, $500,000 at face value, become the operating reserve. Each holding matures shortly before its payment and waits in Treasury bills. Our $300,000 WInS portfolio shows the plan after both deposits, scaled down.</w:t>
      </w:r>
    </w:p>
    <w:p>
      <w:r>
        <w:rPr>
          <w:b/>
        </w:rPr>
        <w:t xml:space="preserve">Risk and review. </w:t>
      </w:r>
      <w:r>
        <w:rPr>
          <w:b w:val="0"/>
        </w:rPr>
        <w:t>A fall in yields before January 2027 raises the cost, and the 2028 deposit fills the gap first. Only yields near 2020 levels could leave a payment short. After that, a market fall can only push the facility contribution toward its floor, and with the rules fixed in advance, Laura is never asked to sell in a crash. With J.P. Morgan's 2026 long-term assumptions, our model estimates each $25,000 moved from the floor into equities adds about $2,000 at the median and $24,000 at the 95th percentile but costs $9,000 at the 5th. We keep the floor because Laura quotes it to co-sponsors in 2031. Inflation leaves the fixed payments unchanged, raises facility costs and cuts the floor's real value, which her equity may partly offset. We review at each deposit, in 2031 to set the range, and in 2033 to set the contribution.</w:t>
      </w:r>
    </w:p>
    <w:p>
      <w:r>
        <w:rPr>
          <w:b/>
        </w:rPr>
        <w:t xml:space="preserve">Co-sponsors. </w:t>
      </w:r>
      <w:r>
        <w:rPr>
          <w:b w:val="0"/>
        </w:rPr>
        <w:t>In 2031 Laura gives co-sponsors a range from the floor she already holds to the floor plus half the equity fund's value then. In 2033 she contributes the floor plus half the fund's value, capped at that top, so her contribution cannot fall outside the range. Our model puts the chance of reaching the top at 73 percent. The rest of the fund stays with her for flexibility.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